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7AA5E" w14:textId="627F2B39" w:rsidR="00501862" w:rsidRPr="00003E26" w:rsidRDefault="00501862" w:rsidP="005B6531">
      <w:pPr>
        <w:spacing w:before="120" w:after="120" w:line="240" w:lineRule="auto"/>
        <w:rPr>
          <w:rFonts w:cs="Arial"/>
          <w:b/>
          <w:sz w:val="28"/>
          <w:szCs w:val="28"/>
        </w:rPr>
      </w:pPr>
      <w:bookmarkStart w:id="0" w:name="BkMod_000"/>
      <w:r>
        <w:rPr>
          <w:b/>
          <w:bCs/>
        </w:rPr>
        <w:t>Audit points for other risks in connection with compliance issues</w:t>
      </w:r>
    </w:p>
    <w:p w14:paraId="669FC1F2" w14:textId="77777777" w:rsidR="00501862" w:rsidRPr="00DB7CF3" w:rsidRDefault="00501862" w:rsidP="008362E0">
      <w:pPr>
        <w:spacing w:before="120" w:after="120" w:line="240" w:lineRule="auto"/>
        <w:rPr>
          <w:rFonts w:cs="Arial"/>
          <w:b/>
        </w:rPr>
      </w:pPr>
      <w:r>
        <w:rPr>
          <w:b/>
        </w:rPr>
        <w:t>Overview</w:t>
      </w:r>
    </w:p>
    <w:tbl>
      <w:tblPr>
        <w:tblStyle w:val="TableGrid"/>
        <w:tblW w:w="0" w:type="auto"/>
        <w:tblInd w:w="108" w:type="dxa"/>
        <w:tblLook w:val="04A0" w:firstRow="1" w:lastRow="0" w:firstColumn="1" w:lastColumn="0" w:noHBand="0" w:noVBand="1"/>
      </w:tblPr>
      <w:tblGrid>
        <w:gridCol w:w="2600"/>
        <w:gridCol w:w="11285"/>
      </w:tblGrid>
      <w:tr w:rsidR="00501862" w:rsidRPr="00AF6AA5" w14:paraId="685F18BB" w14:textId="77777777" w:rsidTr="00297AFE">
        <w:tc>
          <w:tcPr>
            <w:tcW w:w="2600" w:type="dxa"/>
            <w:shd w:val="pct10" w:color="auto" w:fill="auto"/>
          </w:tcPr>
          <w:p w14:paraId="19E04D0A" w14:textId="77777777" w:rsidR="00501862" w:rsidRPr="009D4673" w:rsidRDefault="00501862" w:rsidP="008362E0">
            <w:pPr>
              <w:tabs>
                <w:tab w:val="left" w:pos="1418"/>
              </w:tabs>
              <w:spacing w:before="60" w:after="60" w:line="240" w:lineRule="auto"/>
              <w:rPr>
                <w:rFonts w:cs="Arial"/>
                <w:b/>
              </w:rPr>
            </w:pPr>
            <w:r>
              <w:rPr>
                <w:b/>
              </w:rPr>
              <w:t>Subject</w:t>
            </w:r>
          </w:p>
        </w:tc>
        <w:tc>
          <w:tcPr>
            <w:tcW w:w="11285" w:type="dxa"/>
            <w:shd w:val="pct10" w:color="auto" w:fill="auto"/>
          </w:tcPr>
          <w:p w14:paraId="4CF8303B" w14:textId="77777777" w:rsidR="00501862" w:rsidRPr="009D4673" w:rsidRDefault="00501862" w:rsidP="008362E0">
            <w:pPr>
              <w:tabs>
                <w:tab w:val="left" w:pos="1859"/>
              </w:tabs>
              <w:spacing w:before="60" w:after="60" w:line="240" w:lineRule="auto"/>
              <w:rPr>
                <w:rFonts w:cs="Arial"/>
                <w:b/>
              </w:rPr>
            </w:pPr>
            <w:r>
              <w:rPr>
                <w:b/>
              </w:rPr>
              <w:t>Business risks – risk management / Other risks in connection with compliance issues</w:t>
            </w:r>
          </w:p>
        </w:tc>
      </w:tr>
      <w:tr w:rsidR="00501862" w:rsidRPr="009D4673" w14:paraId="6EBDDAD9" w14:textId="77777777" w:rsidTr="00297AFE">
        <w:tc>
          <w:tcPr>
            <w:tcW w:w="2600" w:type="dxa"/>
            <w:shd w:val="pct10" w:color="auto" w:fill="auto"/>
          </w:tcPr>
          <w:p w14:paraId="23449AD9" w14:textId="77777777" w:rsidR="00501862" w:rsidRPr="009D4673" w:rsidRDefault="00501862" w:rsidP="008362E0">
            <w:pPr>
              <w:tabs>
                <w:tab w:val="left" w:pos="1418"/>
              </w:tabs>
              <w:spacing w:before="60" w:after="60" w:line="240" w:lineRule="auto"/>
              <w:rPr>
                <w:rFonts w:cs="Arial"/>
                <w:b/>
              </w:rPr>
            </w:pPr>
            <w:r>
              <w:rPr>
                <w:b/>
              </w:rPr>
              <w:t>Audit depth</w:t>
            </w:r>
          </w:p>
        </w:tc>
        <w:tc>
          <w:tcPr>
            <w:tcW w:w="11285" w:type="dxa"/>
            <w:shd w:val="pct10" w:color="auto" w:fill="auto"/>
          </w:tcPr>
          <w:p w14:paraId="19F5334D" w14:textId="50F38827" w:rsidR="00501862" w:rsidRPr="009D4673" w:rsidRDefault="00501862" w:rsidP="008362E0">
            <w:pPr>
              <w:tabs>
                <w:tab w:val="left" w:pos="1859"/>
              </w:tabs>
              <w:spacing w:before="60" w:after="60" w:line="240" w:lineRule="auto"/>
              <w:rPr>
                <w:rFonts w:cs="Arial"/>
              </w:rPr>
            </w:pPr>
            <w:r>
              <w:rPr>
                <w:highlight w:val="yellow"/>
              </w:rPr>
              <w:t>[Audit/critical assessment]</w:t>
            </w:r>
            <w:r w:rsidR="002A25BF" w:rsidRPr="002A25BF">
              <w:rPr>
                <w:rStyle w:val="FootnoteReference"/>
              </w:rPr>
              <w:footnoteReference w:id="2"/>
            </w:r>
          </w:p>
        </w:tc>
      </w:tr>
      <w:tr w:rsidR="00501862" w:rsidRPr="00AF6AA5" w14:paraId="59B47E74" w14:textId="77777777" w:rsidTr="00297AFE">
        <w:tc>
          <w:tcPr>
            <w:tcW w:w="2600" w:type="dxa"/>
          </w:tcPr>
          <w:p w14:paraId="0481BAC9" w14:textId="77777777" w:rsidR="00500041" w:rsidRPr="00EB30C0" w:rsidRDefault="00500041" w:rsidP="00500041">
            <w:pPr>
              <w:tabs>
                <w:tab w:val="left" w:pos="1418"/>
              </w:tabs>
              <w:spacing w:before="60" w:after="60" w:line="240" w:lineRule="auto"/>
              <w:rPr>
                <w:rFonts w:cs="Arial"/>
                <w:b/>
              </w:rPr>
            </w:pPr>
            <w:r>
              <w:rPr>
                <w:b/>
              </w:rPr>
              <w:t>Regulations</w:t>
            </w:r>
          </w:p>
          <w:p w14:paraId="7FE75F8C" w14:textId="77777777" w:rsidR="00501862" w:rsidRPr="00500041" w:rsidRDefault="00500041" w:rsidP="00500041">
            <w:pPr>
              <w:tabs>
                <w:tab w:val="left" w:pos="1418"/>
              </w:tabs>
              <w:spacing w:before="60" w:after="60" w:line="240" w:lineRule="auto"/>
              <w:rPr>
                <w:rFonts w:cs="Arial"/>
              </w:rPr>
            </w:pPr>
            <w:r>
              <w:t>(non-exhaustive list)</w:t>
            </w:r>
          </w:p>
        </w:tc>
        <w:tc>
          <w:tcPr>
            <w:tcW w:w="11285" w:type="dxa"/>
          </w:tcPr>
          <w:p w14:paraId="51B51AE4" w14:textId="0E89FC8A" w:rsidR="00032DC8" w:rsidRDefault="00032DC8" w:rsidP="00032DC8">
            <w:pPr>
              <w:tabs>
                <w:tab w:val="left" w:pos="1859"/>
              </w:tabs>
              <w:spacing w:before="60" w:after="60" w:line="240" w:lineRule="auto"/>
            </w:pPr>
            <w:r>
              <w:t>Art. 3 para. 2 let. a Banking Act (BA)</w:t>
            </w:r>
          </w:p>
          <w:p w14:paraId="17FE6BD9" w14:textId="77777777" w:rsidR="00032DC8" w:rsidRDefault="00032DC8" w:rsidP="00032DC8">
            <w:pPr>
              <w:tabs>
                <w:tab w:val="left" w:pos="1859"/>
              </w:tabs>
              <w:spacing w:before="60" w:after="60" w:line="240" w:lineRule="auto"/>
            </w:pPr>
            <w:r>
              <w:t>Art. 9 Financial Institutions Act (</w:t>
            </w:r>
            <w:proofErr w:type="spellStart"/>
            <w:r>
              <w:t>FinIA</w:t>
            </w:r>
            <w:proofErr w:type="spellEnd"/>
            <w:r>
              <w:t>)</w:t>
            </w:r>
          </w:p>
          <w:p w14:paraId="3AB17617" w14:textId="263E8CD4" w:rsidR="00032DC8" w:rsidRDefault="00032DC8" w:rsidP="00032DC8">
            <w:pPr>
              <w:tabs>
                <w:tab w:val="left" w:pos="1859"/>
              </w:tabs>
              <w:spacing w:before="60" w:line="240" w:lineRule="auto"/>
            </w:pPr>
            <w:r>
              <w:t>Art. 12 Banking Ordinance (BO)</w:t>
            </w:r>
          </w:p>
          <w:p w14:paraId="495D19C4" w14:textId="35E7D672" w:rsidR="00032DC8" w:rsidRDefault="00032DC8" w:rsidP="00032DC8">
            <w:pPr>
              <w:tabs>
                <w:tab w:val="left" w:pos="1859"/>
              </w:tabs>
              <w:spacing w:before="60" w:after="60" w:line="240" w:lineRule="auto"/>
            </w:pPr>
            <w:r>
              <w:t>Arts. 12 and 66-68 Financial Institutions Ordinance (</w:t>
            </w:r>
            <w:proofErr w:type="spellStart"/>
            <w:r>
              <w:t>FinIO</w:t>
            </w:r>
            <w:proofErr w:type="spellEnd"/>
            <w:r>
              <w:t>)</w:t>
            </w:r>
          </w:p>
          <w:p w14:paraId="0B35BCB4" w14:textId="27F21C78" w:rsidR="0024574E" w:rsidRPr="009D4673" w:rsidRDefault="0024574E" w:rsidP="00032DC8">
            <w:pPr>
              <w:tabs>
                <w:tab w:val="left" w:pos="1859"/>
              </w:tabs>
              <w:spacing w:before="60" w:after="60" w:line="240" w:lineRule="auto"/>
              <w:rPr>
                <w:rFonts w:cs="Arial"/>
              </w:rPr>
            </w:pPr>
            <w:r>
              <w:t>Art. 12 para. 2</w:t>
            </w:r>
            <w:r>
              <w:rPr>
                <w:vertAlign w:val="superscript"/>
              </w:rPr>
              <w:t>bis</w:t>
            </w:r>
            <w:r>
              <w:t xml:space="preserve"> BO in conjunction with Arts. 56 and 61a, FINMA Banking Insolvency Ordinance (BIO-FINMA)</w:t>
            </w:r>
          </w:p>
          <w:p w14:paraId="2794ED08" w14:textId="77777777" w:rsidR="00CA6AD9" w:rsidRDefault="00CA6AD9" w:rsidP="008362E0">
            <w:pPr>
              <w:tabs>
                <w:tab w:val="left" w:pos="1859"/>
              </w:tabs>
              <w:spacing w:before="60" w:after="60" w:line="240" w:lineRule="auto"/>
            </w:pPr>
            <w:r>
              <w:t xml:space="preserve">FINMA Circular 2008/21 "Operational Risks – banks" (FINMA Circ. 08/21 / margin nos. 136.2-136.5) </w:t>
            </w:r>
          </w:p>
          <w:p w14:paraId="175602C2" w14:textId="1A1A9B93" w:rsidR="002C3059" w:rsidRPr="009D4673" w:rsidRDefault="002C3059" w:rsidP="00032DC8">
            <w:pPr>
              <w:tabs>
                <w:tab w:val="left" w:pos="1859"/>
              </w:tabs>
              <w:spacing w:before="60" w:after="60" w:line="240" w:lineRule="auto"/>
              <w:rPr>
                <w:rFonts w:cs="Arial"/>
              </w:rPr>
            </w:pPr>
            <w:r>
              <w:t>FINMA Circular 2017/6 "Direct Transmission" (FINMA Circ. 17/6)</w:t>
            </w:r>
          </w:p>
        </w:tc>
      </w:tr>
      <w:tr w:rsidR="00501862" w:rsidRPr="009D4673" w14:paraId="010C56BC" w14:textId="77777777" w:rsidTr="00297AFE">
        <w:trPr>
          <w:trHeight w:val="2160"/>
        </w:trPr>
        <w:tc>
          <w:tcPr>
            <w:tcW w:w="2600" w:type="dxa"/>
          </w:tcPr>
          <w:p w14:paraId="7C6407E5" w14:textId="77777777" w:rsidR="00501862" w:rsidRDefault="00501862" w:rsidP="008362E0">
            <w:pPr>
              <w:tabs>
                <w:tab w:val="left" w:pos="1418"/>
              </w:tabs>
              <w:spacing w:before="60" w:after="60" w:line="240" w:lineRule="auto"/>
              <w:rPr>
                <w:rFonts w:cs="Arial"/>
                <w:b/>
              </w:rPr>
            </w:pPr>
            <w:r>
              <w:rPr>
                <w:b/>
              </w:rPr>
              <w:t>Sign-offs:</w:t>
            </w:r>
          </w:p>
          <w:p w14:paraId="248FE1A4" w14:textId="77777777" w:rsidR="009448DA" w:rsidRDefault="009448DA" w:rsidP="008362E0">
            <w:pPr>
              <w:tabs>
                <w:tab w:val="left" w:pos="1418"/>
              </w:tabs>
              <w:spacing w:before="60" w:after="60" w:line="240" w:lineRule="auto"/>
              <w:rPr>
                <w:rFonts w:cs="Arial"/>
                <w:b/>
              </w:rPr>
            </w:pPr>
          </w:p>
          <w:p w14:paraId="3ED01763" w14:textId="77777777" w:rsidR="009448DA" w:rsidRDefault="009448DA" w:rsidP="008362E0">
            <w:pPr>
              <w:tabs>
                <w:tab w:val="left" w:pos="1418"/>
              </w:tabs>
              <w:spacing w:before="60" w:after="60" w:line="240" w:lineRule="auto"/>
              <w:rPr>
                <w:rFonts w:cs="Arial"/>
                <w:b/>
              </w:rPr>
            </w:pPr>
          </w:p>
          <w:p w14:paraId="501DFD64" w14:textId="77777777" w:rsidR="009448DA" w:rsidRDefault="009448DA" w:rsidP="008362E0">
            <w:pPr>
              <w:tabs>
                <w:tab w:val="left" w:pos="1418"/>
              </w:tabs>
              <w:spacing w:before="60" w:after="60" w:line="240" w:lineRule="auto"/>
              <w:rPr>
                <w:rFonts w:cs="Arial"/>
                <w:b/>
              </w:rPr>
            </w:pPr>
          </w:p>
          <w:p w14:paraId="298EC9A9" w14:textId="77777777" w:rsidR="009448DA" w:rsidRDefault="009448DA" w:rsidP="008362E0">
            <w:pPr>
              <w:tabs>
                <w:tab w:val="left" w:pos="1418"/>
              </w:tabs>
              <w:spacing w:before="60" w:after="60" w:line="240" w:lineRule="auto"/>
              <w:rPr>
                <w:rFonts w:cs="Arial"/>
                <w:b/>
              </w:rPr>
            </w:pPr>
          </w:p>
          <w:p w14:paraId="65DB142F" w14:textId="77777777" w:rsidR="009448DA" w:rsidRDefault="009448DA" w:rsidP="008362E0">
            <w:pPr>
              <w:tabs>
                <w:tab w:val="left" w:pos="1418"/>
              </w:tabs>
              <w:spacing w:before="60" w:after="60" w:line="240" w:lineRule="auto"/>
              <w:rPr>
                <w:rFonts w:cs="Arial"/>
                <w:b/>
              </w:rPr>
            </w:pPr>
          </w:p>
          <w:p w14:paraId="20A24D55" w14:textId="77777777" w:rsidR="009448DA" w:rsidRPr="009D4673" w:rsidRDefault="009448DA" w:rsidP="008362E0">
            <w:pPr>
              <w:tabs>
                <w:tab w:val="left" w:pos="1418"/>
              </w:tabs>
              <w:spacing w:before="60" w:after="60" w:line="240" w:lineRule="auto"/>
              <w:rPr>
                <w:rFonts w:cs="Arial"/>
                <w:b/>
              </w:rPr>
            </w:pPr>
          </w:p>
        </w:tc>
        <w:tc>
          <w:tcPr>
            <w:tcW w:w="11285" w:type="dxa"/>
          </w:tcPr>
          <w:p w14:paraId="0D7D6BD5" w14:textId="77777777" w:rsidR="00501862" w:rsidRPr="009D4673" w:rsidRDefault="00501862" w:rsidP="008362E0">
            <w:pPr>
              <w:tabs>
                <w:tab w:val="left" w:pos="1859"/>
              </w:tabs>
              <w:spacing w:before="60" w:after="60" w:line="240" w:lineRule="auto"/>
              <w:rPr>
                <w:rFonts w:cs="Arial"/>
              </w:rPr>
            </w:pPr>
          </w:p>
          <w:tbl>
            <w:tblPr>
              <w:tblStyle w:val="TableGrid"/>
              <w:tblW w:w="0" w:type="auto"/>
              <w:tblLook w:val="04A0" w:firstRow="1" w:lastRow="0" w:firstColumn="1" w:lastColumn="0" w:noHBand="0" w:noVBand="1"/>
            </w:tblPr>
            <w:tblGrid>
              <w:gridCol w:w="1962"/>
              <w:gridCol w:w="3532"/>
              <w:gridCol w:w="3413"/>
              <w:gridCol w:w="2152"/>
            </w:tblGrid>
            <w:tr w:rsidR="00501862" w:rsidRPr="009D4673" w14:paraId="7FDDF229" w14:textId="77777777" w:rsidTr="008E0A38">
              <w:tc>
                <w:tcPr>
                  <w:tcW w:w="2013" w:type="dxa"/>
                  <w:shd w:val="clear" w:color="auto" w:fill="D9D9D9" w:themeFill="background1" w:themeFillShade="D9"/>
                </w:tcPr>
                <w:p w14:paraId="1F9E7577" w14:textId="77777777" w:rsidR="00501862" w:rsidRPr="009D4673" w:rsidRDefault="00501862" w:rsidP="008362E0">
                  <w:pPr>
                    <w:tabs>
                      <w:tab w:val="left" w:pos="1859"/>
                    </w:tabs>
                    <w:spacing w:before="60" w:after="60" w:line="240" w:lineRule="auto"/>
                    <w:rPr>
                      <w:rFonts w:cs="Arial"/>
                      <w:b/>
                      <w:sz w:val="18"/>
                      <w:szCs w:val="18"/>
                    </w:rPr>
                  </w:pPr>
                  <w:r>
                    <w:rPr>
                      <w:b/>
                      <w:sz w:val="18"/>
                    </w:rPr>
                    <w:t>Sign-offs</w:t>
                  </w:r>
                </w:p>
              </w:tc>
              <w:tc>
                <w:tcPr>
                  <w:tcW w:w="3685" w:type="dxa"/>
                  <w:shd w:val="clear" w:color="auto" w:fill="D9D9D9" w:themeFill="background1" w:themeFillShade="D9"/>
                </w:tcPr>
                <w:p w14:paraId="1D0D1AB8" w14:textId="77777777" w:rsidR="00501862" w:rsidRPr="009D4673" w:rsidRDefault="00501862" w:rsidP="008362E0">
                  <w:pPr>
                    <w:tabs>
                      <w:tab w:val="left" w:pos="1859"/>
                    </w:tabs>
                    <w:spacing w:before="60" w:after="60" w:line="240" w:lineRule="auto"/>
                    <w:jc w:val="center"/>
                    <w:rPr>
                      <w:rFonts w:cs="Arial"/>
                      <w:b/>
                      <w:sz w:val="18"/>
                      <w:szCs w:val="18"/>
                    </w:rPr>
                  </w:pPr>
                  <w:r>
                    <w:rPr>
                      <w:b/>
                      <w:sz w:val="18"/>
                    </w:rPr>
                    <w:t>Name</w:t>
                  </w:r>
                </w:p>
              </w:tc>
              <w:tc>
                <w:tcPr>
                  <w:tcW w:w="3544" w:type="dxa"/>
                  <w:shd w:val="clear" w:color="auto" w:fill="D9D9D9" w:themeFill="background1" w:themeFillShade="D9"/>
                </w:tcPr>
                <w:p w14:paraId="1AC6B912" w14:textId="77777777" w:rsidR="00501862" w:rsidRPr="009D4673" w:rsidRDefault="00501862" w:rsidP="008362E0">
                  <w:pPr>
                    <w:tabs>
                      <w:tab w:val="left" w:pos="1859"/>
                    </w:tabs>
                    <w:spacing w:before="60" w:after="60" w:line="240" w:lineRule="auto"/>
                    <w:jc w:val="center"/>
                    <w:rPr>
                      <w:rFonts w:cs="Arial"/>
                      <w:b/>
                      <w:sz w:val="18"/>
                      <w:szCs w:val="18"/>
                    </w:rPr>
                  </w:pPr>
                  <w:r>
                    <w:rPr>
                      <w:b/>
                      <w:sz w:val="18"/>
                    </w:rPr>
                    <w:t>Function</w:t>
                  </w:r>
                </w:p>
              </w:tc>
              <w:tc>
                <w:tcPr>
                  <w:tcW w:w="2228" w:type="dxa"/>
                  <w:shd w:val="clear" w:color="auto" w:fill="D9D9D9" w:themeFill="background1" w:themeFillShade="D9"/>
                </w:tcPr>
                <w:p w14:paraId="54B6B22B" w14:textId="77777777" w:rsidR="00501862" w:rsidRPr="009D4673" w:rsidRDefault="00501862" w:rsidP="008362E0">
                  <w:pPr>
                    <w:tabs>
                      <w:tab w:val="left" w:pos="1859"/>
                    </w:tabs>
                    <w:spacing w:before="60" w:after="60" w:line="240" w:lineRule="auto"/>
                    <w:jc w:val="center"/>
                    <w:rPr>
                      <w:rFonts w:cs="Arial"/>
                      <w:b/>
                      <w:sz w:val="18"/>
                      <w:szCs w:val="18"/>
                    </w:rPr>
                  </w:pPr>
                  <w:r>
                    <w:rPr>
                      <w:b/>
                      <w:sz w:val="18"/>
                    </w:rPr>
                    <w:t>Date</w:t>
                  </w:r>
                </w:p>
              </w:tc>
            </w:tr>
            <w:tr w:rsidR="00501862" w:rsidRPr="009D4673" w14:paraId="210D37EB" w14:textId="77777777" w:rsidTr="008E0A38">
              <w:tc>
                <w:tcPr>
                  <w:tcW w:w="2013" w:type="dxa"/>
                </w:tcPr>
                <w:p w14:paraId="00A0073C" w14:textId="77777777" w:rsidR="00501862" w:rsidRPr="009D4673" w:rsidRDefault="00501862" w:rsidP="008362E0">
                  <w:pPr>
                    <w:tabs>
                      <w:tab w:val="left" w:pos="1859"/>
                    </w:tabs>
                    <w:spacing w:before="60" w:after="60" w:line="240" w:lineRule="auto"/>
                    <w:rPr>
                      <w:rFonts w:cs="Arial"/>
                      <w:sz w:val="18"/>
                      <w:szCs w:val="18"/>
                    </w:rPr>
                  </w:pPr>
                  <w:r>
                    <w:rPr>
                      <w:sz w:val="18"/>
                    </w:rPr>
                    <w:t xml:space="preserve">Prepared by: </w:t>
                  </w:r>
                </w:p>
              </w:tc>
              <w:tc>
                <w:tcPr>
                  <w:tcW w:w="3685" w:type="dxa"/>
                </w:tcPr>
                <w:p w14:paraId="1642317C" w14:textId="77777777" w:rsidR="00501862" w:rsidRPr="009D4673" w:rsidRDefault="00501862" w:rsidP="008362E0">
                  <w:pPr>
                    <w:tabs>
                      <w:tab w:val="left" w:pos="1859"/>
                    </w:tabs>
                    <w:spacing w:before="60" w:after="60" w:line="240" w:lineRule="auto"/>
                    <w:jc w:val="center"/>
                    <w:rPr>
                      <w:rFonts w:cs="Arial"/>
                      <w:sz w:val="18"/>
                      <w:szCs w:val="18"/>
                    </w:rPr>
                  </w:pPr>
                  <w:r>
                    <w:rPr>
                      <w:sz w:val="18"/>
                      <w:highlight w:val="yellow"/>
                    </w:rPr>
                    <w:t>Name</w:t>
                  </w:r>
                </w:p>
              </w:tc>
              <w:tc>
                <w:tcPr>
                  <w:tcW w:w="3544" w:type="dxa"/>
                </w:tcPr>
                <w:p w14:paraId="04712DBB" w14:textId="77777777" w:rsidR="00501862" w:rsidRPr="009D4673" w:rsidRDefault="00501862" w:rsidP="008362E0">
                  <w:pPr>
                    <w:tabs>
                      <w:tab w:val="left" w:pos="1859"/>
                    </w:tabs>
                    <w:spacing w:before="60" w:after="60" w:line="240" w:lineRule="auto"/>
                    <w:jc w:val="center"/>
                    <w:rPr>
                      <w:rFonts w:cs="Arial"/>
                      <w:sz w:val="18"/>
                      <w:szCs w:val="18"/>
                    </w:rPr>
                  </w:pPr>
                  <w:r>
                    <w:rPr>
                      <w:sz w:val="18"/>
                      <w:highlight w:val="yellow"/>
                    </w:rPr>
                    <w:t>[Assistant / Senior / Manager / Senior Manager / Partner]</w:t>
                  </w:r>
                </w:p>
              </w:tc>
              <w:tc>
                <w:tcPr>
                  <w:tcW w:w="2228" w:type="dxa"/>
                </w:tcPr>
                <w:p w14:paraId="04F40916" w14:textId="77777777" w:rsidR="00501862" w:rsidRPr="009D4673" w:rsidRDefault="00501862" w:rsidP="008362E0">
                  <w:pPr>
                    <w:tabs>
                      <w:tab w:val="left" w:pos="1859"/>
                    </w:tabs>
                    <w:spacing w:before="60" w:after="60" w:line="240" w:lineRule="auto"/>
                    <w:jc w:val="center"/>
                    <w:rPr>
                      <w:rFonts w:cs="Arial"/>
                      <w:sz w:val="18"/>
                      <w:szCs w:val="18"/>
                    </w:rPr>
                  </w:pPr>
                  <w:r>
                    <w:rPr>
                      <w:sz w:val="18"/>
                      <w:highlight w:val="yellow"/>
                    </w:rPr>
                    <w:t>[DD MM YYYY]</w:t>
                  </w:r>
                </w:p>
              </w:tc>
            </w:tr>
            <w:tr w:rsidR="00501862" w:rsidRPr="009D4673" w14:paraId="57952134" w14:textId="77777777" w:rsidTr="008E0A38">
              <w:tc>
                <w:tcPr>
                  <w:tcW w:w="2013" w:type="dxa"/>
                </w:tcPr>
                <w:p w14:paraId="132706EE" w14:textId="77777777" w:rsidR="00501862" w:rsidRPr="009D4673" w:rsidRDefault="00501862" w:rsidP="008362E0">
                  <w:pPr>
                    <w:tabs>
                      <w:tab w:val="left" w:pos="1859"/>
                    </w:tabs>
                    <w:spacing w:before="60" w:after="60" w:line="240" w:lineRule="auto"/>
                    <w:rPr>
                      <w:rFonts w:cs="Arial"/>
                      <w:sz w:val="18"/>
                      <w:szCs w:val="18"/>
                    </w:rPr>
                  </w:pPr>
                  <w:r>
                    <w:rPr>
                      <w:sz w:val="18"/>
                    </w:rPr>
                    <w:t>Reviewer:</w:t>
                  </w:r>
                </w:p>
              </w:tc>
              <w:tc>
                <w:tcPr>
                  <w:tcW w:w="3685" w:type="dxa"/>
                </w:tcPr>
                <w:p w14:paraId="5B419E68" w14:textId="77777777" w:rsidR="00501862" w:rsidRPr="009D4673" w:rsidRDefault="00501862" w:rsidP="008362E0">
                  <w:pPr>
                    <w:tabs>
                      <w:tab w:val="left" w:pos="1859"/>
                    </w:tabs>
                    <w:spacing w:before="60" w:after="60" w:line="240" w:lineRule="auto"/>
                    <w:jc w:val="center"/>
                    <w:rPr>
                      <w:rFonts w:cs="Arial"/>
                      <w:sz w:val="18"/>
                      <w:szCs w:val="18"/>
                      <w:highlight w:val="yellow"/>
                    </w:rPr>
                  </w:pPr>
                  <w:r>
                    <w:rPr>
                      <w:sz w:val="18"/>
                      <w:highlight w:val="yellow"/>
                    </w:rPr>
                    <w:t>Name</w:t>
                  </w:r>
                </w:p>
              </w:tc>
              <w:tc>
                <w:tcPr>
                  <w:tcW w:w="3544" w:type="dxa"/>
                </w:tcPr>
                <w:p w14:paraId="7F66D7FA" w14:textId="77777777" w:rsidR="00501862" w:rsidRPr="009D4673" w:rsidRDefault="00501862" w:rsidP="008362E0">
                  <w:pPr>
                    <w:tabs>
                      <w:tab w:val="left" w:pos="1859"/>
                    </w:tabs>
                    <w:spacing w:before="60" w:after="60" w:line="240" w:lineRule="auto"/>
                    <w:jc w:val="center"/>
                    <w:rPr>
                      <w:rFonts w:cs="Arial"/>
                      <w:sz w:val="18"/>
                      <w:szCs w:val="18"/>
                      <w:highlight w:val="yellow"/>
                    </w:rPr>
                  </w:pPr>
                  <w:r>
                    <w:rPr>
                      <w:sz w:val="18"/>
                      <w:highlight w:val="yellow"/>
                    </w:rPr>
                    <w:t xml:space="preserve">[Senior / Manager / Senior Manager </w:t>
                  </w:r>
                  <w:r>
                    <w:rPr>
                      <w:sz w:val="18"/>
                      <w:szCs w:val="18"/>
                      <w:highlight w:val="yellow"/>
                    </w:rPr>
                    <w:br/>
                  </w:r>
                  <w:r>
                    <w:rPr>
                      <w:sz w:val="18"/>
                      <w:highlight w:val="yellow"/>
                    </w:rPr>
                    <w:t>/ Partner]</w:t>
                  </w:r>
                </w:p>
              </w:tc>
              <w:tc>
                <w:tcPr>
                  <w:tcW w:w="2228" w:type="dxa"/>
                </w:tcPr>
                <w:p w14:paraId="27789266" w14:textId="77777777" w:rsidR="00501862" w:rsidRPr="009D4673" w:rsidRDefault="00501862" w:rsidP="008362E0">
                  <w:pPr>
                    <w:tabs>
                      <w:tab w:val="left" w:pos="1859"/>
                    </w:tabs>
                    <w:spacing w:before="60" w:after="60" w:line="240" w:lineRule="auto"/>
                    <w:jc w:val="center"/>
                    <w:rPr>
                      <w:rFonts w:cs="Arial"/>
                      <w:sz w:val="18"/>
                      <w:szCs w:val="18"/>
                      <w:highlight w:val="yellow"/>
                    </w:rPr>
                  </w:pPr>
                  <w:r>
                    <w:rPr>
                      <w:sz w:val="18"/>
                      <w:highlight w:val="yellow"/>
                    </w:rPr>
                    <w:t>[DD MM YYYY]</w:t>
                  </w:r>
                </w:p>
              </w:tc>
            </w:tr>
          </w:tbl>
          <w:p w14:paraId="0F27B30B" w14:textId="77777777" w:rsidR="00501862" w:rsidRPr="009D4673" w:rsidRDefault="00501862" w:rsidP="008362E0">
            <w:pPr>
              <w:tabs>
                <w:tab w:val="left" w:pos="1859"/>
              </w:tabs>
              <w:spacing w:before="60" w:after="60" w:line="240" w:lineRule="auto"/>
              <w:rPr>
                <w:rFonts w:cs="Arial"/>
              </w:rPr>
            </w:pPr>
          </w:p>
        </w:tc>
      </w:tr>
    </w:tbl>
    <w:p w14:paraId="51682471" w14:textId="77777777" w:rsidR="00501862" w:rsidRPr="0045532C" w:rsidRDefault="00501862" w:rsidP="008362E0">
      <w:pPr>
        <w:spacing w:before="120" w:after="120" w:line="240" w:lineRule="auto"/>
        <w:rPr>
          <w:rFonts w:cs="Arial"/>
        </w:rPr>
      </w:pPr>
    </w:p>
    <w:p w14:paraId="22D31B23" w14:textId="6644F3B6" w:rsidR="00EF259F" w:rsidRDefault="00501862" w:rsidP="008362E0">
      <w:pPr>
        <w:spacing w:before="120" w:after="120" w:line="240" w:lineRule="auto"/>
        <w:jc w:val="both"/>
        <w:rPr>
          <w:b/>
        </w:rPr>
      </w:pPr>
      <w:r>
        <w:rPr>
          <w:b/>
        </w:rPr>
        <w:t>This is the standard work programme that is to be implemented for every audit in this field, under the terms of the audit strategy (Margin no. 28ff FINMA Circ. 13/3). It is the audit team’s responsibility to adapt the standard work programme to the audited institution’s specific situation (size, business model, organisation, processes, risk exposure etc.). If the specified audit procedures are not carried out in full, the underlying rationale must be explained in the working paper. Audit points marked with an asterisk are not applicable to Category 4 or 5 banks.</w:t>
      </w:r>
    </w:p>
    <w:p w14:paraId="234ADB18" w14:textId="6D2B21B5" w:rsidR="00501862" w:rsidRPr="0045532C" w:rsidRDefault="00501862" w:rsidP="008362E0">
      <w:pPr>
        <w:spacing w:before="120" w:after="120" w:line="240" w:lineRule="auto"/>
        <w:jc w:val="both"/>
        <w:rPr>
          <w:rFonts w:cs="Arial"/>
        </w:rPr>
      </w:pPr>
      <w:r>
        <w:br w:type="page"/>
      </w:r>
    </w:p>
    <w:p w14:paraId="09C3F712" w14:textId="77777777" w:rsidR="00501862" w:rsidRPr="00003E26" w:rsidRDefault="00501862" w:rsidP="008362E0">
      <w:pPr>
        <w:spacing w:before="120" w:after="120" w:line="240" w:lineRule="auto"/>
        <w:rPr>
          <w:rFonts w:cs="Arial"/>
          <w:b/>
        </w:rPr>
      </w:pPr>
      <w:r>
        <w:rPr>
          <w:b/>
        </w:rPr>
        <w:lastRenderedPageBreak/>
        <w:t>Overall conclusion</w:t>
      </w:r>
    </w:p>
    <w:tbl>
      <w:tblPr>
        <w:tblStyle w:val="TableGrid"/>
        <w:tblW w:w="0" w:type="auto"/>
        <w:tblInd w:w="108" w:type="dxa"/>
        <w:tblLook w:val="04A0" w:firstRow="1" w:lastRow="0" w:firstColumn="1" w:lastColumn="0" w:noHBand="0" w:noVBand="1"/>
      </w:tblPr>
      <w:tblGrid>
        <w:gridCol w:w="2815"/>
        <w:gridCol w:w="11353"/>
      </w:tblGrid>
      <w:tr w:rsidR="00501862" w:rsidRPr="0045532C" w14:paraId="575A1F01" w14:textId="77777777" w:rsidTr="008E0A38">
        <w:trPr>
          <w:trHeight w:val="552"/>
          <w:tblHeader/>
        </w:trPr>
        <w:tc>
          <w:tcPr>
            <w:tcW w:w="2835" w:type="dxa"/>
            <w:shd w:val="pct15" w:color="auto" w:fill="auto"/>
          </w:tcPr>
          <w:p w14:paraId="3DEA2EBA" w14:textId="77777777" w:rsidR="00501862" w:rsidRPr="0045532C" w:rsidRDefault="00501862" w:rsidP="008362E0">
            <w:pPr>
              <w:tabs>
                <w:tab w:val="left" w:pos="1418"/>
              </w:tabs>
              <w:spacing w:before="120" w:after="120" w:line="240" w:lineRule="auto"/>
              <w:rPr>
                <w:rFonts w:cs="Arial"/>
                <w:b/>
                <w:sz w:val="16"/>
                <w:szCs w:val="16"/>
              </w:rPr>
            </w:pPr>
            <w:r>
              <w:rPr>
                <w:b/>
                <w:sz w:val="16"/>
              </w:rPr>
              <w:t>Topic</w:t>
            </w:r>
          </w:p>
        </w:tc>
        <w:tc>
          <w:tcPr>
            <w:tcW w:w="11482" w:type="dxa"/>
            <w:shd w:val="pct15" w:color="auto" w:fill="auto"/>
          </w:tcPr>
          <w:p w14:paraId="5C0F7075" w14:textId="77777777" w:rsidR="00501862" w:rsidRPr="0045532C" w:rsidRDefault="00501862" w:rsidP="008362E0">
            <w:pPr>
              <w:tabs>
                <w:tab w:val="left" w:pos="1859"/>
              </w:tabs>
              <w:spacing w:before="120" w:after="120" w:line="240" w:lineRule="auto"/>
              <w:rPr>
                <w:rFonts w:cs="Arial"/>
                <w:b/>
                <w:sz w:val="16"/>
                <w:szCs w:val="16"/>
              </w:rPr>
            </w:pPr>
            <w:r>
              <w:rPr>
                <w:b/>
                <w:sz w:val="16"/>
              </w:rPr>
              <w:t>Information/description</w:t>
            </w:r>
          </w:p>
        </w:tc>
      </w:tr>
      <w:tr w:rsidR="00501862" w:rsidRPr="00AF6AA5" w14:paraId="6A68C202" w14:textId="77777777" w:rsidTr="008E0A38">
        <w:trPr>
          <w:trHeight w:val="1774"/>
        </w:trPr>
        <w:tc>
          <w:tcPr>
            <w:tcW w:w="2835" w:type="dxa"/>
          </w:tcPr>
          <w:p w14:paraId="376455C9" w14:textId="77777777" w:rsidR="00501862" w:rsidRDefault="004E7721" w:rsidP="008362E0">
            <w:pPr>
              <w:tabs>
                <w:tab w:val="left" w:pos="1418"/>
              </w:tabs>
              <w:spacing w:before="120" w:after="120" w:line="240" w:lineRule="auto"/>
              <w:rPr>
                <w:rFonts w:cs="Arial"/>
                <w:sz w:val="16"/>
                <w:szCs w:val="16"/>
              </w:rPr>
            </w:pPr>
            <w:r>
              <w:rPr>
                <w:sz w:val="16"/>
              </w:rPr>
              <w:t>Overall conclusion</w:t>
            </w:r>
          </w:p>
          <w:p w14:paraId="1F3BD37E" w14:textId="77777777" w:rsidR="0039072C" w:rsidRDefault="0039072C" w:rsidP="008362E0">
            <w:pPr>
              <w:tabs>
                <w:tab w:val="left" w:pos="1418"/>
              </w:tabs>
              <w:spacing w:before="120" w:after="120" w:line="240" w:lineRule="auto"/>
              <w:rPr>
                <w:rFonts w:cs="Arial"/>
                <w:sz w:val="16"/>
                <w:szCs w:val="16"/>
              </w:rPr>
            </w:pPr>
          </w:p>
          <w:p w14:paraId="552D4996" w14:textId="77777777" w:rsidR="0039072C" w:rsidRDefault="0039072C" w:rsidP="008362E0">
            <w:pPr>
              <w:tabs>
                <w:tab w:val="left" w:pos="1418"/>
              </w:tabs>
              <w:spacing w:before="120" w:after="120" w:line="240" w:lineRule="auto"/>
              <w:rPr>
                <w:rFonts w:cs="Arial"/>
                <w:sz w:val="16"/>
                <w:szCs w:val="16"/>
              </w:rPr>
            </w:pPr>
          </w:p>
          <w:p w14:paraId="456CDDE7" w14:textId="77777777" w:rsidR="0039072C" w:rsidRDefault="0039072C" w:rsidP="008362E0">
            <w:pPr>
              <w:tabs>
                <w:tab w:val="left" w:pos="1418"/>
              </w:tabs>
              <w:spacing w:before="120" w:after="120" w:line="240" w:lineRule="auto"/>
              <w:rPr>
                <w:rFonts w:cs="Arial"/>
                <w:sz w:val="16"/>
                <w:szCs w:val="16"/>
              </w:rPr>
            </w:pPr>
          </w:p>
          <w:p w14:paraId="7C89BBA9" w14:textId="77777777" w:rsidR="0039072C" w:rsidRDefault="0039072C" w:rsidP="008362E0">
            <w:pPr>
              <w:tabs>
                <w:tab w:val="left" w:pos="1418"/>
              </w:tabs>
              <w:spacing w:before="120" w:after="120" w:line="240" w:lineRule="auto"/>
              <w:rPr>
                <w:rFonts w:cs="Arial"/>
                <w:sz w:val="16"/>
                <w:szCs w:val="16"/>
              </w:rPr>
            </w:pPr>
          </w:p>
          <w:p w14:paraId="4AF12CF1" w14:textId="77777777" w:rsidR="0039072C" w:rsidRPr="0045532C" w:rsidRDefault="0039072C" w:rsidP="008362E0">
            <w:pPr>
              <w:tabs>
                <w:tab w:val="left" w:pos="1418"/>
              </w:tabs>
              <w:spacing w:before="120" w:after="120" w:line="240" w:lineRule="auto"/>
              <w:rPr>
                <w:rFonts w:cs="Arial"/>
                <w:sz w:val="16"/>
                <w:szCs w:val="16"/>
              </w:rPr>
            </w:pPr>
          </w:p>
        </w:tc>
        <w:tc>
          <w:tcPr>
            <w:tcW w:w="11482" w:type="dxa"/>
          </w:tcPr>
          <w:p w14:paraId="2155FEC8" w14:textId="77777777" w:rsidR="00501862" w:rsidRPr="00E60F3F" w:rsidRDefault="00501862" w:rsidP="008362E0">
            <w:pPr>
              <w:spacing w:before="120" w:after="120" w:line="240" w:lineRule="auto"/>
              <w:rPr>
                <w:rFonts w:cs="Arial"/>
                <w:sz w:val="6"/>
                <w:szCs w:val="6"/>
                <w:highlight w:val="yellow"/>
              </w:rPr>
            </w:pPr>
          </w:p>
          <w:tbl>
            <w:tblPr>
              <w:tblStyle w:val="TableGrid"/>
              <w:tblW w:w="0" w:type="auto"/>
              <w:tblLook w:val="04A0" w:firstRow="1" w:lastRow="0" w:firstColumn="1" w:lastColumn="0" w:noHBand="0" w:noVBand="1"/>
            </w:tblPr>
            <w:tblGrid>
              <w:gridCol w:w="5619"/>
              <w:gridCol w:w="5508"/>
            </w:tblGrid>
            <w:tr w:rsidR="00501862" w:rsidRPr="00E60F3F" w14:paraId="63BCBB72" w14:textId="77777777" w:rsidTr="008E0A38">
              <w:tc>
                <w:tcPr>
                  <w:tcW w:w="5681" w:type="dxa"/>
                  <w:shd w:val="clear" w:color="auto" w:fill="D9D9D9" w:themeFill="background1" w:themeFillShade="D9"/>
                  <w:tcMar>
                    <w:left w:w="0" w:type="dxa"/>
                  </w:tcMar>
                </w:tcPr>
                <w:p w14:paraId="7B1C0157" w14:textId="77777777" w:rsidR="00501862" w:rsidRPr="00E60F3F" w:rsidRDefault="00501862" w:rsidP="008362E0">
                  <w:pPr>
                    <w:tabs>
                      <w:tab w:val="left" w:pos="1859"/>
                    </w:tabs>
                    <w:spacing w:before="120" w:after="120" w:line="240" w:lineRule="auto"/>
                    <w:ind w:left="34"/>
                    <w:rPr>
                      <w:rFonts w:cs="Arial"/>
                      <w:b/>
                      <w:sz w:val="16"/>
                      <w:szCs w:val="16"/>
                    </w:rPr>
                  </w:pPr>
                  <w:r>
                    <w:rPr>
                      <w:b/>
                      <w:sz w:val="16"/>
                    </w:rPr>
                    <w:t>Confirmation in audit report:</w:t>
                  </w:r>
                </w:p>
              </w:tc>
              <w:tc>
                <w:tcPr>
                  <w:tcW w:w="5575" w:type="dxa"/>
                  <w:shd w:val="clear" w:color="auto" w:fill="D9D9D9" w:themeFill="background1" w:themeFillShade="D9"/>
                </w:tcPr>
                <w:p w14:paraId="7C6C59C4" w14:textId="77777777" w:rsidR="00501862" w:rsidRPr="00E60F3F" w:rsidRDefault="00501862" w:rsidP="008362E0">
                  <w:pPr>
                    <w:tabs>
                      <w:tab w:val="left" w:pos="1859"/>
                    </w:tabs>
                    <w:spacing w:before="120" w:after="120" w:line="240" w:lineRule="auto"/>
                    <w:rPr>
                      <w:rFonts w:cs="Arial"/>
                      <w:b/>
                      <w:sz w:val="16"/>
                      <w:szCs w:val="16"/>
                    </w:rPr>
                  </w:pPr>
                  <w:r>
                    <w:rPr>
                      <w:b/>
                      <w:sz w:val="16"/>
                    </w:rPr>
                    <w:t>Conclusion:</w:t>
                  </w:r>
                </w:p>
              </w:tc>
            </w:tr>
            <w:tr w:rsidR="00501862" w:rsidRPr="00AF6AA5" w14:paraId="6BD1DE94" w14:textId="77777777" w:rsidTr="008E0A38">
              <w:tc>
                <w:tcPr>
                  <w:tcW w:w="5681" w:type="dxa"/>
                  <w:tcMar>
                    <w:left w:w="0" w:type="dxa"/>
                  </w:tcMar>
                </w:tcPr>
                <w:p w14:paraId="5A6FFF5F" w14:textId="77777777" w:rsidR="00501862" w:rsidRPr="00A449F0" w:rsidRDefault="00501862" w:rsidP="00FB2DC8">
                  <w:pPr>
                    <w:spacing w:before="120" w:after="120" w:line="240" w:lineRule="auto"/>
                    <w:ind w:left="34"/>
                    <w:rPr>
                      <w:rFonts w:cs="Arial"/>
                      <w:sz w:val="16"/>
                      <w:szCs w:val="16"/>
                    </w:rPr>
                  </w:pPr>
                  <w:r>
                    <w:rPr>
                      <w:sz w:val="16"/>
                    </w:rPr>
                    <w:t>Confirmation that the methods/processes used to identify, measure, manage and monitor the other risks in connection with compliance issues were adequate and, in the case of the audit depth “audit”, were applied effectively.</w:t>
                  </w:r>
                </w:p>
              </w:tc>
              <w:tc>
                <w:tcPr>
                  <w:tcW w:w="5575" w:type="dxa"/>
                </w:tcPr>
                <w:p w14:paraId="15A4BC20" w14:textId="77777777" w:rsidR="00501862" w:rsidRPr="00E60F3F" w:rsidRDefault="00501862" w:rsidP="009809D7">
                  <w:pPr>
                    <w:tabs>
                      <w:tab w:val="left" w:pos="1859"/>
                    </w:tabs>
                    <w:spacing w:before="120" w:after="120" w:line="240" w:lineRule="auto"/>
                    <w:rPr>
                      <w:rFonts w:cs="Arial"/>
                      <w:i/>
                      <w:sz w:val="16"/>
                      <w:szCs w:val="16"/>
                    </w:rPr>
                  </w:pPr>
                  <w:r>
                    <w:rPr>
                      <w:b/>
                      <w:bCs/>
                      <w:i/>
                      <w:sz w:val="16"/>
                      <w:highlight w:val="yellow"/>
                    </w:rPr>
                    <w:t>Yes</w:t>
                  </w:r>
                  <w:r>
                    <w:rPr>
                      <w:i/>
                      <w:sz w:val="16"/>
                      <w:highlight w:val="yellow"/>
                    </w:rPr>
                    <w:t xml:space="preserve"> (Audit/critical assessment) / </w:t>
                  </w:r>
                  <w:r>
                    <w:rPr>
                      <w:b/>
                      <w:bCs/>
                      <w:i/>
                      <w:sz w:val="16"/>
                      <w:highlight w:val="yellow"/>
                    </w:rPr>
                    <w:t>No</w:t>
                  </w:r>
                  <w:r>
                    <w:rPr>
                      <w:b/>
                      <w:i/>
                      <w:sz w:val="16"/>
                      <w:highlight w:val="yellow"/>
                    </w:rPr>
                    <w:t xml:space="preserve"> </w:t>
                  </w:r>
                </w:p>
              </w:tc>
            </w:tr>
          </w:tbl>
          <w:p w14:paraId="6D54D47D" w14:textId="77777777" w:rsidR="00501862" w:rsidRPr="003613F7" w:rsidRDefault="00501862" w:rsidP="008362E0">
            <w:pPr>
              <w:tabs>
                <w:tab w:val="left" w:pos="1859"/>
              </w:tabs>
              <w:spacing w:before="120" w:after="120" w:line="240" w:lineRule="auto"/>
              <w:rPr>
                <w:rFonts w:cs="Arial"/>
                <w:sz w:val="16"/>
                <w:szCs w:val="16"/>
              </w:rPr>
            </w:pPr>
          </w:p>
        </w:tc>
      </w:tr>
      <w:tr w:rsidR="00501862" w:rsidRPr="0045532C" w14:paraId="6223120B" w14:textId="77777777" w:rsidTr="008E0A38">
        <w:trPr>
          <w:trHeight w:val="561"/>
        </w:trPr>
        <w:tc>
          <w:tcPr>
            <w:tcW w:w="2835" w:type="dxa"/>
          </w:tcPr>
          <w:p w14:paraId="4FE7B7A5" w14:textId="77777777" w:rsidR="00501862" w:rsidRPr="008B4EB5" w:rsidRDefault="00501862" w:rsidP="009809D7">
            <w:pPr>
              <w:tabs>
                <w:tab w:val="left" w:pos="1418"/>
              </w:tabs>
              <w:spacing w:before="120" w:after="120" w:line="240" w:lineRule="auto"/>
              <w:rPr>
                <w:rFonts w:cs="Arial"/>
                <w:sz w:val="16"/>
                <w:szCs w:val="16"/>
              </w:rPr>
            </w:pPr>
            <w:r w:rsidRPr="008B4EB5">
              <w:rPr>
                <w:sz w:val="16"/>
                <w:szCs w:val="16"/>
              </w:rPr>
              <w:t>Summary of significant findings / notices of reservations and recommendations</w:t>
            </w:r>
            <w:r w:rsidRPr="008B4EB5">
              <w:rPr>
                <w:sz w:val="16"/>
                <w:szCs w:val="16"/>
              </w:rPr>
              <w:br/>
              <w:t>(see details below)</w:t>
            </w:r>
          </w:p>
        </w:tc>
        <w:tc>
          <w:tcPr>
            <w:tcW w:w="11482" w:type="dxa"/>
          </w:tcPr>
          <w:p w14:paraId="077D0485" w14:textId="77777777" w:rsidR="00501862" w:rsidRPr="00DF3B47" w:rsidRDefault="00501862" w:rsidP="009809D7">
            <w:pPr>
              <w:tabs>
                <w:tab w:val="left" w:pos="1859"/>
              </w:tabs>
              <w:spacing w:before="120" w:after="120" w:line="240" w:lineRule="auto"/>
              <w:rPr>
                <w:rFonts w:cs="Arial"/>
                <w:sz w:val="16"/>
                <w:szCs w:val="16"/>
              </w:rPr>
            </w:pPr>
            <w:r>
              <w:rPr>
                <w:sz w:val="16"/>
              </w:rPr>
              <w:t>[</w:t>
            </w:r>
            <w:r>
              <w:rPr>
                <w:sz w:val="16"/>
                <w:highlight w:val="yellow"/>
              </w:rPr>
              <w:t>Summary of significant findings] / [Notices of reservations and recommendations]</w:t>
            </w:r>
          </w:p>
        </w:tc>
      </w:tr>
      <w:tr w:rsidR="00501862" w:rsidRPr="0045532C" w14:paraId="7F4C9680" w14:textId="77777777" w:rsidTr="008E0A38">
        <w:trPr>
          <w:trHeight w:val="561"/>
        </w:trPr>
        <w:tc>
          <w:tcPr>
            <w:tcW w:w="2835" w:type="dxa"/>
          </w:tcPr>
          <w:p w14:paraId="767824E2" w14:textId="77777777" w:rsidR="00501862" w:rsidRPr="0045532C" w:rsidRDefault="00501862" w:rsidP="008362E0">
            <w:pPr>
              <w:tabs>
                <w:tab w:val="left" w:pos="1418"/>
              </w:tabs>
              <w:spacing w:before="120" w:after="120" w:line="240" w:lineRule="auto"/>
              <w:rPr>
                <w:rFonts w:cs="Arial"/>
                <w:sz w:val="16"/>
                <w:szCs w:val="16"/>
              </w:rPr>
            </w:pPr>
            <w:r>
              <w:rPr>
                <w:sz w:val="16"/>
              </w:rPr>
              <w:t>Audit areas, results and work performed by Internal Audit relied on by the audit firm (including audit firm’s own assessment)</w:t>
            </w:r>
          </w:p>
        </w:tc>
        <w:tc>
          <w:tcPr>
            <w:tcW w:w="11482" w:type="dxa"/>
          </w:tcPr>
          <w:p w14:paraId="7A2BD9B9" w14:textId="77777777" w:rsidR="00501862" w:rsidRPr="0045532C" w:rsidRDefault="00501862" w:rsidP="008362E0">
            <w:pPr>
              <w:spacing w:before="120" w:after="120" w:line="240" w:lineRule="auto"/>
              <w:rPr>
                <w:rFonts w:cs="Arial"/>
                <w:sz w:val="16"/>
                <w:szCs w:val="16"/>
                <w:highlight w:val="yellow"/>
              </w:rPr>
            </w:pPr>
            <w:r>
              <w:rPr>
                <w:sz w:val="16"/>
                <w:highlight w:val="yellow"/>
              </w:rPr>
              <w:t>[Description]</w:t>
            </w:r>
          </w:p>
        </w:tc>
      </w:tr>
    </w:tbl>
    <w:p w14:paraId="383695ED" w14:textId="77777777" w:rsidR="00501862" w:rsidRPr="0045532C" w:rsidRDefault="00501862" w:rsidP="008362E0">
      <w:pPr>
        <w:spacing w:before="120" w:after="120" w:line="240" w:lineRule="auto"/>
        <w:rPr>
          <w:rFonts w:cs="Arial"/>
        </w:rPr>
      </w:pPr>
      <w:r>
        <w:br w:type="page"/>
      </w:r>
    </w:p>
    <w:p w14:paraId="21226E74" w14:textId="77777777" w:rsidR="00501862" w:rsidRPr="00163FB7" w:rsidRDefault="00501862" w:rsidP="008362E0">
      <w:pPr>
        <w:spacing w:before="120" w:after="120" w:line="240" w:lineRule="auto"/>
        <w:rPr>
          <w:rFonts w:cs="Arial"/>
          <w:u w:val="single"/>
        </w:rPr>
      </w:pPr>
      <w:r>
        <w:rPr>
          <w:b/>
          <w:bCs/>
          <w:u w:val="single"/>
        </w:rPr>
        <w:lastRenderedPageBreak/>
        <w:t>Work programme – Other risks in connection with compliance issues</w:t>
      </w:r>
      <w:r>
        <w:rPr>
          <w:u w:val="single"/>
        </w:rPr>
        <w:t xml:space="preserve"> – Change management</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969"/>
        <w:gridCol w:w="3827"/>
        <w:gridCol w:w="3402"/>
        <w:gridCol w:w="992"/>
      </w:tblGrid>
      <w:tr w:rsidR="00501862" w:rsidRPr="00DB7CF3" w14:paraId="0BBE75E8" w14:textId="77777777" w:rsidTr="00810864">
        <w:trPr>
          <w:tblHeader/>
        </w:trPr>
        <w:tc>
          <w:tcPr>
            <w:tcW w:w="531" w:type="dxa"/>
            <w:tcBorders>
              <w:bottom w:val="single" w:sz="4" w:space="0" w:color="auto"/>
            </w:tcBorders>
            <w:shd w:val="pct20" w:color="auto" w:fill="auto"/>
          </w:tcPr>
          <w:p w14:paraId="40F42B50" w14:textId="77777777" w:rsidR="00501862" w:rsidRPr="00DB7CF3" w:rsidRDefault="00501862" w:rsidP="008362E0">
            <w:pPr>
              <w:spacing w:before="120" w:after="120" w:line="240" w:lineRule="auto"/>
              <w:rPr>
                <w:rFonts w:cs="Arial"/>
                <w:b/>
                <w:sz w:val="16"/>
                <w:szCs w:val="16"/>
              </w:rPr>
            </w:pPr>
            <w:r>
              <w:rPr>
                <w:b/>
                <w:sz w:val="16"/>
              </w:rPr>
              <w:t>No.</w:t>
            </w:r>
          </w:p>
        </w:tc>
        <w:tc>
          <w:tcPr>
            <w:tcW w:w="1596" w:type="dxa"/>
            <w:tcBorders>
              <w:bottom w:val="single" w:sz="4" w:space="0" w:color="auto"/>
            </w:tcBorders>
            <w:shd w:val="pct20" w:color="auto" w:fill="auto"/>
          </w:tcPr>
          <w:p w14:paraId="722E675D" w14:textId="77777777" w:rsidR="00501862" w:rsidRPr="00DB7CF3" w:rsidRDefault="00501862" w:rsidP="008362E0">
            <w:pPr>
              <w:spacing w:before="120" w:after="120" w:line="240" w:lineRule="auto"/>
              <w:rPr>
                <w:rFonts w:cs="Arial"/>
                <w:b/>
                <w:sz w:val="16"/>
                <w:szCs w:val="16"/>
              </w:rPr>
            </w:pPr>
            <w:r>
              <w:rPr>
                <w:b/>
                <w:sz w:val="16"/>
              </w:rPr>
              <w:t>Topic</w:t>
            </w:r>
          </w:p>
        </w:tc>
        <w:tc>
          <w:tcPr>
            <w:tcW w:w="3969" w:type="dxa"/>
            <w:tcBorders>
              <w:bottom w:val="single" w:sz="4" w:space="0" w:color="auto"/>
            </w:tcBorders>
            <w:shd w:val="pct20" w:color="auto" w:fill="auto"/>
          </w:tcPr>
          <w:p w14:paraId="794049AD" w14:textId="7E467603" w:rsidR="00501862" w:rsidRPr="00DB7CF3" w:rsidRDefault="00501862" w:rsidP="003530ED">
            <w:pPr>
              <w:spacing w:before="120" w:after="120" w:line="240" w:lineRule="auto"/>
              <w:rPr>
                <w:rFonts w:cs="Arial"/>
                <w:b/>
                <w:sz w:val="16"/>
                <w:szCs w:val="16"/>
              </w:rPr>
            </w:pPr>
            <w:r>
              <w:rPr>
                <w:b/>
                <w:sz w:val="16"/>
              </w:rPr>
              <w:t xml:space="preserve">Procedures for audit depth </w:t>
            </w:r>
            <w:r>
              <w:rPr>
                <w:b/>
                <w:sz w:val="16"/>
              </w:rPr>
              <w:br/>
              <w:t>“critical assessment”:</w:t>
            </w:r>
          </w:p>
        </w:tc>
        <w:tc>
          <w:tcPr>
            <w:tcW w:w="3827" w:type="dxa"/>
            <w:tcBorders>
              <w:bottom w:val="single" w:sz="4" w:space="0" w:color="auto"/>
            </w:tcBorders>
            <w:shd w:val="pct20" w:color="auto" w:fill="auto"/>
          </w:tcPr>
          <w:p w14:paraId="32576B75" w14:textId="702A5CAE" w:rsidR="00501862" w:rsidRPr="00DB7CF3" w:rsidRDefault="00501862" w:rsidP="00A66BB2">
            <w:pPr>
              <w:spacing w:before="120" w:after="120" w:line="240" w:lineRule="auto"/>
              <w:rPr>
                <w:rFonts w:cs="Arial"/>
                <w:b/>
                <w:sz w:val="16"/>
                <w:szCs w:val="16"/>
              </w:rPr>
            </w:pPr>
            <w:r>
              <w:rPr>
                <w:b/>
                <w:sz w:val="16"/>
                <w:u w:val="single"/>
              </w:rPr>
              <w:t>Additional</w:t>
            </w:r>
            <w:r>
              <w:rPr>
                <w:b/>
                <w:sz w:val="16"/>
              </w:rPr>
              <w:t xml:space="preserve"> procedures for audit depth “audit”:</w:t>
            </w:r>
          </w:p>
        </w:tc>
        <w:tc>
          <w:tcPr>
            <w:tcW w:w="3402" w:type="dxa"/>
            <w:tcBorders>
              <w:bottom w:val="single" w:sz="4" w:space="0" w:color="auto"/>
            </w:tcBorders>
            <w:shd w:val="pct20" w:color="auto" w:fill="auto"/>
          </w:tcPr>
          <w:p w14:paraId="5EC239D9" w14:textId="77777777" w:rsidR="00501862" w:rsidRPr="00DB7CF3" w:rsidRDefault="00501862" w:rsidP="008362E0">
            <w:pPr>
              <w:spacing w:before="120" w:after="120" w:line="240" w:lineRule="auto"/>
              <w:rPr>
                <w:rFonts w:cs="Arial"/>
                <w:b/>
                <w:sz w:val="16"/>
                <w:szCs w:val="16"/>
              </w:rPr>
            </w:pPr>
            <w:r>
              <w:rPr>
                <w:b/>
                <w:sz w:val="16"/>
              </w:rPr>
              <w:t>Procedures performed/findings</w:t>
            </w:r>
          </w:p>
        </w:tc>
        <w:tc>
          <w:tcPr>
            <w:tcW w:w="992" w:type="dxa"/>
            <w:tcBorders>
              <w:bottom w:val="single" w:sz="4" w:space="0" w:color="auto"/>
            </w:tcBorders>
            <w:shd w:val="pct20" w:color="auto" w:fill="auto"/>
          </w:tcPr>
          <w:p w14:paraId="5C322B92" w14:textId="77777777" w:rsidR="00501862" w:rsidRPr="00DB7CF3" w:rsidRDefault="00501862" w:rsidP="008362E0">
            <w:pPr>
              <w:spacing w:before="120" w:after="120" w:line="240" w:lineRule="auto"/>
              <w:rPr>
                <w:rFonts w:cs="Arial"/>
                <w:b/>
                <w:sz w:val="16"/>
                <w:szCs w:val="16"/>
              </w:rPr>
            </w:pPr>
            <w:r>
              <w:rPr>
                <w:b/>
                <w:sz w:val="16"/>
              </w:rPr>
              <w:t>WP ref.:</w:t>
            </w:r>
          </w:p>
        </w:tc>
      </w:tr>
      <w:tr w:rsidR="00501862" w:rsidRPr="008B4EB5" w14:paraId="407FDA65" w14:textId="77777777" w:rsidTr="008E0A38">
        <w:tc>
          <w:tcPr>
            <w:tcW w:w="14317" w:type="dxa"/>
            <w:gridSpan w:val="6"/>
            <w:shd w:val="pct10" w:color="auto" w:fill="auto"/>
          </w:tcPr>
          <w:p w14:paraId="24BDEE0B" w14:textId="77777777" w:rsidR="00501862" w:rsidRPr="00604F75" w:rsidRDefault="00501862" w:rsidP="008362E0">
            <w:pPr>
              <w:spacing w:before="120" w:after="120" w:line="240" w:lineRule="auto"/>
              <w:rPr>
                <w:rFonts w:cs="Arial"/>
                <w:i/>
                <w:sz w:val="16"/>
                <w:szCs w:val="16"/>
              </w:rPr>
            </w:pPr>
            <w:r>
              <w:rPr>
                <w:i/>
                <w:sz w:val="16"/>
              </w:rPr>
              <w:t>Confirmation that methods/processes for identification, measurement, management and monitoring of other risks in connection with compliance issues were adequate and, in case of the audit depth “audit”, were applied effectively.</w:t>
            </w:r>
          </w:p>
          <w:p w14:paraId="2561EEA5" w14:textId="77777777" w:rsidR="00501862" w:rsidRPr="008B4EB5" w:rsidRDefault="00501862" w:rsidP="008362E0">
            <w:pPr>
              <w:spacing w:before="120" w:after="120" w:line="240" w:lineRule="auto"/>
              <w:rPr>
                <w:bCs/>
                <w:i/>
                <w:sz w:val="16"/>
                <w:szCs w:val="16"/>
                <w:lang w:val="de-CH"/>
              </w:rPr>
            </w:pPr>
            <w:r w:rsidRPr="008B4EB5">
              <w:rPr>
                <w:i/>
                <w:sz w:val="16"/>
                <w:lang w:val="de-CH"/>
              </w:rPr>
              <w:t>Bestätigung, dass die Methoden / Prozesse zur Identifikation, Messung, Bewirtschaftung und Überwachung von anderen Risiken im Zusammenhang mit Compliance-Fragen angemessen waren und im Falle der Prüftiefe „Prüfung“ effektiv angewendet wurden.</w:t>
            </w:r>
          </w:p>
          <w:p w14:paraId="390CF0D4" w14:textId="77777777" w:rsidR="00501862" w:rsidRPr="008B4EB5" w:rsidRDefault="00501862" w:rsidP="008362E0">
            <w:pPr>
              <w:spacing w:before="120" w:after="120" w:line="240" w:lineRule="auto"/>
              <w:rPr>
                <w:bCs/>
                <w:i/>
                <w:sz w:val="16"/>
                <w:szCs w:val="16"/>
                <w:lang w:val="fr-CH"/>
              </w:rPr>
            </w:pPr>
            <w:r w:rsidRPr="008B4EB5">
              <w:rPr>
                <w:i/>
                <w:sz w:val="16"/>
                <w:lang w:val="fr-CH"/>
              </w:rPr>
              <w:t>Confirmation que les méthodes / processus relatifs à l’identification, la mesure, la gestion et la surveillance des autres risques en lien avec les questions de compliance ont été appropriés et en cas d’étendue d’audit « audit » ont été effectivement appliqués.</w:t>
            </w:r>
          </w:p>
        </w:tc>
      </w:tr>
      <w:tr w:rsidR="00501862" w:rsidRPr="00AF6AA5" w14:paraId="3D2FD788" w14:textId="77777777" w:rsidTr="00810864">
        <w:tc>
          <w:tcPr>
            <w:tcW w:w="531" w:type="dxa"/>
            <w:vMerge w:val="restart"/>
            <w:shd w:val="clear" w:color="auto" w:fill="auto"/>
          </w:tcPr>
          <w:p w14:paraId="03EA2551" w14:textId="77777777" w:rsidR="00501862" w:rsidRPr="00604F75" w:rsidRDefault="00501862" w:rsidP="008362E0">
            <w:pPr>
              <w:spacing w:before="120" w:after="120" w:line="240" w:lineRule="auto"/>
              <w:rPr>
                <w:rFonts w:cs="Arial"/>
                <w:sz w:val="16"/>
                <w:szCs w:val="16"/>
                <w:lang w:val="fr-CH"/>
              </w:rPr>
            </w:pPr>
          </w:p>
        </w:tc>
        <w:tc>
          <w:tcPr>
            <w:tcW w:w="1596" w:type="dxa"/>
            <w:vMerge w:val="restart"/>
            <w:shd w:val="clear" w:color="auto" w:fill="auto"/>
          </w:tcPr>
          <w:p w14:paraId="48A658FC" w14:textId="05AFD4FF" w:rsidR="00501862" w:rsidRPr="001513B6" w:rsidRDefault="00501862" w:rsidP="00F61ADA">
            <w:pPr>
              <w:spacing w:before="120" w:after="120" w:line="240" w:lineRule="auto"/>
              <w:rPr>
                <w:rFonts w:cs="Arial"/>
                <w:b/>
                <w:sz w:val="16"/>
                <w:szCs w:val="16"/>
              </w:rPr>
            </w:pPr>
            <w:r w:rsidRPr="008B4EB5">
              <w:rPr>
                <w:b/>
                <w:bCs/>
                <w:sz w:val="16"/>
                <w:szCs w:val="16"/>
              </w:rPr>
              <w:t>Legal and regulatory change management</w:t>
            </w:r>
            <w:r w:rsidR="00A030F9">
              <w:rPr>
                <w:rStyle w:val="FootnoteReference"/>
                <w:b/>
                <w:sz w:val="16"/>
              </w:rPr>
              <w:footnoteReference w:id="3"/>
            </w:r>
          </w:p>
        </w:tc>
        <w:tc>
          <w:tcPr>
            <w:tcW w:w="3969" w:type="dxa"/>
            <w:shd w:val="clear" w:color="auto" w:fill="auto"/>
          </w:tcPr>
          <w:p w14:paraId="30B09D1B" w14:textId="4D4AADB5" w:rsidR="00501862" w:rsidRPr="00DE68E5" w:rsidRDefault="00501862" w:rsidP="00F61ADA">
            <w:pPr>
              <w:pStyle w:val="Bullet"/>
              <w:numPr>
                <w:ilvl w:val="0"/>
                <w:numId w:val="0"/>
              </w:numPr>
              <w:spacing w:before="120" w:after="120"/>
              <w:rPr>
                <w:i/>
              </w:rPr>
            </w:pPr>
            <w:r>
              <w:rPr>
                <w:i/>
              </w:rPr>
              <w:t>Assess the adequacy of the methods/processes for the identification, measurement, management and monitoring of legal and regulatory developments as well as the changes to the business considering the size, business and organisational complexity and the compliance risk of the institution, specifically:</w:t>
            </w:r>
          </w:p>
        </w:tc>
        <w:tc>
          <w:tcPr>
            <w:tcW w:w="3827" w:type="dxa"/>
            <w:shd w:val="clear" w:color="auto" w:fill="auto"/>
          </w:tcPr>
          <w:p w14:paraId="0287DB52" w14:textId="6D6720E1" w:rsidR="00501862" w:rsidRPr="001D46BF" w:rsidRDefault="00501862" w:rsidP="008362E0">
            <w:pPr>
              <w:pStyle w:val="Bullet"/>
              <w:numPr>
                <w:ilvl w:val="0"/>
                <w:numId w:val="0"/>
              </w:numPr>
              <w:spacing w:before="120" w:after="120"/>
            </w:pPr>
          </w:p>
        </w:tc>
        <w:tc>
          <w:tcPr>
            <w:tcW w:w="3402" w:type="dxa"/>
            <w:shd w:val="clear" w:color="auto" w:fill="auto"/>
          </w:tcPr>
          <w:p w14:paraId="30F58958"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56A2C36C" w14:textId="519B6D49" w:rsidR="00501862" w:rsidRPr="001D46BF" w:rsidRDefault="00501862" w:rsidP="00580691">
            <w:pPr>
              <w:spacing w:before="120" w:after="120" w:line="240" w:lineRule="auto"/>
              <w:rPr>
                <w:rFonts w:cs="Arial"/>
                <w:sz w:val="16"/>
                <w:szCs w:val="16"/>
              </w:rPr>
            </w:pPr>
          </w:p>
        </w:tc>
      </w:tr>
      <w:tr w:rsidR="00501862" w:rsidRPr="00AF6AA5" w14:paraId="629283D4" w14:textId="77777777" w:rsidTr="00810864">
        <w:tc>
          <w:tcPr>
            <w:tcW w:w="531" w:type="dxa"/>
            <w:vMerge/>
            <w:shd w:val="clear" w:color="auto" w:fill="auto"/>
          </w:tcPr>
          <w:p w14:paraId="6F6C5951"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2AAB5B42" w14:textId="77777777" w:rsidR="00501862" w:rsidRPr="001D46BF" w:rsidRDefault="00501862" w:rsidP="008362E0">
            <w:pPr>
              <w:spacing w:before="120" w:after="120" w:line="240" w:lineRule="auto"/>
              <w:rPr>
                <w:rFonts w:cs="Arial"/>
                <w:b/>
                <w:sz w:val="16"/>
                <w:szCs w:val="16"/>
              </w:rPr>
            </w:pPr>
          </w:p>
        </w:tc>
        <w:tc>
          <w:tcPr>
            <w:tcW w:w="3969" w:type="dxa"/>
            <w:shd w:val="clear" w:color="auto" w:fill="auto"/>
          </w:tcPr>
          <w:p w14:paraId="0AD8BCEF" w14:textId="77777777" w:rsidR="00501862" w:rsidRDefault="00501862" w:rsidP="008362E0">
            <w:pPr>
              <w:pStyle w:val="Bullet"/>
              <w:numPr>
                <w:ilvl w:val="0"/>
                <w:numId w:val="0"/>
              </w:numPr>
              <w:spacing w:before="120" w:after="120"/>
            </w:pPr>
            <w:r>
              <w:t xml:space="preserve">Assess the adequacy of the institution processes for the: </w:t>
            </w:r>
          </w:p>
          <w:p w14:paraId="37D4DB04" w14:textId="3744106C" w:rsidR="00501862" w:rsidRDefault="00501862" w:rsidP="008362E0">
            <w:pPr>
              <w:pStyle w:val="Bullet"/>
              <w:numPr>
                <w:ilvl w:val="0"/>
                <w:numId w:val="10"/>
              </w:numPr>
              <w:spacing w:before="120" w:after="120"/>
              <w:ind w:left="170" w:hanging="170"/>
            </w:pPr>
            <w:r>
              <w:t>preparation, quality control and approval of a periodic overview of relevant legal and regulatory changes;</w:t>
            </w:r>
          </w:p>
          <w:p w14:paraId="7BE2F926" w14:textId="51D7BA47" w:rsidR="00501862" w:rsidRDefault="00501862" w:rsidP="008362E0">
            <w:pPr>
              <w:pStyle w:val="Bullet"/>
              <w:numPr>
                <w:ilvl w:val="0"/>
                <w:numId w:val="10"/>
              </w:numPr>
              <w:spacing w:before="120" w:after="120"/>
              <w:ind w:left="170" w:hanging="170"/>
            </w:pPr>
            <w:r>
              <w:t>performance of a business impact analysis on the relevant legal and regulatory changes;</w:t>
            </w:r>
          </w:p>
          <w:p w14:paraId="4D7D18B2" w14:textId="77777777" w:rsidR="00501862" w:rsidRPr="00686304" w:rsidRDefault="00501862" w:rsidP="008362E0">
            <w:pPr>
              <w:pStyle w:val="Bullet"/>
              <w:numPr>
                <w:ilvl w:val="0"/>
                <w:numId w:val="10"/>
              </w:numPr>
              <w:spacing w:before="120" w:after="120"/>
              <w:ind w:left="170" w:hanging="170"/>
            </w:pPr>
            <w:r>
              <w:t>timely planning and initiation of action and measures to respond to the changes.</w:t>
            </w:r>
          </w:p>
        </w:tc>
        <w:tc>
          <w:tcPr>
            <w:tcW w:w="3827" w:type="dxa"/>
            <w:shd w:val="clear" w:color="auto" w:fill="auto"/>
          </w:tcPr>
          <w:p w14:paraId="53294219" w14:textId="5CC086AB" w:rsidR="00501862" w:rsidRPr="00E802B3" w:rsidRDefault="00501862" w:rsidP="008362E0">
            <w:pPr>
              <w:pStyle w:val="Bullet"/>
              <w:numPr>
                <w:ilvl w:val="0"/>
                <w:numId w:val="0"/>
              </w:numPr>
              <w:spacing w:before="120" w:after="120"/>
            </w:pPr>
            <w:r>
              <w:t>Verify the adequacy/comprehensiveness of the institution’s assessment of relevant legal and regulatory changes, and assess:</w:t>
            </w:r>
          </w:p>
          <w:p w14:paraId="70D9A653" w14:textId="77777777" w:rsidR="00501862" w:rsidRPr="00E802B3" w:rsidRDefault="00501862" w:rsidP="008362E0">
            <w:pPr>
              <w:pStyle w:val="Bullet"/>
              <w:numPr>
                <w:ilvl w:val="0"/>
                <w:numId w:val="11"/>
              </w:numPr>
              <w:spacing w:before="120" w:after="120"/>
              <w:ind w:left="170" w:hanging="170"/>
            </w:pPr>
            <w:r>
              <w:t>the bank’s assessment of the resulting business impact;</w:t>
            </w:r>
          </w:p>
          <w:p w14:paraId="68CEB7E9" w14:textId="77777777" w:rsidR="00501862" w:rsidRPr="00986A1C" w:rsidRDefault="00501862" w:rsidP="008362E0">
            <w:pPr>
              <w:pStyle w:val="Bullet"/>
              <w:numPr>
                <w:ilvl w:val="0"/>
                <w:numId w:val="11"/>
              </w:numPr>
              <w:spacing w:before="120" w:after="120"/>
              <w:ind w:left="170" w:hanging="170"/>
            </w:pPr>
            <w:r>
              <w:t>the initiation of measures to respond to the change based on our own understanding of these changes.</w:t>
            </w:r>
          </w:p>
        </w:tc>
        <w:tc>
          <w:tcPr>
            <w:tcW w:w="3402" w:type="dxa"/>
            <w:shd w:val="clear" w:color="auto" w:fill="auto"/>
          </w:tcPr>
          <w:p w14:paraId="5D7245ED"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03F17E9A" w14:textId="77777777" w:rsidR="00501862" w:rsidRPr="001D46BF" w:rsidRDefault="00501862" w:rsidP="008362E0">
            <w:pPr>
              <w:spacing w:before="120" w:after="120" w:line="240" w:lineRule="auto"/>
              <w:rPr>
                <w:rFonts w:cs="Arial"/>
                <w:sz w:val="16"/>
                <w:szCs w:val="16"/>
              </w:rPr>
            </w:pPr>
          </w:p>
        </w:tc>
      </w:tr>
      <w:tr w:rsidR="00501862" w:rsidRPr="00AF6AA5" w14:paraId="23C3A51C" w14:textId="77777777" w:rsidTr="00810864">
        <w:tc>
          <w:tcPr>
            <w:tcW w:w="531" w:type="dxa"/>
            <w:vMerge/>
            <w:shd w:val="clear" w:color="auto" w:fill="auto"/>
          </w:tcPr>
          <w:p w14:paraId="29D84A76"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69AD60AA" w14:textId="77777777" w:rsidR="00501862" w:rsidRPr="001D46BF" w:rsidRDefault="00501862" w:rsidP="008362E0">
            <w:pPr>
              <w:spacing w:before="120" w:after="120" w:line="240" w:lineRule="auto"/>
              <w:rPr>
                <w:rFonts w:cs="Arial"/>
                <w:b/>
                <w:sz w:val="16"/>
                <w:szCs w:val="16"/>
              </w:rPr>
            </w:pPr>
          </w:p>
        </w:tc>
        <w:tc>
          <w:tcPr>
            <w:tcW w:w="3969" w:type="dxa"/>
            <w:shd w:val="clear" w:color="auto" w:fill="auto"/>
          </w:tcPr>
          <w:p w14:paraId="3B6244C2" w14:textId="3EF1B8BD" w:rsidR="00501862" w:rsidRPr="00791040" w:rsidRDefault="00501862" w:rsidP="004F28D7">
            <w:pPr>
              <w:pStyle w:val="Bullet"/>
              <w:numPr>
                <w:ilvl w:val="0"/>
                <w:numId w:val="0"/>
              </w:numPr>
              <w:spacing w:before="120" w:after="120"/>
            </w:pPr>
            <w:r>
              <w:t>Assess whether adequate expertise and know-how has been used by the institution in order to identify the legal and regulatory changes, including assessment of the way to obtain information about regulatory changes.</w:t>
            </w:r>
          </w:p>
        </w:tc>
        <w:tc>
          <w:tcPr>
            <w:tcW w:w="3827" w:type="dxa"/>
            <w:shd w:val="clear" w:color="auto" w:fill="auto"/>
          </w:tcPr>
          <w:p w14:paraId="43F488A3" w14:textId="77777777" w:rsidR="00501862" w:rsidRPr="001D46BF" w:rsidRDefault="00501862" w:rsidP="008362E0">
            <w:pPr>
              <w:pStyle w:val="Bullet"/>
              <w:numPr>
                <w:ilvl w:val="0"/>
                <w:numId w:val="0"/>
              </w:numPr>
              <w:spacing w:before="120" w:after="120"/>
            </w:pPr>
          </w:p>
        </w:tc>
        <w:tc>
          <w:tcPr>
            <w:tcW w:w="3402" w:type="dxa"/>
            <w:shd w:val="clear" w:color="auto" w:fill="auto"/>
          </w:tcPr>
          <w:p w14:paraId="172ABDF8"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5DC68405" w14:textId="77777777" w:rsidR="00501862" w:rsidRPr="001D46BF" w:rsidRDefault="00501862" w:rsidP="008362E0">
            <w:pPr>
              <w:spacing w:before="120" w:after="120" w:line="240" w:lineRule="auto"/>
              <w:rPr>
                <w:rFonts w:cs="Arial"/>
                <w:sz w:val="16"/>
                <w:szCs w:val="16"/>
              </w:rPr>
            </w:pPr>
          </w:p>
        </w:tc>
      </w:tr>
      <w:tr w:rsidR="00501862" w:rsidRPr="00AF6AA5" w14:paraId="23DC111F" w14:textId="77777777" w:rsidTr="00810864">
        <w:tc>
          <w:tcPr>
            <w:tcW w:w="531" w:type="dxa"/>
            <w:vMerge/>
            <w:shd w:val="clear" w:color="auto" w:fill="auto"/>
          </w:tcPr>
          <w:p w14:paraId="23A1EF3A"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1663458F" w14:textId="77777777" w:rsidR="00501862" w:rsidRPr="001D46BF" w:rsidRDefault="00501862" w:rsidP="008362E0">
            <w:pPr>
              <w:spacing w:before="120" w:after="120" w:line="240" w:lineRule="auto"/>
              <w:rPr>
                <w:rFonts w:cs="Arial"/>
                <w:b/>
                <w:sz w:val="16"/>
                <w:szCs w:val="16"/>
              </w:rPr>
            </w:pPr>
          </w:p>
        </w:tc>
        <w:tc>
          <w:tcPr>
            <w:tcW w:w="3969" w:type="dxa"/>
            <w:shd w:val="clear" w:color="auto" w:fill="auto"/>
          </w:tcPr>
          <w:p w14:paraId="79704F58" w14:textId="2B37A7B5" w:rsidR="00501862" w:rsidRPr="00791040" w:rsidRDefault="00501862" w:rsidP="004F28D7">
            <w:pPr>
              <w:pStyle w:val="Bullet"/>
              <w:numPr>
                <w:ilvl w:val="0"/>
                <w:numId w:val="0"/>
              </w:numPr>
              <w:spacing w:before="120" w:after="120"/>
            </w:pPr>
            <w:r>
              <w:t xml:space="preserve">Assess the adequacy of reporting to and monitoring by the Executive Board and Board of Directors on </w:t>
            </w:r>
            <w:r>
              <w:lastRenderedPageBreak/>
              <w:t>legal and regulatory developments and the consequential changes and measures for the business.</w:t>
            </w:r>
          </w:p>
        </w:tc>
        <w:tc>
          <w:tcPr>
            <w:tcW w:w="3827" w:type="dxa"/>
            <w:shd w:val="clear" w:color="auto" w:fill="auto"/>
          </w:tcPr>
          <w:p w14:paraId="64A0DF59" w14:textId="77777777" w:rsidR="00501862" w:rsidRPr="001D46BF" w:rsidRDefault="00501862" w:rsidP="008362E0">
            <w:pPr>
              <w:pStyle w:val="Bullet"/>
              <w:numPr>
                <w:ilvl w:val="0"/>
                <w:numId w:val="0"/>
              </w:numPr>
              <w:spacing w:before="120" w:after="120"/>
            </w:pPr>
          </w:p>
        </w:tc>
        <w:tc>
          <w:tcPr>
            <w:tcW w:w="3402" w:type="dxa"/>
            <w:shd w:val="clear" w:color="auto" w:fill="auto"/>
          </w:tcPr>
          <w:p w14:paraId="0AA54741"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01AB4E00" w14:textId="77777777" w:rsidR="00501862" w:rsidRPr="001D46BF" w:rsidRDefault="00501862" w:rsidP="008362E0">
            <w:pPr>
              <w:spacing w:before="120" w:after="120" w:line="240" w:lineRule="auto"/>
              <w:rPr>
                <w:rFonts w:cs="Arial"/>
                <w:sz w:val="16"/>
                <w:szCs w:val="16"/>
              </w:rPr>
            </w:pPr>
          </w:p>
        </w:tc>
      </w:tr>
      <w:tr w:rsidR="00501862" w:rsidRPr="00AF6AA5" w14:paraId="33CABCD9" w14:textId="77777777" w:rsidTr="00810864">
        <w:trPr>
          <w:cantSplit/>
        </w:trPr>
        <w:tc>
          <w:tcPr>
            <w:tcW w:w="531" w:type="dxa"/>
            <w:vMerge w:val="restart"/>
            <w:shd w:val="clear" w:color="auto" w:fill="auto"/>
          </w:tcPr>
          <w:p w14:paraId="4C8991CE" w14:textId="77777777" w:rsidR="00501862" w:rsidRPr="001D46BF" w:rsidRDefault="00501862" w:rsidP="008362E0">
            <w:pPr>
              <w:spacing w:before="120" w:after="120" w:line="240" w:lineRule="auto"/>
              <w:rPr>
                <w:rFonts w:cs="Arial"/>
                <w:sz w:val="16"/>
                <w:szCs w:val="16"/>
              </w:rPr>
            </w:pPr>
            <w:r>
              <w:rPr>
                <w:sz w:val="16"/>
              </w:rPr>
              <w:t xml:space="preserve"> </w:t>
            </w:r>
          </w:p>
        </w:tc>
        <w:tc>
          <w:tcPr>
            <w:tcW w:w="1596" w:type="dxa"/>
            <w:vMerge w:val="restart"/>
            <w:shd w:val="clear" w:color="auto" w:fill="auto"/>
          </w:tcPr>
          <w:p w14:paraId="54AB5783" w14:textId="77777777" w:rsidR="00501862" w:rsidRPr="001D46BF" w:rsidRDefault="00501862" w:rsidP="008362E0">
            <w:pPr>
              <w:spacing w:before="120" w:after="120" w:line="240" w:lineRule="auto"/>
              <w:rPr>
                <w:rFonts w:cs="Arial"/>
                <w:b/>
                <w:sz w:val="16"/>
                <w:szCs w:val="16"/>
              </w:rPr>
            </w:pPr>
            <w:r>
              <w:rPr>
                <w:b/>
                <w:sz w:val="16"/>
              </w:rPr>
              <w:t>New activities, products and services</w:t>
            </w:r>
          </w:p>
        </w:tc>
        <w:tc>
          <w:tcPr>
            <w:tcW w:w="3969" w:type="dxa"/>
            <w:shd w:val="clear" w:color="auto" w:fill="auto"/>
          </w:tcPr>
          <w:p w14:paraId="4C4927F6" w14:textId="77777777" w:rsidR="00501862" w:rsidRPr="00791040" w:rsidRDefault="00501862" w:rsidP="00727808">
            <w:pPr>
              <w:pStyle w:val="Bullet"/>
              <w:numPr>
                <w:ilvl w:val="0"/>
                <w:numId w:val="0"/>
              </w:numPr>
              <w:spacing w:before="120" w:after="120"/>
            </w:pPr>
            <w:r>
              <w:rPr>
                <w:i/>
              </w:rPr>
              <w:t>Assess the adequacy of the methods/processes for the identification, measurement, management and monitoring of impacts from introducing or changing activities, products and services considering the size, business and organisational complexity and the compliance risk of the institution, specifically:</w:t>
            </w:r>
          </w:p>
        </w:tc>
        <w:tc>
          <w:tcPr>
            <w:tcW w:w="3827" w:type="dxa"/>
            <w:shd w:val="clear" w:color="auto" w:fill="auto"/>
          </w:tcPr>
          <w:p w14:paraId="2D8EED5F" w14:textId="77777777" w:rsidR="00501862" w:rsidRPr="001D46BF" w:rsidRDefault="00501862" w:rsidP="008362E0">
            <w:pPr>
              <w:pStyle w:val="Bullet"/>
              <w:numPr>
                <w:ilvl w:val="0"/>
                <w:numId w:val="0"/>
              </w:numPr>
              <w:spacing w:before="120" w:after="120"/>
            </w:pPr>
          </w:p>
        </w:tc>
        <w:tc>
          <w:tcPr>
            <w:tcW w:w="3402" w:type="dxa"/>
            <w:shd w:val="clear" w:color="auto" w:fill="auto"/>
          </w:tcPr>
          <w:p w14:paraId="5F3529A8"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158BEB33" w14:textId="77777777" w:rsidR="00501862" w:rsidRPr="001D46BF" w:rsidRDefault="00501862" w:rsidP="008362E0">
            <w:pPr>
              <w:spacing w:before="120" w:after="120" w:line="240" w:lineRule="auto"/>
              <w:rPr>
                <w:rFonts w:cs="Arial"/>
                <w:sz w:val="16"/>
                <w:szCs w:val="16"/>
              </w:rPr>
            </w:pPr>
          </w:p>
        </w:tc>
      </w:tr>
      <w:tr w:rsidR="00501862" w:rsidRPr="00AF6AA5" w14:paraId="30512F7E" w14:textId="77777777" w:rsidTr="00810864">
        <w:tc>
          <w:tcPr>
            <w:tcW w:w="531" w:type="dxa"/>
            <w:vMerge/>
            <w:shd w:val="clear" w:color="auto" w:fill="auto"/>
          </w:tcPr>
          <w:p w14:paraId="03BBA8F4" w14:textId="77777777" w:rsidR="00501862" w:rsidRDefault="00501862" w:rsidP="008362E0">
            <w:pPr>
              <w:spacing w:before="120" w:after="120" w:line="240" w:lineRule="auto"/>
              <w:rPr>
                <w:rFonts w:cs="Arial"/>
                <w:sz w:val="16"/>
                <w:szCs w:val="16"/>
              </w:rPr>
            </w:pPr>
          </w:p>
        </w:tc>
        <w:tc>
          <w:tcPr>
            <w:tcW w:w="1596" w:type="dxa"/>
            <w:vMerge/>
            <w:shd w:val="clear" w:color="auto" w:fill="auto"/>
          </w:tcPr>
          <w:p w14:paraId="514D3D21" w14:textId="77777777" w:rsidR="00501862" w:rsidRDefault="00501862" w:rsidP="008362E0">
            <w:pPr>
              <w:spacing w:before="120" w:after="120" w:line="240" w:lineRule="auto"/>
              <w:rPr>
                <w:rFonts w:cs="Arial"/>
                <w:b/>
                <w:sz w:val="16"/>
                <w:szCs w:val="16"/>
              </w:rPr>
            </w:pPr>
          </w:p>
        </w:tc>
        <w:tc>
          <w:tcPr>
            <w:tcW w:w="3969" w:type="dxa"/>
            <w:shd w:val="clear" w:color="auto" w:fill="auto"/>
          </w:tcPr>
          <w:p w14:paraId="1B2F0670" w14:textId="77777777" w:rsidR="00501862" w:rsidRPr="00791040" w:rsidRDefault="00501862" w:rsidP="008362E0">
            <w:pPr>
              <w:pStyle w:val="Bullet"/>
              <w:numPr>
                <w:ilvl w:val="0"/>
                <w:numId w:val="0"/>
              </w:numPr>
              <w:spacing w:before="120" w:after="120"/>
            </w:pPr>
            <w:r>
              <w:t>Assess the adequacy and comprehensiveness of the institution’s processes and controls to manage compliance risks regarding the introduction of new activities, products or services and to manage changes in activities, products or services.</w:t>
            </w:r>
          </w:p>
        </w:tc>
        <w:tc>
          <w:tcPr>
            <w:tcW w:w="3827" w:type="dxa"/>
            <w:shd w:val="clear" w:color="auto" w:fill="auto"/>
          </w:tcPr>
          <w:p w14:paraId="7616BC4B" w14:textId="77777777" w:rsidR="00501862" w:rsidRPr="001D46BF" w:rsidRDefault="00501862" w:rsidP="008362E0">
            <w:pPr>
              <w:pStyle w:val="Bullet"/>
              <w:numPr>
                <w:ilvl w:val="0"/>
                <w:numId w:val="0"/>
              </w:numPr>
              <w:spacing w:before="120" w:after="120"/>
            </w:pPr>
          </w:p>
        </w:tc>
        <w:tc>
          <w:tcPr>
            <w:tcW w:w="3402" w:type="dxa"/>
            <w:shd w:val="clear" w:color="auto" w:fill="auto"/>
          </w:tcPr>
          <w:p w14:paraId="61427FA2"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4F274364" w14:textId="77777777" w:rsidR="00501862" w:rsidRPr="001D46BF" w:rsidRDefault="00501862" w:rsidP="008362E0">
            <w:pPr>
              <w:spacing w:before="120" w:after="120" w:line="240" w:lineRule="auto"/>
              <w:rPr>
                <w:rFonts w:cs="Arial"/>
                <w:sz w:val="16"/>
                <w:szCs w:val="16"/>
              </w:rPr>
            </w:pPr>
          </w:p>
        </w:tc>
      </w:tr>
      <w:tr w:rsidR="00501862" w:rsidRPr="00AF6AA5" w14:paraId="6CEF178C" w14:textId="77777777" w:rsidTr="00810864">
        <w:tc>
          <w:tcPr>
            <w:tcW w:w="531" w:type="dxa"/>
            <w:vMerge w:val="restart"/>
            <w:shd w:val="clear" w:color="auto" w:fill="auto"/>
          </w:tcPr>
          <w:p w14:paraId="3597B849" w14:textId="77777777" w:rsidR="00501862" w:rsidRPr="00C04F0F" w:rsidRDefault="00501862" w:rsidP="008362E0">
            <w:pPr>
              <w:spacing w:before="120" w:after="120" w:line="240" w:lineRule="auto"/>
              <w:rPr>
                <w:rFonts w:cs="Arial"/>
                <w:sz w:val="16"/>
                <w:szCs w:val="16"/>
              </w:rPr>
            </w:pPr>
          </w:p>
        </w:tc>
        <w:tc>
          <w:tcPr>
            <w:tcW w:w="1596" w:type="dxa"/>
            <w:vMerge w:val="restart"/>
            <w:shd w:val="clear" w:color="auto" w:fill="auto"/>
          </w:tcPr>
          <w:p w14:paraId="18859540" w14:textId="3CD97F16" w:rsidR="00501862" w:rsidRPr="005A0C5D" w:rsidRDefault="00501862" w:rsidP="004F28D7">
            <w:pPr>
              <w:spacing w:before="120" w:after="120" w:line="240" w:lineRule="auto"/>
              <w:rPr>
                <w:rFonts w:cs="Arial"/>
                <w:b/>
                <w:sz w:val="16"/>
                <w:szCs w:val="16"/>
              </w:rPr>
            </w:pPr>
            <w:r>
              <w:rPr>
                <w:b/>
                <w:sz w:val="16"/>
              </w:rPr>
              <w:t>Risk policy</w:t>
            </w:r>
          </w:p>
        </w:tc>
        <w:tc>
          <w:tcPr>
            <w:tcW w:w="3969" w:type="dxa"/>
            <w:shd w:val="clear" w:color="auto" w:fill="auto"/>
          </w:tcPr>
          <w:p w14:paraId="57BB6BBA" w14:textId="77777777" w:rsidR="00501862" w:rsidRPr="00791040" w:rsidRDefault="00501862" w:rsidP="00A07C2C">
            <w:pPr>
              <w:pStyle w:val="Bullet"/>
              <w:numPr>
                <w:ilvl w:val="0"/>
                <w:numId w:val="0"/>
              </w:numPr>
              <w:spacing w:before="120" w:after="120"/>
              <w:rPr>
                <w:i/>
              </w:rPr>
            </w:pPr>
            <w:r>
              <w:rPr>
                <w:i/>
              </w:rPr>
              <w:t>Assess whether risk policy, internal regulations, guidelines, manuals and job descriptions adequately define responsibilities, approval powers, reporting and escalation lines for the management of legal and regulatory change as well as changes in activities, products and services considering the size, business and organisational complexity and the compliance risk of the institution, specifically:</w:t>
            </w:r>
          </w:p>
        </w:tc>
        <w:tc>
          <w:tcPr>
            <w:tcW w:w="3827" w:type="dxa"/>
            <w:shd w:val="clear" w:color="auto" w:fill="auto"/>
          </w:tcPr>
          <w:p w14:paraId="4C20903E" w14:textId="77777777" w:rsidR="00501862" w:rsidRPr="005A0C5D" w:rsidRDefault="00501862" w:rsidP="008362E0">
            <w:pPr>
              <w:pStyle w:val="Bullet"/>
              <w:numPr>
                <w:ilvl w:val="0"/>
                <w:numId w:val="0"/>
              </w:numPr>
              <w:spacing w:before="120" w:after="120"/>
              <w:ind w:left="720"/>
            </w:pPr>
          </w:p>
        </w:tc>
        <w:tc>
          <w:tcPr>
            <w:tcW w:w="3402" w:type="dxa"/>
            <w:shd w:val="clear" w:color="auto" w:fill="auto"/>
          </w:tcPr>
          <w:p w14:paraId="184A73EA"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7B4DA63B" w14:textId="77777777" w:rsidR="00501862" w:rsidRPr="00C04F0F" w:rsidRDefault="00501862" w:rsidP="008362E0">
            <w:pPr>
              <w:spacing w:before="120" w:after="120" w:line="240" w:lineRule="auto"/>
            </w:pPr>
          </w:p>
        </w:tc>
      </w:tr>
      <w:tr w:rsidR="00501862" w:rsidRPr="00AF6AA5" w14:paraId="126B75C3" w14:textId="77777777" w:rsidTr="00810864">
        <w:tc>
          <w:tcPr>
            <w:tcW w:w="531" w:type="dxa"/>
            <w:vMerge/>
            <w:shd w:val="clear" w:color="auto" w:fill="auto"/>
          </w:tcPr>
          <w:p w14:paraId="2B674847" w14:textId="77777777" w:rsidR="00501862" w:rsidRPr="005A0C5D" w:rsidRDefault="00501862" w:rsidP="008362E0">
            <w:pPr>
              <w:spacing w:before="120" w:after="120" w:line="240" w:lineRule="auto"/>
              <w:rPr>
                <w:rFonts w:cs="Arial"/>
                <w:sz w:val="16"/>
                <w:szCs w:val="16"/>
              </w:rPr>
            </w:pPr>
          </w:p>
        </w:tc>
        <w:tc>
          <w:tcPr>
            <w:tcW w:w="1596" w:type="dxa"/>
            <w:vMerge/>
            <w:shd w:val="clear" w:color="auto" w:fill="auto"/>
          </w:tcPr>
          <w:p w14:paraId="344C8D5B" w14:textId="77777777" w:rsidR="00501862" w:rsidRPr="005A0C5D" w:rsidRDefault="00501862" w:rsidP="008362E0">
            <w:pPr>
              <w:spacing w:before="120" w:after="120" w:line="240" w:lineRule="auto"/>
              <w:rPr>
                <w:rFonts w:cs="Arial"/>
                <w:b/>
                <w:sz w:val="16"/>
                <w:szCs w:val="16"/>
              </w:rPr>
            </w:pPr>
          </w:p>
        </w:tc>
        <w:tc>
          <w:tcPr>
            <w:tcW w:w="3969" w:type="dxa"/>
            <w:shd w:val="clear" w:color="auto" w:fill="auto"/>
          </w:tcPr>
          <w:p w14:paraId="77D7B36C" w14:textId="77777777" w:rsidR="00501862" w:rsidRDefault="00501862" w:rsidP="008362E0">
            <w:pPr>
              <w:pStyle w:val="Bullet"/>
              <w:numPr>
                <w:ilvl w:val="0"/>
                <w:numId w:val="0"/>
              </w:numPr>
              <w:spacing w:before="120" w:after="120"/>
            </w:pPr>
            <w:r>
              <w:t>Assess whether internal rules adequately assign responsibilities for the:</w:t>
            </w:r>
          </w:p>
          <w:p w14:paraId="290B2E7F" w14:textId="77777777" w:rsidR="007316EE" w:rsidRPr="000A2EA6" w:rsidRDefault="00501862" w:rsidP="008362E0">
            <w:pPr>
              <w:pStyle w:val="Bullet"/>
              <w:numPr>
                <w:ilvl w:val="0"/>
                <w:numId w:val="12"/>
              </w:numPr>
              <w:spacing w:before="120" w:after="120"/>
              <w:ind w:left="170" w:hanging="170"/>
            </w:pPr>
            <w:r>
              <w:t xml:space="preserve">continuous monitoring, identification and internal reporting to the Executive Board of legal and regulatory changes; </w:t>
            </w:r>
          </w:p>
          <w:p w14:paraId="2D038625" w14:textId="77777777" w:rsidR="00501862" w:rsidRPr="005139DC" w:rsidRDefault="00501862" w:rsidP="008362E0">
            <w:pPr>
              <w:pStyle w:val="Bullet"/>
              <w:numPr>
                <w:ilvl w:val="0"/>
                <w:numId w:val="12"/>
              </w:numPr>
              <w:spacing w:before="120" w:after="120"/>
              <w:ind w:left="170" w:hanging="170"/>
            </w:pPr>
            <w:r>
              <w:t>decision whether a business impact analysis is required for any particular legal or regulatory change;</w:t>
            </w:r>
          </w:p>
          <w:p w14:paraId="7B3E0245" w14:textId="77777777" w:rsidR="00501862" w:rsidRPr="00685E72" w:rsidRDefault="00501862" w:rsidP="008362E0">
            <w:pPr>
              <w:pStyle w:val="Bullet"/>
              <w:numPr>
                <w:ilvl w:val="0"/>
                <w:numId w:val="12"/>
              </w:numPr>
              <w:spacing w:before="120" w:after="120"/>
              <w:ind w:left="170" w:hanging="170"/>
            </w:pPr>
            <w:r>
              <w:t>approval of the business impact analysis and subsequent action/project plans for legal and regulatory changes.</w:t>
            </w:r>
          </w:p>
        </w:tc>
        <w:tc>
          <w:tcPr>
            <w:tcW w:w="3827" w:type="dxa"/>
            <w:shd w:val="clear" w:color="auto" w:fill="auto"/>
          </w:tcPr>
          <w:p w14:paraId="14EA0030" w14:textId="77777777" w:rsidR="00501862" w:rsidRPr="005A0C5D" w:rsidRDefault="00501862" w:rsidP="008362E0">
            <w:pPr>
              <w:spacing w:before="120" w:after="120" w:line="240" w:lineRule="auto"/>
              <w:ind w:left="33"/>
              <w:rPr>
                <w:rFonts w:cs="Arial"/>
                <w:sz w:val="16"/>
                <w:szCs w:val="16"/>
              </w:rPr>
            </w:pPr>
          </w:p>
        </w:tc>
        <w:tc>
          <w:tcPr>
            <w:tcW w:w="3402" w:type="dxa"/>
            <w:shd w:val="clear" w:color="auto" w:fill="auto"/>
          </w:tcPr>
          <w:p w14:paraId="7015F34C"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15239DDA" w14:textId="77777777" w:rsidR="00501862" w:rsidRPr="00C04F0F" w:rsidRDefault="00501862" w:rsidP="008362E0">
            <w:pPr>
              <w:spacing w:before="120" w:after="120" w:line="240" w:lineRule="auto"/>
            </w:pPr>
          </w:p>
        </w:tc>
      </w:tr>
      <w:tr w:rsidR="00501862" w:rsidRPr="00AF6AA5" w14:paraId="0340C010" w14:textId="77777777" w:rsidTr="00810864">
        <w:tc>
          <w:tcPr>
            <w:tcW w:w="531" w:type="dxa"/>
            <w:vMerge/>
            <w:shd w:val="clear" w:color="auto" w:fill="auto"/>
          </w:tcPr>
          <w:p w14:paraId="3F916AD8" w14:textId="77777777" w:rsidR="00501862" w:rsidRPr="005A0C5D" w:rsidRDefault="00501862" w:rsidP="008362E0">
            <w:pPr>
              <w:spacing w:before="120" w:after="120" w:line="240" w:lineRule="auto"/>
              <w:rPr>
                <w:rFonts w:cs="Arial"/>
                <w:sz w:val="16"/>
                <w:szCs w:val="16"/>
              </w:rPr>
            </w:pPr>
          </w:p>
        </w:tc>
        <w:tc>
          <w:tcPr>
            <w:tcW w:w="1596" w:type="dxa"/>
            <w:vMerge/>
            <w:shd w:val="clear" w:color="auto" w:fill="auto"/>
          </w:tcPr>
          <w:p w14:paraId="48BCB25D" w14:textId="77777777" w:rsidR="00501862" w:rsidRPr="005A0C5D" w:rsidRDefault="00501862" w:rsidP="008362E0">
            <w:pPr>
              <w:spacing w:before="120" w:after="120" w:line="240" w:lineRule="auto"/>
              <w:rPr>
                <w:rFonts w:cs="Arial"/>
                <w:b/>
                <w:sz w:val="16"/>
                <w:szCs w:val="16"/>
              </w:rPr>
            </w:pPr>
          </w:p>
        </w:tc>
        <w:tc>
          <w:tcPr>
            <w:tcW w:w="3969" w:type="dxa"/>
            <w:shd w:val="clear" w:color="auto" w:fill="auto"/>
          </w:tcPr>
          <w:p w14:paraId="0A138815" w14:textId="77777777" w:rsidR="00501862" w:rsidRDefault="00501862" w:rsidP="008362E0">
            <w:pPr>
              <w:spacing w:before="120" w:after="120" w:line="240" w:lineRule="auto"/>
              <w:rPr>
                <w:rFonts w:cs="Arial"/>
                <w:sz w:val="16"/>
                <w:szCs w:val="16"/>
              </w:rPr>
            </w:pPr>
            <w:r>
              <w:rPr>
                <w:sz w:val="16"/>
              </w:rPr>
              <w:t>Assess whether appropriate approval powers and procedures have been defined for the introduction of new activities, products and services and subsequent changes thereto.</w:t>
            </w:r>
          </w:p>
        </w:tc>
        <w:tc>
          <w:tcPr>
            <w:tcW w:w="3827" w:type="dxa"/>
            <w:shd w:val="clear" w:color="auto" w:fill="auto"/>
          </w:tcPr>
          <w:p w14:paraId="2A584F7E" w14:textId="77777777" w:rsidR="00501862" w:rsidRPr="005A0C5D" w:rsidRDefault="00501862" w:rsidP="008362E0">
            <w:pPr>
              <w:spacing w:before="120" w:after="120" w:line="240" w:lineRule="auto"/>
              <w:ind w:left="33"/>
              <w:rPr>
                <w:rFonts w:cs="Arial"/>
                <w:sz w:val="16"/>
                <w:szCs w:val="16"/>
              </w:rPr>
            </w:pPr>
          </w:p>
        </w:tc>
        <w:tc>
          <w:tcPr>
            <w:tcW w:w="3402" w:type="dxa"/>
            <w:shd w:val="clear" w:color="auto" w:fill="auto"/>
          </w:tcPr>
          <w:p w14:paraId="18EE61A7"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0C250515" w14:textId="77777777" w:rsidR="00501862" w:rsidRPr="00C04F0F" w:rsidRDefault="00501862" w:rsidP="008362E0">
            <w:pPr>
              <w:spacing w:before="120" w:after="120" w:line="240" w:lineRule="auto"/>
            </w:pPr>
          </w:p>
        </w:tc>
      </w:tr>
      <w:tr w:rsidR="00501862" w:rsidRPr="00AF6AA5" w14:paraId="4F0FA772" w14:textId="77777777" w:rsidTr="00810864">
        <w:tc>
          <w:tcPr>
            <w:tcW w:w="531" w:type="dxa"/>
            <w:vMerge w:val="restart"/>
            <w:shd w:val="clear" w:color="auto" w:fill="auto"/>
          </w:tcPr>
          <w:p w14:paraId="6614D996" w14:textId="77777777" w:rsidR="00501862" w:rsidRPr="00200356" w:rsidRDefault="00501862" w:rsidP="008362E0">
            <w:pPr>
              <w:spacing w:before="120" w:after="120" w:line="240" w:lineRule="auto"/>
              <w:rPr>
                <w:rFonts w:cs="Arial"/>
                <w:sz w:val="16"/>
                <w:szCs w:val="16"/>
              </w:rPr>
            </w:pPr>
          </w:p>
        </w:tc>
        <w:tc>
          <w:tcPr>
            <w:tcW w:w="1596" w:type="dxa"/>
            <w:vMerge w:val="restart"/>
            <w:shd w:val="clear" w:color="auto" w:fill="auto"/>
          </w:tcPr>
          <w:p w14:paraId="48EC3D0A" w14:textId="7EED52A5" w:rsidR="00501862" w:rsidRPr="005139DC" w:rsidRDefault="00501862" w:rsidP="008249F2">
            <w:pPr>
              <w:spacing w:before="120" w:after="120" w:line="240" w:lineRule="auto"/>
              <w:rPr>
                <w:rFonts w:cs="Arial"/>
                <w:b/>
                <w:sz w:val="16"/>
                <w:szCs w:val="16"/>
              </w:rPr>
            </w:pPr>
            <w:r>
              <w:rPr>
                <w:b/>
                <w:sz w:val="16"/>
              </w:rPr>
              <w:t xml:space="preserve">Compliance with existing risk policy </w:t>
            </w:r>
          </w:p>
        </w:tc>
        <w:tc>
          <w:tcPr>
            <w:tcW w:w="3969" w:type="dxa"/>
            <w:shd w:val="clear" w:color="auto" w:fill="auto"/>
          </w:tcPr>
          <w:p w14:paraId="29EE888B" w14:textId="7188741B" w:rsidR="00501862" w:rsidRPr="001D46BF" w:rsidRDefault="00501862" w:rsidP="00A030F9">
            <w:pPr>
              <w:pStyle w:val="Bullet"/>
              <w:numPr>
                <w:ilvl w:val="0"/>
                <w:numId w:val="0"/>
              </w:numPr>
              <w:spacing w:before="120" w:after="120"/>
            </w:pPr>
            <w:r>
              <w:rPr>
                <w:i/>
              </w:rPr>
              <w:t>Assess whether an adequate process is in place to ensure that risk policy relating to the management of legal and regulatory changes and relating to new activities, products and services have been effectively applied and complied with, specifically:</w:t>
            </w:r>
          </w:p>
        </w:tc>
        <w:tc>
          <w:tcPr>
            <w:tcW w:w="3827" w:type="dxa"/>
            <w:shd w:val="clear" w:color="auto" w:fill="auto"/>
          </w:tcPr>
          <w:p w14:paraId="3EF90327" w14:textId="77777777" w:rsidR="00501862" w:rsidRPr="001D46BF" w:rsidRDefault="00501862" w:rsidP="00747CB6">
            <w:pPr>
              <w:pStyle w:val="Bullet"/>
              <w:numPr>
                <w:ilvl w:val="0"/>
                <w:numId w:val="0"/>
              </w:numPr>
              <w:spacing w:before="120" w:after="120"/>
            </w:pPr>
            <w:r>
              <w:t>Select a sample of at least one major legal/regulatory change or of at least one significant new/changed activity, product or service and perform substantive testing of compliance with internal rules and limits.</w:t>
            </w:r>
          </w:p>
        </w:tc>
        <w:tc>
          <w:tcPr>
            <w:tcW w:w="3402" w:type="dxa"/>
            <w:shd w:val="clear" w:color="auto" w:fill="auto"/>
          </w:tcPr>
          <w:p w14:paraId="71FAD405"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3EA4B063" w14:textId="77777777" w:rsidR="00501862" w:rsidRPr="00C04F0F" w:rsidRDefault="00501862" w:rsidP="008362E0">
            <w:pPr>
              <w:spacing w:before="120" w:after="120" w:line="240" w:lineRule="auto"/>
            </w:pPr>
          </w:p>
        </w:tc>
      </w:tr>
      <w:tr w:rsidR="00501862" w:rsidRPr="00AF6AA5" w14:paraId="75C7C175" w14:textId="77777777" w:rsidTr="00810864">
        <w:tc>
          <w:tcPr>
            <w:tcW w:w="531" w:type="dxa"/>
            <w:vMerge/>
            <w:shd w:val="clear" w:color="auto" w:fill="auto"/>
          </w:tcPr>
          <w:p w14:paraId="2697A652"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22D44C77" w14:textId="77777777" w:rsidR="00501862" w:rsidRPr="001D46BF" w:rsidRDefault="00501862" w:rsidP="008362E0">
            <w:pPr>
              <w:spacing w:before="120" w:after="120" w:line="240" w:lineRule="auto"/>
              <w:rPr>
                <w:rFonts w:cs="Arial"/>
                <w:b/>
                <w:sz w:val="16"/>
                <w:szCs w:val="16"/>
              </w:rPr>
            </w:pPr>
          </w:p>
        </w:tc>
        <w:tc>
          <w:tcPr>
            <w:tcW w:w="3969" w:type="dxa"/>
            <w:shd w:val="clear" w:color="auto" w:fill="auto"/>
          </w:tcPr>
          <w:p w14:paraId="45863F4E" w14:textId="77777777" w:rsidR="00501862" w:rsidRPr="00440BBC" w:rsidRDefault="00501862" w:rsidP="00747CB6">
            <w:pPr>
              <w:pStyle w:val="Bullet"/>
              <w:numPr>
                <w:ilvl w:val="0"/>
                <w:numId w:val="0"/>
              </w:numPr>
              <w:spacing w:before="120" w:after="120"/>
            </w:pPr>
            <w:r>
              <w:t xml:space="preserve">Identify and document the internal controls relating to the management of legal and regulatory changes and to new/changed activities, products and services and assess their design and comprehensiveness. </w:t>
            </w:r>
          </w:p>
        </w:tc>
        <w:tc>
          <w:tcPr>
            <w:tcW w:w="3827" w:type="dxa"/>
            <w:shd w:val="clear" w:color="auto" w:fill="auto"/>
          </w:tcPr>
          <w:p w14:paraId="4A377784" w14:textId="1ADB2CDE" w:rsidR="00501862" w:rsidRPr="00BF1F55" w:rsidRDefault="00501862" w:rsidP="00DF3B47">
            <w:pPr>
              <w:pStyle w:val="Bullet"/>
              <w:numPr>
                <w:ilvl w:val="0"/>
                <w:numId w:val="0"/>
              </w:numPr>
              <w:spacing w:before="120" w:after="120"/>
            </w:pPr>
            <w:r>
              <w:t>Execute tests of controls to confirm the operating effectiveness of the internal controls performed for the management of legal and regulatory changes and to new/changed activities, products and services.</w:t>
            </w:r>
          </w:p>
        </w:tc>
        <w:tc>
          <w:tcPr>
            <w:tcW w:w="3402" w:type="dxa"/>
            <w:shd w:val="clear" w:color="auto" w:fill="auto"/>
          </w:tcPr>
          <w:p w14:paraId="4CF0D72C"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4E7B931E" w14:textId="77777777" w:rsidR="00501862" w:rsidRPr="00C04F0F" w:rsidRDefault="00501862" w:rsidP="008362E0">
            <w:pPr>
              <w:spacing w:before="120" w:after="120" w:line="240" w:lineRule="auto"/>
            </w:pPr>
          </w:p>
        </w:tc>
      </w:tr>
      <w:tr w:rsidR="0022346A" w:rsidRPr="00AF6AA5" w14:paraId="51CD071F" w14:textId="77777777" w:rsidTr="00810864">
        <w:tc>
          <w:tcPr>
            <w:tcW w:w="531" w:type="dxa"/>
            <w:shd w:val="clear" w:color="auto" w:fill="auto"/>
          </w:tcPr>
          <w:p w14:paraId="0B55A45C" w14:textId="77777777" w:rsidR="0022346A" w:rsidRPr="001D46BF" w:rsidRDefault="0022346A" w:rsidP="008362E0">
            <w:pPr>
              <w:spacing w:before="120" w:after="120" w:line="240" w:lineRule="auto"/>
              <w:rPr>
                <w:rFonts w:cs="Arial"/>
                <w:sz w:val="16"/>
                <w:szCs w:val="16"/>
              </w:rPr>
            </w:pPr>
          </w:p>
        </w:tc>
        <w:tc>
          <w:tcPr>
            <w:tcW w:w="1596" w:type="dxa"/>
            <w:shd w:val="clear" w:color="auto" w:fill="auto"/>
          </w:tcPr>
          <w:p w14:paraId="6F8F24D3" w14:textId="77777777" w:rsidR="0022346A" w:rsidRPr="003009BB" w:rsidRDefault="00E240DA" w:rsidP="008362E0">
            <w:pPr>
              <w:spacing w:before="120" w:after="120" w:line="240" w:lineRule="auto"/>
              <w:rPr>
                <w:rFonts w:cs="Arial"/>
                <w:b/>
                <w:sz w:val="16"/>
                <w:szCs w:val="16"/>
              </w:rPr>
            </w:pPr>
            <w:r>
              <w:rPr>
                <w:b/>
                <w:sz w:val="16"/>
                <w:szCs w:val="16"/>
              </w:rPr>
              <w:t>Applicability of a stay on contracts subject to foreign law / a foreign place of jurisdiction</w:t>
            </w:r>
          </w:p>
        </w:tc>
        <w:tc>
          <w:tcPr>
            <w:tcW w:w="3969" w:type="dxa"/>
            <w:shd w:val="clear" w:color="auto" w:fill="auto"/>
          </w:tcPr>
          <w:p w14:paraId="6184B6D3" w14:textId="6554FA44" w:rsidR="0022346A" w:rsidRPr="003009BB" w:rsidRDefault="0022346A" w:rsidP="00580691">
            <w:pPr>
              <w:pStyle w:val="Bullet"/>
              <w:numPr>
                <w:ilvl w:val="0"/>
                <w:numId w:val="0"/>
              </w:numPr>
              <w:spacing w:before="120" w:after="120"/>
              <w:rPr>
                <w:i/>
              </w:rPr>
            </w:pPr>
            <w:r>
              <w:rPr>
                <w:i/>
                <w:iCs/>
              </w:rPr>
              <w:t>Assess if there is an adequate process to ensure compliance with Art. 12 para. 2</w:t>
            </w:r>
            <w:r>
              <w:rPr>
                <w:i/>
                <w:iCs/>
                <w:vertAlign w:val="superscript"/>
              </w:rPr>
              <w:t>bis</w:t>
            </w:r>
            <w:r>
              <w:rPr>
                <w:i/>
                <w:iCs/>
              </w:rPr>
              <w:t xml:space="preserve"> BO in conjunction with Art. 56 and 61a of BIO-FINMA</w:t>
            </w:r>
          </w:p>
        </w:tc>
        <w:tc>
          <w:tcPr>
            <w:tcW w:w="3827" w:type="dxa"/>
            <w:shd w:val="clear" w:color="auto" w:fill="auto"/>
          </w:tcPr>
          <w:p w14:paraId="3B66A660" w14:textId="77777777" w:rsidR="0022346A" w:rsidRPr="003009BB" w:rsidRDefault="0022346A" w:rsidP="00DF3B47">
            <w:pPr>
              <w:pStyle w:val="Bullet"/>
              <w:numPr>
                <w:ilvl w:val="0"/>
                <w:numId w:val="0"/>
              </w:numPr>
              <w:spacing w:before="120" w:after="120"/>
            </w:pPr>
          </w:p>
        </w:tc>
        <w:tc>
          <w:tcPr>
            <w:tcW w:w="3402" w:type="dxa"/>
            <w:shd w:val="clear" w:color="auto" w:fill="auto"/>
          </w:tcPr>
          <w:p w14:paraId="6C099607" w14:textId="77777777" w:rsidR="0022346A" w:rsidRPr="001D46BF" w:rsidRDefault="0022346A" w:rsidP="008362E0">
            <w:pPr>
              <w:spacing w:before="120" w:after="120" w:line="240" w:lineRule="auto"/>
              <w:rPr>
                <w:rFonts w:cs="Arial"/>
                <w:sz w:val="16"/>
                <w:szCs w:val="16"/>
              </w:rPr>
            </w:pPr>
          </w:p>
        </w:tc>
        <w:tc>
          <w:tcPr>
            <w:tcW w:w="992" w:type="dxa"/>
            <w:shd w:val="clear" w:color="auto" w:fill="auto"/>
          </w:tcPr>
          <w:p w14:paraId="46CD6CA0" w14:textId="77777777" w:rsidR="0022346A" w:rsidRPr="00C04F0F" w:rsidRDefault="0022346A" w:rsidP="008362E0">
            <w:pPr>
              <w:spacing w:before="120" w:after="120" w:line="240" w:lineRule="auto"/>
            </w:pPr>
          </w:p>
        </w:tc>
      </w:tr>
      <w:tr w:rsidR="0022346A" w:rsidRPr="00F831B9" w14:paraId="09E3456D" w14:textId="77777777" w:rsidTr="00810864">
        <w:tc>
          <w:tcPr>
            <w:tcW w:w="531" w:type="dxa"/>
            <w:shd w:val="clear" w:color="auto" w:fill="auto"/>
          </w:tcPr>
          <w:p w14:paraId="419717AA" w14:textId="77777777" w:rsidR="0022346A" w:rsidRPr="001D46BF" w:rsidRDefault="0022346A" w:rsidP="008362E0">
            <w:pPr>
              <w:spacing w:before="120" w:after="120" w:line="240" w:lineRule="auto"/>
              <w:rPr>
                <w:rFonts w:cs="Arial"/>
                <w:sz w:val="16"/>
                <w:szCs w:val="16"/>
              </w:rPr>
            </w:pPr>
          </w:p>
        </w:tc>
        <w:tc>
          <w:tcPr>
            <w:tcW w:w="1596" w:type="dxa"/>
            <w:shd w:val="clear" w:color="auto" w:fill="auto"/>
          </w:tcPr>
          <w:p w14:paraId="5C73A1B5" w14:textId="77777777" w:rsidR="0022346A" w:rsidRPr="003009BB" w:rsidRDefault="0022346A" w:rsidP="008362E0">
            <w:pPr>
              <w:spacing w:before="120" w:after="120" w:line="240" w:lineRule="auto"/>
              <w:rPr>
                <w:rFonts w:cs="Arial"/>
                <w:b/>
                <w:sz w:val="16"/>
                <w:szCs w:val="16"/>
              </w:rPr>
            </w:pPr>
          </w:p>
        </w:tc>
        <w:tc>
          <w:tcPr>
            <w:tcW w:w="3969" w:type="dxa"/>
            <w:shd w:val="clear" w:color="auto" w:fill="auto"/>
          </w:tcPr>
          <w:p w14:paraId="5B0F8B7F" w14:textId="77777777" w:rsidR="0022346A" w:rsidRPr="003009BB" w:rsidRDefault="0022346A" w:rsidP="00747CB6">
            <w:pPr>
              <w:pStyle w:val="Bullet"/>
              <w:numPr>
                <w:ilvl w:val="0"/>
                <w:numId w:val="0"/>
              </w:numPr>
              <w:spacing w:before="120" w:after="120"/>
            </w:pPr>
            <w:r>
              <w:t>Examine the existence and appropriateness of internal instructions or directives ensuring that new contracts or amendments to existing contracts which are subject to foreign law or a foreign place of jurisdiction are only entered into if the counterparty recognises a stay on the termination of agreements as per Art. 30a BA, where these agreements are in the scope of application of Art. 12 par. 2</w:t>
            </w:r>
            <w:r>
              <w:rPr>
                <w:vertAlign w:val="superscript"/>
              </w:rPr>
              <w:t>bis</w:t>
            </w:r>
            <w:r>
              <w:t xml:space="preserve"> BO in accordance with Art. 56 BIO-FINMA. </w:t>
            </w:r>
          </w:p>
          <w:p w14:paraId="7E6772CE" w14:textId="77777777" w:rsidR="0022346A" w:rsidRPr="003009BB" w:rsidRDefault="0022346A" w:rsidP="00C61473">
            <w:pPr>
              <w:pStyle w:val="Bullet"/>
              <w:numPr>
                <w:ilvl w:val="0"/>
                <w:numId w:val="0"/>
              </w:numPr>
              <w:spacing w:before="120" w:after="120"/>
            </w:pPr>
          </w:p>
        </w:tc>
        <w:tc>
          <w:tcPr>
            <w:tcW w:w="3827" w:type="dxa"/>
            <w:shd w:val="clear" w:color="auto" w:fill="auto"/>
          </w:tcPr>
          <w:p w14:paraId="61AC49B6" w14:textId="77777777" w:rsidR="0022346A" w:rsidRPr="003009BB" w:rsidRDefault="002F1A9A" w:rsidP="00DF3B47">
            <w:pPr>
              <w:pStyle w:val="Bullet"/>
              <w:numPr>
                <w:ilvl w:val="0"/>
                <w:numId w:val="0"/>
              </w:numPr>
              <w:spacing w:before="120" w:after="120"/>
            </w:pPr>
            <w:r>
              <w:t>Select a random sampling of contracts governed by Art. 12 para. 2</w:t>
            </w:r>
            <w:r>
              <w:rPr>
                <w:vertAlign w:val="superscript"/>
              </w:rPr>
              <w:t>bis</w:t>
            </w:r>
            <w:r>
              <w:t xml:space="preserve"> BO in accordance with Art. 56 BIO-FINMA and subject to foreign law or a foreign place of jurisdiction, and verify that the stay within the meaning of Art. 30a BA has been effectively agreed. </w:t>
            </w:r>
          </w:p>
          <w:p w14:paraId="2994B524" w14:textId="77777777" w:rsidR="002F1A9A" w:rsidRPr="003009BB" w:rsidRDefault="002F1A9A" w:rsidP="00DF3B47">
            <w:pPr>
              <w:pStyle w:val="Bullet"/>
              <w:numPr>
                <w:ilvl w:val="0"/>
                <w:numId w:val="0"/>
              </w:numPr>
              <w:spacing w:before="120" w:after="120"/>
            </w:pPr>
          </w:p>
          <w:p w14:paraId="48F600BE" w14:textId="77777777" w:rsidR="0022346A" w:rsidRPr="003009BB" w:rsidRDefault="0022346A" w:rsidP="00C61473">
            <w:pPr>
              <w:pStyle w:val="Bullet"/>
              <w:numPr>
                <w:ilvl w:val="0"/>
                <w:numId w:val="0"/>
              </w:numPr>
              <w:spacing w:before="120" w:after="120"/>
            </w:pPr>
          </w:p>
        </w:tc>
        <w:tc>
          <w:tcPr>
            <w:tcW w:w="3402" w:type="dxa"/>
            <w:shd w:val="clear" w:color="auto" w:fill="auto"/>
          </w:tcPr>
          <w:p w14:paraId="20874A9F" w14:textId="77777777" w:rsidR="0022346A" w:rsidRPr="00B661BE" w:rsidRDefault="0022346A" w:rsidP="008362E0">
            <w:pPr>
              <w:spacing w:before="120" w:after="120" w:line="240" w:lineRule="auto"/>
              <w:rPr>
                <w:rFonts w:cs="Arial"/>
                <w:sz w:val="16"/>
                <w:szCs w:val="16"/>
              </w:rPr>
            </w:pPr>
          </w:p>
        </w:tc>
        <w:tc>
          <w:tcPr>
            <w:tcW w:w="992" w:type="dxa"/>
            <w:shd w:val="clear" w:color="auto" w:fill="auto"/>
          </w:tcPr>
          <w:p w14:paraId="01468830" w14:textId="77777777" w:rsidR="0022346A" w:rsidRPr="00B661BE" w:rsidRDefault="0022346A" w:rsidP="008362E0">
            <w:pPr>
              <w:spacing w:before="120" w:after="120" w:line="240" w:lineRule="auto"/>
            </w:pPr>
          </w:p>
        </w:tc>
      </w:tr>
    </w:tbl>
    <w:p w14:paraId="6EEB0B9C" w14:textId="77777777" w:rsidR="00501862" w:rsidRPr="00B661BE" w:rsidRDefault="00501862" w:rsidP="008362E0">
      <w:pPr>
        <w:spacing w:before="120" w:after="120" w:line="240" w:lineRule="auto"/>
        <w:rPr>
          <w:rFonts w:cs="Arial"/>
          <w:b/>
          <w:sz w:val="2"/>
          <w:szCs w:val="2"/>
        </w:rPr>
      </w:pPr>
      <w:r>
        <w:br w:type="page"/>
      </w:r>
    </w:p>
    <w:p w14:paraId="4A296109" w14:textId="77777777" w:rsidR="00501862" w:rsidRPr="00163FB7" w:rsidRDefault="00501862" w:rsidP="008362E0">
      <w:pPr>
        <w:spacing w:before="120" w:after="120" w:line="240" w:lineRule="auto"/>
        <w:rPr>
          <w:rFonts w:cs="Arial"/>
          <w:u w:val="single"/>
        </w:rPr>
      </w:pPr>
      <w:r>
        <w:rPr>
          <w:b/>
          <w:bCs/>
          <w:u w:val="single"/>
        </w:rPr>
        <w:lastRenderedPageBreak/>
        <w:t>Work programme – Other risks in connection with compliance issues</w:t>
      </w:r>
      <w:r>
        <w:rPr>
          <w:u w:val="single"/>
        </w:rPr>
        <w:t xml:space="preserve"> – Risks from cross-border services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1596"/>
        <w:gridCol w:w="4284"/>
        <w:gridCol w:w="3827"/>
        <w:gridCol w:w="3090"/>
        <w:gridCol w:w="992"/>
      </w:tblGrid>
      <w:tr w:rsidR="00501862" w:rsidRPr="00DB7CF3" w14:paraId="07FD4353" w14:textId="77777777" w:rsidTr="00AC243C">
        <w:trPr>
          <w:tblHeader/>
        </w:trPr>
        <w:tc>
          <w:tcPr>
            <w:tcW w:w="528" w:type="dxa"/>
            <w:tcBorders>
              <w:bottom w:val="single" w:sz="4" w:space="0" w:color="auto"/>
            </w:tcBorders>
            <w:shd w:val="pct20" w:color="auto" w:fill="auto"/>
          </w:tcPr>
          <w:p w14:paraId="307C7428" w14:textId="77777777" w:rsidR="00501862" w:rsidRPr="00DB7CF3" w:rsidRDefault="00501862" w:rsidP="008362E0">
            <w:pPr>
              <w:spacing w:before="120" w:after="120" w:line="240" w:lineRule="auto"/>
              <w:rPr>
                <w:rFonts w:cs="Arial"/>
                <w:b/>
                <w:sz w:val="16"/>
                <w:szCs w:val="16"/>
              </w:rPr>
            </w:pPr>
            <w:r>
              <w:rPr>
                <w:b/>
                <w:sz w:val="16"/>
              </w:rPr>
              <w:t>No.</w:t>
            </w:r>
          </w:p>
        </w:tc>
        <w:tc>
          <w:tcPr>
            <w:tcW w:w="1596" w:type="dxa"/>
            <w:tcBorders>
              <w:bottom w:val="single" w:sz="4" w:space="0" w:color="auto"/>
            </w:tcBorders>
            <w:shd w:val="pct20" w:color="auto" w:fill="auto"/>
          </w:tcPr>
          <w:p w14:paraId="3180ECDC" w14:textId="77777777" w:rsidR="00501862" w:rsidRPr="00DB7CF3" w:rsidRDefault="00501862" w:rsidP="008362E0">
            <w:pPr>
              <w:spacing w:before="120" w:after="120" w:line="240" w:lineRule="auto"/>
              <w:rPr>
                <w:rFonts w:cs="Arial"/>
                <w:b/>
                <w:sz w:val="16"/>
                <w:szCs w:val="16"/>
              </w:rPr>
            </w:pPr>
            <w:r>
              <w:rPr>
                <w:b/>
                <w:sz w:val="16"/>
              </w:rPr>
              <w:t>Topic</w:t>
            </w:r>
          </w:p>
        </w:tc>
        <w:tc>
          <w:tcPr>
            <w:tcW w:w="4284" w:type="dxa"/>
            <w:tcBorders>
              <w:bottom w:val="single" w:sz="4" w:space="0" w:color="auto"/>
            </w:tcBorders>
            <w:shd w:val="pct20" w:color="auto" w:fill="auto"/>
          </w:tcPr>
          <w:p w14:paraId="3A0B94F4" w14:textId="3431C509" w:rsidR="00501862" w:rsidRPr="00DB7CF3" w:rsidRDefault="00501862" w:rsidP="008362E0">
            <w:pPr>
              <w:spacing w:before="120" w:after="120" w:line="240" w:lineRule="auto"/>
              <w:rPr>
                <w:rFonts w:cs="Arial"/>
                <w:b/>
                <w:sz w:val="16"/>
                <w:szCs w:val="16"/>
              </w:rPr>
            </w:pPr>
            <w:r>
              <w:rPr>
                <w:b/>
                <w:sz w:val="16"/>
              </w:rPr>
              <w:t xml:space="preserve">Procedures for audit depth </w:t>
            </w:r>
            <w:r>
              <w:rPr>
                <w:b/>
                <w:sz w:val="16"/>
              </w:rPr>
              <w:br/>
              <w:t>“critical assessment”:</w:t>
            </w:r>
          </w:p>
        </w:tc>
        <w:tc>
          <w:tcPr>
            <w:tcW w:w="3827" w:type="dxa"/>
            <w:tcBorders>
              <w:bottom w:val="single" w:sz="4" w:space="0" w:color="auto"/>
            </w:tcBorders>
            <w:shd w:val="pct20" w:color="auto" w:fill="auto"/>
          </w:tcPr>
          <w:p w14:paraId="695E3718" w14:textId="7460B0D9" w:rsidR="00501862" w:rsidRPr="00DB7CF3" w:rsidRDefault="00501862" w:rsidP="00A66BB2">
            <w:pPr>
              <w:spacing w:before="120" w:after="120" w:line="240" w:lineRule="auto"/>
              <w:rPr>
                <w:rFonts w:cs="Arial"/>
                <w:b/>
                <w:sz w:val="16"/>
                <w:szCs w:val="16"/>
              </w:rPr>
            </w:pPr>
            <w:r>
              <w:rPr>
                <w:b/>
                <w:sz w:val="16"/>
                <w:u w:val="single"/>
              </w:rPr>
              <w:t>Additional</w:t>
            </w:r>
            <w:r>
              <w:rPr>
                <w:b/>
                <w:sz w:val="16"/>
              </w:rPr>
              <w:t xml:space="preserve"> procedures for audit depth “audit”:</w:t>
            </w:r>
          </w:p>
        </w:tc>
        <w:tc>
          <w:tcPr>
            <w:tcW w:w="3090" w:type="dxa"/>
            <w:tcBorders>
              <w:bottom w:val="single" w:sz="4" w:space="0" w:color="auto"/>
            </w:tcBorders>
            <w:shd w:val="pct20" w:color="auto" w:fill="auto"/>
          </w:tcPr>
          <w:p w14:paraId="5E74877B" w14:textId="77777777" w:rsidR="00501862" w:rsidRPr="00DB7CF3" w:rsidRDefault="00501862" w:rsidP="008362E0">
            <w:pPr>
              <w:spacing w:before="120" w:after="120" w:line="240" w:lineRule="auto"/>
              <w:rPr>
                <w:rFonts w:cs="Arial"/>
                <w:b/>
                <w:sz w:val="16"/>
                <w:szCs w:val="16"/>
              </w:rPr>
            </w:pPr>
            <w:r>
              <w:rPr>
                <w:b/>
                <w:sz w:val="16"/>
              </w:rPr>
              <w:t>Procedures performed/findings</w:t>
            </w:r>
          </w:p>
        </w:tc>
        <w:tc>
          <w:tcPr>
            <w:tcW w:w="992" w:type="dxa"/>
            <w:tcBorders>
              <w:bottom w:val="single" w:sz="4" w:space="0" w:color="auto"/>
            </w:tcBorders>
            <w:shd w:val="pct20" w:color="auto" w:fill="auto"/>
          </w:tcPr>
          <w:p w14:paraId="377E6BE0" w14:textId="77777777" w:rsidR="00501862" w:rsidRPr="00DB7CF3" w:rsidRDefault="00501862" w:rsidP="008362E0">
            <w:pPr>
              <w:spacing w:before="120" w:after="120" w:line="240" w:lineRule="auto"/>
              <w:rPr>
                <w:rFonts w:cs="Arial"/>
                <w:b/>
                <w:sz w:val="16"/>
                <w:szCs w:val="16"/>
              </w:rPr>
            </w:pPr>
            <w:r>
              <w:rPr>
                <w:b/>
                <w:sz w:val="16"/>
              </w:rPr>
              <w:t>WP ref.:</w:t>
            </w:r>
          </w:p>
        </w:tc>
      </w:tr>
      <w:tr w:rsidR="00FA4FC1" w:rsidRPr="008B4EB5" w14:paraId="378CA0A7" w14:textId="77777777" w:rsidTr="00902740">
        <w:tc>
          <w:tcPr>
            <w:tcW w:w="14317" w:type="dxa"/>
            <w:gridSpan w:val="6"/>
            <w:shd w:val="pct10" w:color="auto" w:fill="auto"/>
          </w:tcPr>
          <w:p w14:paraId="1A0C7D8E" w14:textId="77777777" w:rsidR="00FA4FC1" w:rsidRPr="00AB7BC8" w:rsidRDefault="00FA4FC1" w:rsidP="008362E0">
            <w:pPr>
              <w:spacing w:before="120" w:after="120" w:line="240" w:lineRule="auto"/>
              <w:rPr>
                <w:rFonts w:cs="Arial"/>
                <w:i/>
                <w:sz w:val="16"/>
                <w:szCs w:val="16"/>
              </w:rPr>
            </w:pPr>
            <w:r>
              <w:rPr>
                <w:i/>
                <w:sz w:val="16"/>
              </w:rPr>
              <w:t>Confirmation that methods/processes for identification, measurement, management and monitoring of other risks in connection with compliance issues were adequate and, in case of the audit depth “audit”, were applied effectively.</w:t>
            </w:r>
          </w:p>
          <w:p w14:paraId="6C395F1D" w14:textId="77777777" w:rsidR="00FA4FC1" w:rsidRPr="008B4EB5" w:rsidRDefault="00FA4FC1" w:rsidP="008362E0">
            <w:pPr>
              <w:spacing w:before="120" w:after="120" w:line="240" w:lineRule="auto"/>
              <w:rPr>
                <w:bCs/>
                <w:i/>
                <w:sz w:val="16"/>
                <w:szCs w:val="16"/>
                <w:lang w:val="de-CH"/>
              </w:rPr>
            </w:pPr>
            <w:r w:rsidRPr="008B4EB5">
              <w:rPr>
                <w:i/>
                <w:sz w:val="16"/>
                <w:lang w:val="de-CH"/>
              </w:rPr>
              <w:t>Bestätigung, dass die Methoden / Prozesse zur Identifikation, Messung, Bewirtschaftung und Überwachung von anderen Risiken im Zusammenhang mit Compliance-Fragen angemessen waren und im Falle der Prüftiefe „Prüfung“ effektiv angewendet wurden.</w:t>
            </w:r>
          </w:p>
          <w:p w14:paraId="7002D404" w14:textId="77777777" w:rsidR="00FA4FC1" w:rsidRPr="008B4EB5" w:rsidRDefault="00FA4FC1" w:rsidP="00674664">
            <w:pPr>
              <w:spacing w:before="120" w:after="120" w:line="240" w:lineRule="auto"/>
              <w:rPr>
                <w:lang w:val="fr-CH"/>
              </w:rPr>
            </w:pPr>
            <w:r w:rsidRPr="008B4EB5">
              <w:rPr>
                <w:i/>
                <w:sz w:val="16"/>
                <w:lang w:val="fr-CH"/>
              </w:rPr>
              <w:t>Confirmation que les méthodes / processus relatifs à l’identification, la mesure, la gestion et la surveillance des autres risques en lien avec les questions de compliance ont été appropriés et en cas d’étendue d’audit « audit » ont été effectivement appliqués.</w:t>
            </w:r>
          </w:p>
        </w:tc>
      </w:tr>
      <w:tr w:rsidR="00501862" w:rsidRPr="00231C9C" w14:paraId="3EA7B944" w14:textId="77777777" w:rsidTr="00AC243C">
        <w:tc>
          <w:tcPr>
            <w:tcW w:w="528" w:type="dxa"/>
            <w:vMerge w:val="restart"/>
            <w:shd w:val="clear" w:color="auto" w:fill="auto"/>
          </w:tcPr>
          <w:p w14:paraId="28FC029B" w14:textId="77777777" w:rsidR="00501862" w:rsidRPr="00AB7BC8" w:rsidRDefault="00501862" w:rsidP="008362E0">
            <w:pPr>
              <w:spacing w:before="120" w:after="120" w:line="240" w:lineRule="auto"/>
              <w:rPr>
                <w:rFonts w:cs="Arial"/>
                <w:sz w:val="16"/>
                <w:szCs w:val="16"/>
                <w:lang w:val="fr-CH"/>
              </w:rPr>
            </w:pPr>
          </w:p>
        </w:tc>
        <w:tc>
          <w:tcPr>
            <w:tcW w:w="1596" w:type="dxa"/>
            <w:vMerge w:val="restart"/>
            <w:shd w:val="clear" w:color="auto" w:fill="auto"/>
          </w:tcPr>
          <w:p w14:paraId="66FCC946" w14:textId="3C6D7915" w:rsidR="00501862" w:rsidRPr="00327024" w:rsidRDefault="00501862" w:rsidP="004F28D7">
            <w:pPr>
              <w:spacing w:before="120" w:after="120" w:line="240" w:lineRule="auto"/>
              <w:rPr>
                <w:rFonts w:cs="Arial"/>
                <w:b/>
                <w:sz w:val="16"/>
                <w:szCs w:val="16"/>
              </w:rPr>
            </w:pPr>
            <w:r>
              <w:rPr>
                <w:b/>
                <w:sz w:val="16"/>
              </w:rPr>
              <w:t>Risk policy</w:t>
            </w:r>
          </w:p>
        </w:tc>
        <w:tc>
          <w:tcPr>
            <w:tcW w:w="4284" w:type="dxa"/>
            <w:shd w:val="clear" w:color="auto" w:fill="auto"/>
          </w:tcPr>
          <w:p w14:paraId="0AC281E3" w14:textId="4ECAE508" w:rsidR="00501862" w:rsidRPr="001D46BF" w:rsidRDefault="00501862" w:rsidP="00F61ADA">
            <w:pPr>
              <w:pStyle w:val="Bullet"/>
              <w:numPr>
                <w:ilvl w:val="0"/>
                <w:numId w:val="0"/>
              </w:numPr>
              <w:spacing w:before="120" w:after="120"/>
            </w:pPr>
            <w:r>
              <w:rPr>
                <w:i/>
              </w:rPr>
              <w:t>Assess whether risk policy, internal regulations, guidelines, manuals and job descriptions adequately define responsibilities, approval powers, reporting and escalation lines for risks from cross-border services considering the size, business and organisational complexity and the compliance risk of the institution, specifically:</w:t>
            </w:r>
          </w:p>
        </w:tc>
        <w:tc>
          <w:tcPr>
            <w:tcW w:w="3827" w:type="dxa"/>
            <w:shd w:val="clear" w:color="auto" w:fill="auto"/>
          </w:tcPr>
          <w:p w14:paraId="62FD93D1" w14:textId="77777777" w:rsidR="00501862" w:rsidRPr="001D46BF" w:rsidRDefault="00501862" w:rsidP="008362E0">
            <w:pPr>
              <w:pStyle w:val="Bullet"/>
              <w:numPr>
                <w:ilvl w:val="0"/>
                <w:numId w:val="0"/>
              </w:numPr>
              <w:spacing w:before="120" w:after="120"/>
              <w:ind w:left="720"/>
            </w:pPr>
          </w:p>
        </w:tc>
        <w:tc>
          <w:tcPr>
            <w:tcW w:w="3090" w:type="dxa"/>
            <w:shd w:val="clear" w:color="auto" w:fill="auto"/>
          </w:tcPr>
          <w:p w14:paraId="351C952A"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249336BD" w14:textId="16048EEA" w:rsidR="00501862" w:rsidRPr="005B6531" w:rsidRDefault="00501862" w:rsidP="008362E0">
            <w:pPr>
              <w:spacing w:before="120" w:after="120" w:line="240" w:lineRule="auto"/>
            </w:pPr>
          </w:p>
        </w:tc>
      </w:tr>
      <w:tr w:rsidR="00501862" w:rsidRPr="00AF6AA5" w14:paraId="151BED98" w14:textId="77777777" w:rsidTr="00AC243C">
        <w:trPr>
          <w:trHeight w:val="619"/>
        </w:trPr>
        <w:tc>
          <w:tcPr>
            <w:tcW w:w="528" w:type="dxa"/>
            <w:vMerge/>
            <w:shd w:val="clear" w:color="auto" w:fill="auto"/>
          </w:tcPr>
          <w:p w14:paraId="437B3FEB" w14:textId="77777777" w:rsidR="00501862" w:rsidRPr="005B6531" w:rsidRDefault="00501862" w:rsidP="008362E0">
            <w:pPr>
              <w:spacing w:before="120" w:after="120" w:line="240" w:lineRule="auto"/>
              <w:rPr>
                <w:rFonts w:cs="Arial"/>
                <w:sz w:val="16"/>
                <w:szCs w:val="16"/>
              </w:rPr>
            </w:pPr>
          </w:p>
        </w:tc>
        <w:tc>
          <w:tcPr>
            <w:tcW w:w="1596" w:type="dxa"/>
            <w:vMerge/>
            <w:shd w:val="clear" w:color="auto" w:fill="auto"/>
          </w:tcPr>
          <w:p w14:paraId="6A4FE885" w14:textId="77777777" w:rsidR="00501862" w:rsidRPr="005B6531" w:rsidRDefault="00501862" w:rsidP="008362E0">
            <w:pPr>
              <w:spacing w:before="120" w:after="120" w:line="240" w:lineRule="auto"/>
              <w:rPr>
                <w:rFonts w:cs="Arial"/>
                <w:b/>
                <w:sz w:val="16"/>
                <w:szCs w:val="16"/>
              </w:rPr>
            </w:pPr>
          </w:p>
        </w:tc>
        <w:tc>
          <w:tcPr>
            <w:tcW w:w="4284" w:type="dxa"/>
            <w:shd w:val="clear" w:color="auto" w:fill="auto"/>
          </w:tcPr>
          <w:p w14:paraId="16982177" w14:textId="77777777" w:rsidR="00501862" w:rsidRPr="003203D5" w:rsidRDefault="00501862" w:rsidP="00836E5F">
            <w:pPr>
              <w:pStyle w:val="Bullet"/>
              <w:numPr>
                <w:ilvl w:val="0"/>
                <w:numId w:val="0"/>
              </w:numPr>
              <w:spacing w:before="120" w:after="120"/>
            </w:pPr>
            <w:r>
              <w:t>Assess whether internal rules adequately define the business strategy and service model (including procedures for targeting, relationship management, doing business and communication) for target countries, excluded countries, non-target countries (those which are neither target nor excluded countries).</w:t>
            </w:r>
          </w:p>
        </w:tc>
        <w:tc>
          <w:tcPr>
            <w:tcW w:w="3827" w:type="dxa"/>
            <w:shd w:val="clear" w:color="auto" w:fill="auto"/>
          </w:tcPr>
          <w:p w14:paraId="6548A254" w14:textId="77777777" w:rsidR="00501862" w:rsidRPr="001D46BF" w:rsidRDefault="00501862" w:rsidP="008362E0">
            <w:pPr>
              <w:spacing w:before="120" w:after="120" w:line="240" w:lineRule="auto"/>
              <w:ind w:left="34"/>
              <w:rPr>
                <w:rFonts w:cs="Arial"/>
                <w:sz w:val="16"/>
                <w:szCs w:val="16"/>
              </w:rPr>
            </w:pPr>
          </w:p>
        </w:tc>
        <w:tc>
          <w:tcPr>
            <w:tcW w:w="3090" w:type="dxa"/>
            <w:shd w:val="clear" w:color="auto" w:fill="auto"/>
          </w:tcPr>
          <w:p w14:paraId="2E885106"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3E992B39" w14:textId="47EB67AC" w:rsidR="00501862" w:rsidRPr="00F81BDE" w:rsidRDefault="00501862" w:rsidP="008362E0">
            <w:pPr>
              <w:spacing w:before="120" w:after="120" w:line="240" w:lineRule="auto"/>
            </w:pPr>
          </w:p>
        </w:tc>
      </w:tr>
      <w:tr w:rsidR="00501862" w:rsidRPr="00AF6AA5" w14:paraId="0363C16D" w14:textId="77777777" w:rsidTr="00AC243C">
        <w:tc>
          <w:tcPr>
            <w:tcW w:w="528" w:type="dxa"/>
            <w:vMerge/>
            <w:shd w:val="clear" w:color="auto" w:fill="auto"/>
          </w:tcPr>
          <w:p w14:paraId="6B76A96C"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424E7FD5" w14:textId="77777777" w:rsidR="00501862" w:rsidRPr="001D46BF" w:rsidRDefault="00501862" w:rsidP="008362E0">
            <w:pPr>
              <w:spacing w:before="120" w:after="120" w:line="240" w:lineRule="auto"/>
              <w:rPr>
                <w:rFonts w:cs="Arial"/>
                <w:b/>
                <w:sz w:val="16"/>
                <w:szCs w:val="16"/>
              </w:rPr>
            </w:pPr>
          </w:p>
        </w:tc>
        <w:tc>
          <w:tcPr>
            <w:tcW w:w="4284" w:type="dxa"/>
            <w:shd w:val="clear" w:color="auto" w:fill="auto"/>
          </w:tcPr>
          <w:p w14:paraId="588AE1EC" w14:textId="77777777" w:rsidR="00501862" w:rsidRPr="003203D5" w:rsidRDefault="00501862" w:rsidP="00AB7BC8">
            <w:pPr>
              <w:pStyle w:val="Bullet"/>
              <w:numPr>
                <w:ilvl w:val="0"/>
                <w:numId w:val="0"/>
              </w:numPr>
              <w:spacing w:before="120" w:after="120"/>
              <w:ind w:left="33"/>
            </w:pPr>
            <w:r>
              <w:t xml:space="preserve">Assess whether the documented cross-border strategy is sufficiently detailed, clear and transparent to ensure that the governing bodies can take informed decisions on risk appetite and tolerance and whether it is adequate with regard to the institution’s business and organisational complexity (notably the selected target markets, the institution’s assessment of the compliance of its service models for the target markets and the obtained licences and approvals). </w:t>
            </w:r>
          </w:p>
        </w:tc>
        <w:tc>
          <w:tcPr>
            <w:tcW w:w="3827" w:type="dxa"/>
            <w:shd w:val="clear" w:color="auto" w:fill="auto"/>
          </w:tcPr>
          <w:p w14:paraId="630A08E1" w14:textId="77777777" w:rsidR="00501862" w:rsidRPr="001D46BF" w:rsidRDefault="00501862" w:rsidP="008362E0">
            <w:pPr>
              <w:spacing w:before="120" w:after="120" w:line="240" w:lineRule="auto"/>
              <w:ind w:left="33"/>
              <w:rPr>
                <w:rFonts w:cs="Arial"/>
                <w:sz w:val="16"/>
                <w:szCs w:val="16"/>
              </w:rPr>
            </w:pPr>
          </w:p>
        </w:tc>
        <w:tc>
          <w:tcPr>
            <w:tcW w:w="3090" w:type="dxa"/>
            <w:shd w:val="clear" w:color="auto" w:fill="auto"/>
          </w:tcPr>
          <w:p w14:paraId="13037A08"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076D33AA" w14:textId="2CF501F5" w:rsidR="00501862" w:rsidRPr="00F81BDE" w:rsidRDefault="00501862" w:rsidP="008362E0">
            <w:pPr>
              <w:spacing w:before="120" w:after="120" w:line="240" w:lineRule="auto"/>
            </w:pPr>
          </w:p>
        </w:tc>
      </w:tr>
      <w:tr w:rsidR="00501862" w:rsidRPr="00AF6AA5" w14:paraId="28C9C6B0" w14:textId="77777777" w:rsidTr="00AC243C">
        <w:tc>
          <w:tcPr>
            <w:tcW w:w="528" w:type="dxa"/>
            <w:vMerge/>
            <w:shd w:val="clear" w:color="auto" w:fill="auto"/>
          </w:tcPr>
          <w:p w14:paraId="25001CB6"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105A28BE" w14:textId="77777777" w:rsidR="00501862" w:rsidRPr="001D46BF" w:rsidRDefault="00501862" w:rsidP="008362E0">
            <w:pPr>
              <w:spacing w:before="120" w:after="120" w:line="240" w:lineRule="auto"/>
              <w:rPr>
                <w:rFonts w:cs="Arial"/>
                <w:b/>
                <w:sz w:val="16"/>
                <w:szCs w:val="16"/>
              </w:rPr>
            </w:pPr>
          </w:p>
        </w:tc>
        <w:tc>
          <w:tcPr>
            <w:tcW w:w="4284" w:type="dxa"/>
            <w:shd w:val="clear" w:color="auto" w:fill="auto"/>
          </w:tcPr>
          <w:p w14:paraId="6DD9C475" w14:textId="77777777" w:rsidR="00501862" w:rsidRPr="003203D5" w:rsidRDefault="00501862" w:rsidP="00AB7BC8">
            <w:pPr>
              <w:pStyle w:val="Bullet"/>
              <w:numPr>
                <w:ilvl w:val="0"/>
                <w:numId w:val="0"/>
              </w:numPr>
              <w:spacing w:before="120" w:after="120"/>
              <w:ind w:left="33"/>
            </w:pPr>
            <w:r>
              <w:t>Assess whether internal rules adequately define target countries, excluded countries, non-target countries (those which are neither target nor excluded countries) consistently with the business plan and the effective commercial activities.</w:t>
            </w:r>
          </w:p>
        </w:tc>
        <w:tc>
          <w:tcPr>
            <w:tcW w:w="3827" w:type="dxa"/>
            <w:shd w:val="clear" w:color="auto" w:fill="auto"/>
          </w:tcPr>
          <w:p w14:paraId="5652A8A0" w14:textId="77777777" w:rsidR="00501862" w:rsidRPr="001D46BF" w:rsidRDefault="00501862" w:rsidP="008362E0">
            <w:pPr>
              <w:spacing w:before="120" w:after="120" w:line="240" w:lineRule="auto"/>
              <w:ind w:left="33"/>
              <w:rPr>
                <w:rFonts w:cs="Arial"/>
                <w:sz w:val="16"/>
                <w:szCs w:val="16"/>
              </w:rPr>
            </w:pPr>
          </w:p>
        </w:tc>
        <w:tc>
          <w:tcPr>
            <w:tcW w:w="3090" w:type="dxa"/>
            <w:shd w:val="clear" w:color="auto" w:fill="auto"/>
          </w:tcPr>
          <w:p w14:paraId="3C1BE029"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14735D2A" w14:textId="787BFEC8" w:rsidR="00501862" w:rsidRPr="00C04F0F" w:rsidRDefault="00501862" w:rsidP="008362E0">
            <w:pPr>
              <w:spacing w:before="120" w:after="120" w:line="240" w:lineRule="auto"/>
            </w:pPr>
          </w:p>
        </w:tc>
      </w:tr>
      <w:tr w:rsidR="00501862" w:rsidRPr="00AF6AA5" w14:paraId="17DA8966" w14:textId="77777777" w:rsidTr="00AC243C">
        <w:tc>
          <w:tcPr>
            <w:tcW w:w="528" w:type="dxa"/>
            <w:vMerge/>
            <w:shd w:val="clear" w:color="auto" w:fill="auto"/>
          </w:tcPr>
          <w:p w14:paraId="5FD80AC7"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7E226103" w14:textId="77777777" w:rsidR="00501862" w:rsidRPr="001D46BF" w:rsidRDefault="00501862" w:rsidP="008362E0">
            <w:pPr>
              <w:spacing w:before="120" w:after="120" w:line="240" w:lineRule="auto"/>
              <w:rPr>
                <w:rFonts w:cs="Arial"/>
                <w:b/>
                <w:sz w:val="16"/>
                <w:szCs w:val="16"/>
              </w:rPr>
            </w:pPr>
          </w:p>
        </w:tc>
        <w:tc>
          <w:tcPr>
            <w:tcW w:w="4284" w:type="dxa"/>
            <w:shd w:val="clear" w:color="auto" w:fill="auto"/>
          </w:tcPr>
          <w:p w14:paraId="07F09F70" w14:textId="77777777" w:rsidR="00501862" w:rsidRDefault="00501862" w:rsidP="008362E0">
            <w:pPr>
              <w:pStyle w:val="Bullet"/>
              <w:numPr>
                <w:ilvl w:val="0"/>
                <w:numId w:val="0"/>
              </w:numPr>
              <w:spacing w:before="120" w:after="120"/>
            </w:pPr>
            <w:r>
              <w:t>Assess whether internal rules adequately define roles and responsibilities, e.g. for:</w:t>
            </w:r>
          </w:p>
          <w:p w14:paraId="35213C2B" w14:textId="1FA6ECEF" w:rsidR="00501862" w:rsidRDefault="00501862" w:rsidP="008362E0">
            <w:pPr>
              <w:pStyle w:val="Bullet"/>
              <w:numPr>
                <w:ilvl w:val="0"/>
                <w:numId w:val="13"/>
              </w:numPr>
              <w:spacing w:before="120" w:after="120"/>
              <w:ind w:left="227" w:hanging="227"/>
            </w:pPr>
            <w:r>
              <w:t>approval of cross-border strategy;</w:t>
            </w:r>
          </w:p>
          <w:p w14:paraId="570E051A" w14:textId="77777777" w:rsidR="00501862" w:rsidRPr="00FA1508" w:rsidRDefault="00501862" w:rsidP="008362E0">
            <w:pPr>
              <w:pStyle w:val="Bullet"/>
              <w:numPr>
                <w:ilvl w:val="0"/>
                <w:numId w:val="13"/>
              </w:numPr>
              <w:spacing w:before="120" w:after="120"/>
              <w:ind w:left="227" w:hanging="227"/>
            </w:pPr>
            <w:r>
              <w:rPr>
                <w:color w:val="000000" w:themeColor="text1"/>
              </w:rPr>
              <w:t>performance of sufficiently detailed and frequent country risk analyses;</w:t>
            </w:r>
          </w:p>
          <w:p w14:paraId="4FE69B39" w14:textId="77777777" w:rsidR="00501862" w:rsidRPr="00674664" w:rsidRDefault="00501862" w:rsidP="008362E0">
            <w:pPr>
              <w:pStyle w:val="Bullet"/>
              <w:numPr>
                <w:ilvl w:val="0"/>
                <w:numId w:val="13"/>
              </w:numPr>
              <w:spacing w:before="120" w:after="120"/>
              <w:ind w:left="227" w:hanging="227"/>
            </w:pPr>
            <w:r>
              <w:rPr>
                <w:color w:val="000000" w:themeColor="text1"/>
              </w:rPr>
              <w:t>approval of classification per specific country and frequency of new examinations and re-approvals;</w:t>
            </w:r>
          </w:p>
          <w:p w14:paraId="5CDDBF4F" w14:textId="77777777" w:rsidR="00501862" w:rsidRPr="00FA1508" w:rsidRDefault="00501862" w:rsidP="008362E0">
            <w:pPr>
              <w:pStyle w:val="Bullet"/>
              <w:numPr>
                <w:ilvl w:val="0"/>
                <w:numId w:val="13"/>
              </w:numPr>
              <w:spacing w:before="120" w:after="120"/>
              <w:ind w:left="227" w:hanging="227"/>
            </w:pPr>
            <w:r>
              <w:rPr>
                <w:color w:val="000000" w:themeColor="text1"/>
              </w:rPr>
              <w:t>definition, maintenance, update and approval of service models (incl. targeting, relationship management, doing business and communication) per target country and for all other types of countries;</w:t>
            </w:r>
          </w:p>
          <w:p w14:paraId="42011F3A" w14:textId="77777777" w:rsidR="00501862" w:rsidRDefault="00501862" w:rsidP="008362E0">
            <w:pPr>
              <w:pStyle w:val="Bullet"/>
              <w:numPr>
                <w:ilvl w:val="0"/>
                <w:numId w:val="13"/>
              </w:numPr>
              <w:spacing w:before="120" w:after="120"/>
              <w:ind w:left="227" w:hanging="227"/>
            </w:pPr>
            <w:r>
              <w:t xml:space="preserve">approval, implementation and control of risk-based training programme; </w:t>
            </w:r>
          </w:p>
          <w:p w14:paraId="4017D2A1" w14:textId="77777777" w:rsidR="00501862" w:rsidRDefault="00501862" w:rsidP="008362E0">
            <w:pPr>
              <w:pStyle w:val="Bullet"/>
              <w:numPr>
                <w:ilvl w:val="0"/>
                <w:numId w:val="13"/>
              </w:numPr>
              <w:spacing w:before="120" w:after="120"/>
              <w:ind w:left="227" w:hanging="227"/>
            </w:pPr>
            <w:r>
              <w:t>controls, approvals and documentation before new customers are accepted;</w:t>
            </w:r>
          </w:p>
          <w:p w14:paraId="6CF84D2B" w14:textId="77777777" w:rsidR="00501862" w:rsidRPr="00FA1508" w:rsidRDefault="00501862" w:rsidP="008362E0">
            <w:pPr>
              <w:pStyle w:val="Bullet"/>
              <w:numPr>
                <w:ilvl w:val="0"/>
                <w:numId w:val="13"/>
              </w:numPr>
              <w:spacing w:before="120" w:after="120"/>
              <w:ind w:left="227" w:hanging="227"/>
            </w:pPr>
            <w:r>
              <w:rPr>
                <w:color w:val="000000" w:themeColor="text1"/>
              </w:rPr>
              <w:t>periodic due diligence and (re-)approval of external asset managers and other intermediaries;</w:t>
            </w:r>
          </w:p>
          <w:p w14:paraId="0CB54CEE" w14:textId="77777777" w:rsidR="00501862" w:rsidRPr="00FA1508" w:rsidRDefault="00501862" w:rsidP="008362E0">
            <w:pPr>
              <w:pStyle w:val="Bullet"/>
              <w:numPr>
                <w:ilvl w:val="0"/>
                <w:numId w:val="13"/>
              </w:numPr>
              <w:spacing w:before="120" w:after="120"/>
              <w:ind w:left="227" w:hanging="227"/>
            </w:pPr>
            <w:r>
              <w:rPr>
                <w:color w:val="000000" w:themeColor="text1"/>
              </w:rPr>
              <w:t>approval powers for travel plans to foreign countries;</w:t>
            </w:r>
          </w:p>
          <w:p w14:paraId="225505ED" w14:textId="77777777" w:rsidR="00470038" w:rsidRPr="00E23797" w:rsidRDefault="00501862" w:rsidP="008362E0">
            <w:pPr>
              <w:pStyle w:val="Bullet"/>
              <w:numPr>
                <w:ilvl w:val="0"/>
                <w:numId w:val="13"/>
              </w:numPr>
              <w:spacing w:before="120" w:after="120"/>
              <w:ind w:left="227" w:hanging="227"/>
            </w:pPr>
            <w:r>
              <w:rPr>
                <w:color w:val="000000" w:themeColor="text1"/>
              </w:rPr>
              <w:t>timely preparation of travel reports and approval thereof;</w:t>
            </w:r>
          </w:p>
          <w:p w14:paraId="32D1292B" w14:textId="77777777" w:rsidR="00501862" w:rsidRPr="0003745F" w:rsidRDefault="00501862" w:rsidP="00470038">
            <w:pPr>
              <w:pStyle w:val="Bullet"/>
              <w:numPr>
                <w:ilvl w:val="0"/>
                <w:numId w:val="13"/>
              </w:numPr>
              <w:spacing w:before="120" w:after="120"/>
              <w:ind w:left="227" w:hanging="227"/>
            </w:pPr>
            <w:r>
              <w:rPr>
                <w:color w:val="000000" w:themeColor="text1"/>
              </w:rPr>
              <w:t>internal ad-hoc reporting duties in case of observed increase of cross-border risks;</w:t>
            </w:r>
          </w:p>
          <w:p w14:paraId="1D2528D2" w14:textId="77777777" w:rsidR="00501862" w:rsidRDefault="00501862" w:rsidP="008362E0">
            <w:pPr>
              <w:pStyle w:val="Bullet"/>
              <w:numPr>
                <w:ilvl w:val="0"/>
                <w:numId w:val="13"/>
              </w:numPr>
              <w:spacing w:before="120" w:after="120"/>
              <w:ind w:left="227" w:hanging="227"/>
            </w:pPr>
            <w:r>
              <w:rPr>
                <w:color w:val="000000" w:themeColor="text1"/>
              </w:rPr>
              <w:t>reporting duties if persons are contacted by foreign authorities.</w:t>
            </w:r>
          </w:p>
        </w:tc>
        <w:tc>
          <w:tcPr>
            <w:tcW w:w="3827" w:type="dxa"/>
            <w:shd w:val="clear" w:color="auto" w:fill="auto"/>
          </w:tcPr>
          <w:p w14:paraId="359BBDBB" w14:textId="77777777" w:rsidR="00501862" w:rsidRPr="001D46BF" w:rsidRDefault="00501862" w:rsidP="008362E0">
            <w:pPr>
              <w:spacing w:before="120" w:after="120" w:line="240" w:lineRule="auto"/>
              <w:ind w:left="33"/>
              <w:rPr>
                <w:rFonts w:cs="Arial"/>
                <w:sz w:val="16"/>
                <w:szCs w:val="16"/>
              </w:rPr>
            </w:pPr>
          </w:p>
        </w:tc>
        <w:tc>
          <w:tcPr>
            <w:tcW w:w="3090" w:type="dxa"/>
            <w:shd w:val="clear" w:color="auto" w:fill="auto"/>
          </w:tcPr>
          <w:p w14:paraId="32CA86AD"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1E9D693A" w14:textId="47EA3A36" w:rsidR="00501862" w:rsidRPr="00C04F0F" w:rsidRDefault="00501862" w:rsidP="008362E0">
            <w:pPr>
              <w:spacing w:before="120" w:after="120" w:line="240" w:lineRule="auto"/>
            </w:pPr>
          </w:p>
        </w:tc>
      </w:tr>
      <w:tr w:rsidR="00501862" w:rsidRPr="00AF6AA5" w14:paraId="4976B9EF" w14:textId="77777777" w:rsidTr="00AC243C">
        <w:tc>
          <w:tcPr>
            <w:tcW w:w="528" w:type="dxa"/>
            <w:vMerge/>
            <w:shd w:val="clear" w:color="auto" w:fill="auto"/>
          </w:tcPr>
          <w:p w14:paraId="35D5D1CA"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66DE1403" w14:textId="77777777" w:rsidR="00501862" w:rsidRPr="001D46BF" w:rsidRDefault="00501862" w:rsidP="008362E0">
            <w:pPr>
              <w:spacing w:before="120" w:after="120" w:line="240" w:lineRule="auto"/>
              <w:rPr>
                <w:rFonts w:cs="Arial"/>
                <w:b/>
                <w:sz w:val="16"/>
                <w:szCs w:val="16"/>
              </w:rPr>
            </w:pPr>
          </w:p>
        </w:tc>
        <w:tc>
          <w:tcPr>
            <w:tcW w:w="4284" w:type="dxa"/>
            <w:shd w:val="clear" w:color="auto" w:fill="auto"/>
          </w:tcPr>
          <w:p w14:paraId="70B2AAED" w14:textId="77777777" w:rsidR="00501862" w:rsidRPr="00FA6BF1" w:rsidRDefault="00501862" w:rsidP="00257088">
            <w:pPr>
              <w:spacing w:before="120" w:after="120" w:line="240" w:lineRule="auto"/>
              <w:rPr>
                <w:rFonts w:cs="Arial"/>
                <w:sz w:val="16"/>
                <w:szCs w:val="16"/>
              </w:rPr>
            </w:pPr>
            <w:r>
              <w:rPr>
                <w:sz w:val="16"/>
              </w:rPr>
              <w:t>Review the minutes of Board of Directors' meetings to assess whether the cross-border strategy, risk appetite and tolerance was discussed and approved by the Board of Directors.</w:t>
            </w:r>
          </w:p>
        </w:tc>
        <w:tc>
          <w:tcPr>
            <w:tcW w:w="3827" w:type="dxa"/>
            <w:shd w:val="clear" w:color="auto" w:fill="auto"/>
          </w:tcPr>
          <w:p w14:paraId="11543F43" w14:textId="77777777" w:rsidR="00501862" w:rsidRPr="001D46BF" w:rsidRDefault="00501862" w:rsidP="008362E0">
            <w:pPr>
              <w:spacing w:before="120" w:after="120" w:line="240" w:lineRule="auto"/>
              <w:ind w:left="33"/>
              <w:rPr>
                <w:rFonts w:cs="Arial"/>
                <w:sz w:val="16"/>
                <w:szCs w:val="16"/>
              </w:rPr>
            </w:pPr>
          </w:p>
        </w:tc>
        <w:tc>
          <w:tcPr>
            <w:tcW w:w="3090" w:type="dxa"/>
            <w:shd w:val="clear" w:color="auto" w:fill="auto"/>
          </w:tcPr>
          <w:p w14:paraId="680B95E0" w14:textId="77777777" w:rsidR="00501862" w:rsidRPr="001D46BF" w:rsidRDefault="00501862" w:rsidP="008362E0">
            <w:pPr>
              <w:spacing w:before="120" w:after="120" w:line="240" w:lineRule="auto"/>
              <w:rPr>
                <w:rFonts w:cs="Arial"/>
                <w:sz w:val="16"/>
                <w:szCs w:val="16"/>
              </w:rPr>
            </w:pPr>
          </w:p>
        </w:tc>
        <w:tc>
          <w:tcPr>
            <w:tcW w:w="992" w:type="dxa"/>
            <w:shd w:val="clear" w:color="auto" w:fill="auto"/>
          </w:tcPr>
          <w:p w14:paraId="1F81967B" w14:textId="3BB4FD3A" w:rsidR="00501862" w:rsidRPr="00C04F0F" w:rsidRDefault="00501862" w:rsidP="008362E0">
            <w:pPr>
              <w:spacing w:before="120" w:after="120" w:line="240" w:lineRule="auto"/>
            </w:pPr>
          </w:p>
        </w:tc>
      </w:tr>
      <w:tr w:rsidR="00501862" w:rsidRPr="00AF6AA5" w14:paraId="05492CD7" w14:textId="77777777" w:rsidTr="00AC243C">
        <w:tc>
          <w:tcPr>
            <w:tcW w:w="528" w:type="dxa"/>
            <w:shd w:val="clear" w:color="auto" w:fill="auto"/>
          </w:tcPr>
          <w:p w14:paraId="6AC7EA13" w14:textId="77777777" w:rsidR="00501862" w:rsidRPr="00200356" w:rsidRDefault="00501862" w:rsidP="008362E0">
            <w:pPr>
              <w:spacing w:before="120" w:after="120" w:line="240" w:lineRule="auto"/>
              <w:rPr>
                <w:rFonts w:cs="Arial"/>
                <w:sz w:val="16"/>
                <w:szCs w:val="16"/>
              </w:rPr>
            </w:pPr>
          </w:p>
        </w:tc>
        <w:tc>
          <w:tcPr>
            <w:tcW w:w="1596" w:type="dxa"/>
            <w:shd w:val="clear" w:color="auto" w:fill="auto"/>
          </w:tcPr>
          <w:p w14:paraId="126BDC75" w14:textId="09400FDF" w:rsidR="00501862" w:rsidRPr="008B4EB5" w:rsidRDefault="00D17B95" w:rsidP="008362E0">
            <w:pPr>
              <w:spacing w:before="120" w:after="120" w:line="240" w:lineRule="auto"/>
              <w:rPr>
                <w:rFonts w:cs="Arial"/>
                <w:b/>
                <w:sz w:val="16"/>
                <w:szCs w:val="16"/>
              </w:rPr>
            </w:pPr>
            <w:r w:rsidRPr="008B4EB5">
              <w:rPr>
                <w:b/>
                <w:bCs/>
                <w:sz w:val="16"/>
                <w:szCs w:val="16"/>
              </w:rPr>
              <w:t>Country analyses/country manuals</w:t>
            </w:r>
          </w:p>
        </w:tc>
        <w:tc>
          <w:tcPr>
            <w:tcW w:w="4284" w:type="dxa"/>
            <w:shd w:val="clear" w:color="auto" w:fill="auto"/>
          </w:tcPr>
          <w:p w14:paraId="4EF52A3A" w14:textId="77777777" w:rsidR="00501862" w:rsidRPr="00461856" w:rsidRDefault="00501862" w:rsidP="00873B13">
            <w:pPr>
              <w:pStyle w:val="Bullet"/>
              <w:numPr>
                <w:ilvl w:val="0"/>
                <w:numId w:val="0"/>
              </w:numPr>
              <w:spacing w:before="120" w:after="120"/>
            </w:pPr>
            <w:r>
              <w:rPr>
                <w:i/>
              </w:rPr>
              <w:t xml:space="preserve">Assess adequacy of methods/processes for identification, measurement, management and monitoring of risks from cross-border services </w:t>
            </w:r>
            <w:r>
              <w:rPr>
                <w:i/>
              </w:rPr>
              <w:lastRenderedPageBreak/>
              <w:t>considering the size, business and organisational complexity and the institution's compliance risk, notably</w:t>
            </w:r>
          </w:p>
        </w:tc>
        <w:tc>
          <w:tcPr>
            <w:tcW w:w="3827" w:type="dxa"/>
            <w:shd w:val="clear" w:color="auto" w:fill="auto"/>
          </w:tcPr>
          <w:p w14:paraId="2E61D5FA" w14:textId="77777777" w:rsidR="00501862" w:rsidRPr="00461856" w:rsidRDefault="00501862" w:rsidP="008362E0">
            <w:pPr>
              <w:spacing w:before="120" w:after="120" w:line="240" w:lineRule="auto"/>
              <w:rPr>
                <w:rFonts w:cs="Arial"/>
                <w:sz w:val="16"/>
                <w:szCs w:val="16"/>
              </w:rPr>
            </w:pPr>
          </w:p>
        </w:tc>
        <w:tc>
          <w:tcPr>
            <w:tcW w:w="3090" w:type="dxa"/>
            <w:shd w:val="clear" w:color="auto" w:fill="auto"/>
          </w:tcPr>
          <w:p w14:paraId="7A5AA8AA" w14:textId="77777777" w:rsidR="00501862" w:rsidRPr="001D46BF" w:rsidRDefault="00501862" w:rsidP="008362E0">
            <w:pPr>
              <w:spacing w:before="120" w:after="120" w:line="240" w:lineRule="auto"/>
              <w:rPr>
                <w:rFonts w:cs="Arial"/>
                <w:sz w:val="16"/>
                <w:szCs w:val="16"/>
              </w:rPr>
            </w:pPr>
          </w:p>
        </w:tc>
        <w:tc>
          <w:tcPr>
            <w:tcW w:w="992" w:type="dxa"/>
          </w:tcPr>
          <w:p w14:paraId="03058197" w14:textId="77777777" w:rsidR="00501862" w:rsidRPr="001D46BF" w:rsidRDefault="00501862" w:rsidP="008362E0">
            <w:pPr>
              <w:spacing w:before="120" w:after="120" w:line="240" w:lineRule="auto"/>
              <w:rPr>
                <w:rFonts w:cs="Arial"/>
                <w:sz w:val="16"/>
                <w:szCs w:val="16"/>
              </w:rPr>
            </w:pPr>
          </w:p>
        </w:tc>
      </w:tr>
      <w:tr w:rsidR="00501862" w:rsidRPr="00AF6AA5" w14:paraId="0744E440" w14:textId="77777777" w:rsidTr="00AC243C">
        <w:tc>
          <w:tcPr>
            <w:tcW w:w="528" w:type="dxa"/>
            <w:vMerge w:val="restart"/>
            <w:shd w:val="clear" w:color="auto" w:fill="auto"/>
          </w:tcPr>
          <w:p w14:paraId="6349E350" w14:textId="77777777" w:rsidR="00501862" w:rsidRPr="001D46BF" w:rsidRDefault="00501862" w:rsidP="008362E0">
            <w:pPr>
              <w:spacing w:before="120" w:after="120" w:line="240" w:lineRule="auto"/>
              <w:rPr>
                <w:rFonts w:cs="Arial"/>
                <w:sz w:val="16"/>
                <w:szCs w:val="16"/>
              </w:rPr>
            </w:pPr>
          </w:p>
        </w:tc>
        <w:tc>
          <w:tcPr>
            <w:tcW w:w="1596" w:type="dxa"/>
            <w:vMerge w:val="restart"/>
            <w:shd w:val="clear" w:color="auto" w:fill="auto"/>
          </w:tcPr>
          <w:p w14:paraId="24A24F2B" w14:textId="53478629" w:rsidR="00501862" w:rsidRPr="001D46BF" w:rsidRDefault="00501862" w:rsidP="008362E0">
            <w:pPr>
              <w:spacing w:before="120" w:after="120" w:line="240" w:lineRule="auto"/>
              <w:rPr>
                <w:rFonts w:cs="Arial"/>
                <w:b/>
                <w:sz w:val="16"/>
                <w:szCs w:val="16"/>
              </w:rPr>
            </w:pPr>
          </w:p>
        </w:tc>
        <w:tc>
          <w:tcPr>
            <w:tcW w:w="4284" w:type="dxa"/>
            <w:shd w:val="clear" w:color="auto" w:fill="auto"/>
          </w:tcPr>
          <w:p w14:paraId="4C4421C1" w14:textId="5497C447" w:rsidR="00501862" w:rsidRPr="00855D58" w:rsidRDefault="00501862" w:rsidP="00F61ADA">
            <w:pPr>
              <w:pStyle w:val="Bullet"/>
              <w:numPr>
                <w:ilvl w:val="0"/>
                <w:numId w:val="0"/>
              </w:numPr>
              <w:spacing w:before="120" w:after="120"/>
            </w:pPr>
            <w:r>
              <w:t>Assess whether the target countries defined in the institution’s internal regulations are consistent with the existing business of the bank, e.g. cross-border service model, type of clients, products, services or intermediaries.</w:t>
            </w:r>
          </w:p>
        </w:tc>
        <w:tc>
          <w:tcPr>
            <w:tcW w:w="3827" w:type="dxa"/>
            <w:shd w:val="clear" w:color="auto" w:fill="auto"/>
          </w:tcPr>
          <w:p w14:paraId="6CCFC69F" w14:textId="77777777" w:rsidR="00501862" w:rsidRPr="003203D5" w:rsidRDefault="00501862" w:rsidP="008362E0">
            <w:pPr>
              <w:pStyle w:val="Bullet"/>
              <w:numPr>
                <w:ilvl w:val="0"/>
                <w:numId w:val="0"/>
              </w:numPr>
              <w:spacing w:before="120" w:after="120"/>
            </w:pPr>
          </w:p>
        </w:tc>
        <w:tc>
          <w:tcPr>
            <w:tcW w:w="3090" w:type="dxa"/>
            <w:shd w:val="clear" w:color="auto" w:fill="auto"/>
          </w:tcPr>
          <w:p w14:paraId="7A03B5F9" w14:textId="77777777" w:rsidR="00501862" w:rsidRPr="001D46BF" w:rsidRDefault="00501862" w:rsidP="008362E0">
            <w:pPr>
              <w:spacing w:before="120" w:after="120" w:line="240" w:lineRule="auto"/>
              <w:rPr>
                <w:rFonts w:cs="Arial"/>
                <w:sz w:val="16"/>
                <w:szCs w:val="16"/>
              </w:rPr>
            </w:pPr>
          </w:p>
        </w:tc>
        <w:tc>
          <w:tcPr>
            <w:tcW w:w="992" w:type="dxa"/>
          </w:tcPr>
          <w:p w14:paraId="7B69072B" w14:textId="29636D3E" w:rsidR="00501862" w:rsidRPr="001D46BF" w:rsidRDefault="00501862" w:rsidP="008362E0">
            <w:pPr>
              <w:spacing w:before="120" w:after="120" w:line="240" w:lineRule="auto"/>
              <w:rPr>
                <w:rFonts w:cs="Arial"/>
                <w:sz w:val="16"/>
                <w:szCs w:val="16"/>
              </w:rPr>
            </w:pPr>
          </w:p>
        </w:tc>
      </w:tr>
      <w:tr w:rsidR="00501862" w:rsidRPr="00AF6AA5" w14:paraId="50AB3808" w14:textId="77777777" w:rsidTr="00AC243C">
        <w:tc>
          <w:tcPr>
            <w:tcW w:w="528" w:type="dxa"/>
            <w:vMerge/>
            <w:shd w:val="clear" w:color="auto" w:fill="auto"/>
          </w:tcPr>
          <w:p w14:paraId="78F526D1" w14:textId="77777777" w:rsidR="00501862" w:rsidRPr="001D46BF" w:rsidRDefault="00501862" w:rsidP="008362E0">
            <w:pPr>
              <w:spacing w:before="120" w:after="120" w:line="240" w:lineRule="auto"/>
              <w:rPr>
                <w:rFonts w:cs="Arial"/>
                <w:sz w:val="16"/>
                <w:szCs w:val="16"/>
              </w:rPr>
            </w:pPr>
          </w:p>
        </w:tc>
        <w:tc>
          <w:tcPr>
            <w:tcW w:w="1596" w:type="dxa"/>
            <w:vMerge/>
            <w:shd w:val="clear" w:color="auto" w:fill="auto"/>
          </w:tcPr>
          <w:p w14:paraId="6FDF0946" w14:textId="77777777" w:rsidR="00501862" w:rsidRPr="001D46BF" w:rsidRDefault="00501862" w:rsidP="008362E0">
            <w:pPr>
              <w:spacing w:before="120" w:after="120" w:line="240" w:lineRule="auto"/>
              <w:rPr>
                <w:rFonts w:cs="Arial"/>
                <w:b/>
                <w:sz w:val="16"/>
                <w:szCs w:val="16"/>
              </w:rPr>
            </w:pPr>
          </w:p>
        </w:tc>
        <w:tc>
          <w:tcPr>
            <w:tcW w:w="4284" w:type="dxa"/>
            <w:shd w:val="clear" w:color="auto" w:fill="auto"/>
          </w:tcPr>
          <w:p w14:paraId="5A73AB41" w14:textId="7F6A1D16" w:rsidR="00501862" w:rsidRPr="006C19F9" w:rsidRDefault="00501862" w:rsidP="00751132">
            <w:pPr>
              <w:pStyle w:val="Bullet"/>
              <w:numPr>
                <w:ilvl w:val="0"/>
                <w:numId w:val="0"/>
              </w:numPr>
              <w:spacing w:before="120" w:after="120"/>
            </w:pPr>
            <w:r>
              <w:t>Assess whether country-specific analyses were performed for all target market countries with consideration of all arising material risk types (e.g. legal risk, civil law risk, regulatory risk, etc.) by experts who are familiar with the territories.</w:t>
            </w:r>
          </w:p>
        </w:tc>
        <w:tc>
          <w:tcPr>
            <w:tcW w:w="3827" w:type="dxa"/>
            <w:shd w:val="clear" w:color="auto" w:fill="auto"/>
          </w:tcPr>
          <w:p w14:paraId="227DBAF3" w14:textId="77777777" w:rsidR="00501862" w:rsidRPr="003203D5" w:rsidRDefault="005A7EA1" w:rsidP="008362E0">
            <w:pPr>
              <w:pStyle w:val="Bullet"/>
              <w:numPr>
                <w:ilvl w:val="0"/>
                <w:numId w:val="0"/>
              </w:numPr>
              <w:spacing w:before="120" w:after="120"/>
            </w:pPr>
            <w:r>
              <w:t>Select a sample of country manuals and test whether the high-level business strategy and service models have been consistently defined in line with the results of the country-risk analyses performed.</w:t>
            </w:r>
          </w:p>
        </w:tc>
        <w:tc>
          <w:tcPr>
            <w:tcW w:w="3090" w:type="dxa"/>
            <w:shd w:val="clear" w:color="auto" w:fill="auto"/>
          </w:tcPr>
          <w:p w14:paraId="4C79CA0D" w14:textId="77777777" w:rsidR="00501862" w:rsidRPr="001D46BF" w:rsidRDefault="00501862" w:rsidP="008362E0">
            <w:pPr>
              <w:spacing w:before="120" w:after="120" w:line="240" w:lineRule="auto"/>
              <w:rPr>
                <w:rFonts w:cs="Arial"/>
                <w:sz w:val="16"/>
                <w:szCs w:val="16"/>
              </w:rPr>
            </w:pPr>
          </w:p>
        </w:tc>
        <w:tc>
          <w:tcPr>
            <w:tcW w:w="992" w:type="dxa"/>
          </w:tcPr>
          <w:p w14:paraId="77494364" w14:textId="58CACFF0" w:rsidR="00501862" w:rsidRPr="001D46BF" w:rsidRDefault="00501862" w:rsidP="008362E0">
            <w:pPr>
              <w:spacing w:before="120" w:after="120" w:line="240" w:lineRule="auto"/>
              <w:rPr>
                <w:rFonts w:cs="Arial"/>
                <w:sz w:val="16"/>
                <w:szCs w:val="16"/>
              </w:rPr>
            </w:pPr>
          </w:p>
        </w:tc>
      </w:tr>
      <w:tr w:rsidR="00501862" w:rsidRPr="00AF6AA5" w14:paraId="474C18C8" w14:textId="77777777" w:rsidTr="00AC243C">
        <w:tc>
          <w:tcPr>
            <w:tcW w:w="528" w:type="dxa"/>
            <w:shd w:val="clear" w:color="auto" w:fill="auto"/>
          </w:tcPr>
          <w:p w14:paraId="5391698A" w14:textId="77777777" w:rsidR="00501862" w:rsidRPr="001D46BF" w:rsidRDefault="00501862" w:rsidP="008362E0">
            <w:pPr>
              <w:spacing w:before="120" w:after="120" w:line="240" w:lineRule="auto"/>
              <w:rPr>
                <w:rFonts w:cs="Arial"/>
                <w:sz w:val="16"/>
                <w:szCs w:val="16"/>
              </w:rPr>
            </w:pPr>
          </w:p>
        </w:tc>
        <w:tc>
          <w:tcPr>
            <w:tcW w:w="1596" w:type="dxa"/>
            <w:shd w:val="clear" w:color="auto" w:fill="auto"/>
          </w:tcPr>
          <w:p w14:paraId="0C8ABCC9" w14:textId="77777777" w:rsidR="00501862" w:rsidRPr="001D46BF" w:rsidRDefault="00501862" w:rsidP="008362E0">
            <w:pPr>
              <w:spacing w:before="120" w:after="120" w:line="240" w:lineRule="auto"/>
              <w:rPr>
                <w:rFonts w:cs="Arial"/>
                <w:b/>
                <w:sz w:val="16"/>
                <w:szCs w:val="16"/>
              </w:rPr>
            </w:pPr>
            <w:r>
              <w:rPr>
                <w:b/>
                <w:sz w:val="16"/>
              </w:rPr>
              <w:t>Organisation</w:t>
            </w:r>
          </w:p>
        </w:tc>
        <w:tc>
          <w:tcPr>
            <w:tcW w:w="4284" w:type="dxa"/>
            <w:shd w:val="clear" w:color="auto" w:fill="auto"/>
          </w:tcPr>
          <w:p w14:paraId="417922D7" w14:textId="77777777" w:rsidR="00501862" w:rsidRPr="006C19F9" w:rsidRDefault="00501862" w:rsidP="00A809F2">
            <w:pPr>
              <w:pStyle w:val="Bullet"/>
              <w:numPr>
                <w:ilvl w:val="0"/>
                <w:numId w:val="0"/>
              </w:numPr>
              <w:spacing w:before="120" w:after="120"/>
            </w:pPr>
            <w:r>
              <w:t>Assess the adequacy of the organisation model for cross-border business (e.g. dedicated desks per country/groups of similar countries, dedicated unit for intermediaries, organisation model for non-target countries, segregation of duties, market purity (maximum number of target countries a client advisor can acquire and service clients from) and the support by internal or external experts.</w:t>
            </w:r>
          </w:p>
        </w:tc>
        <w:tc>
          <w:tcPr>
            <w:tcW w:w="3827" w:type="dxa"/>
            <w:shd w:val="clear" w:color="auto" w:fill="auto"/>
          </w:tcPr>
          <w:p w14:paraId="5F3A784E" w14:textId="77777777" w:rsidR="00501862" w:rsidRPr="001D46BF" w:rsidRDefault="00501862" w:rsidP="008362E0">
            <w:pPr>
              <w:autoSpaceDE w:val="0"/>
              <w:autoSpaceDN w:val="0"/>
              <w:adjustRightInd w:val="0"/>
              <w:spacing w:before="120" w:after="120" w:line="240" w:lineRule="auto"/>
              <w:jc w:val="both"/>
            </w:pPr>
          </w:p>
        </w:tc>
        <w:tc>
          <w:tcPr>
            <w:tcW w:w="3090" w:type="dxa"/>
            <w:shd w:val="clear" w:color="auto" w:fill="auto"/>
          </w:tcPr>
          <w:p w14:paraId="61263F3F" w14:textId="77777777" w:rsidR="00501862" w:rsidRPr="001D46BF" w:rsidRDefault="00501862" w:rsidP="008362E0">
            <w:pPr>
              <w:spacing w:before="120" w:after="120" w:line="240" w:lineRule="auto"/>
              <w:rPr>
                <w:rFonts w:cs="Arial"/>
                <w:sz w:val="16"/>
                <w:szCs w:val="16"/>
              </w:rPr>
            </w:pPr>
          </w:p>
        </w:tc>
        <w:tc>
          <w:tcPr>
            <w:tcW w:w="992" w:type="dxa"/>
          </w:tcPr>
          <w:p w14:paraId="135537D8" w14:textId="7798012D" w:rsidR="00501862" w:rsidRPr="001D46BF" w:rsidRDefault="00501862" w:rsidP="008362E0">
            <w:pPr>
              <w:spacing w:before="120" w:after="120" w:line="240" w:lineRule="auto"/>
              <w:rPr>
                <w:rFonts w:cs="Arial"/>
                <w:sz w:val="16"/>
                <w:szCs w:val="16"/>
              </w:rPr>
            </w:pPr>
          </w:p>
        </w:tc>
      </w:tr>
      <w:tr w:rsidR="00501862" w:rsidRPr="00231C9C" w14:paraId="0F495C62" w14:textId="77777777" w:rsidTr="00AC243C">
        <w:trPr>
          <w:trHeight w:val="1273"/>
        </w:trPr>
        <w:tc>
          <w:tcPr>
            <w:tcW w:w="528" w:type="dxa"/>
            <w:shd w:val="clear" w:color="auto" w:fill="auto"/>
          </w:tcPr>
          <w:p w14:paraId="4D5F9D27" w14:textId="24226EFE" w:rsidR="00501862" w:rsidRPr="00065FBB" w:rsidRDefault="00501862" w:rsidP="008362E0">
            <w:pPr>
              <w:spacing w:before="120" w:after="120" w:line="240" w:lineRule="auto"/>
              <w:rPr>
                <w:rFonts w:cs="Arial"/>
                <w:sz w:val="16"/>
                <w:szCs w:val="16"/>
              </w:rPr>
            </w:pPr>
          </w:p>
        </w:tc>
        <w:tc>
          <w:tcPr>
            <w:tcW w:w="1596" w:type="dxa"/>
            <w:shd w:val="clear" w:color="auto" w:fill="auto"/>
          </w:tcPr>
          <w:p w14:paraId="681CBB9B" w14:textId="77777777" w:rsidR="00501862" w:rsidRDefault="00501862" w:rsidP="008362E0">
            <w:pPr>
              <w:spacing w:before="120" w:after="120" w:line="240" w:lineRule="auto"/>
              <w:rPr>
                <w:rFonts w:cs="Arial"/>
                <w:b/>
                <w:sz w:val="16"/>
                <w:szCs w:val="16"/>
              </w:rPr>
            </w:pPr>
            <w:r>
              <w:rPr>
                <w:b/>
                <w:sz w:val="16"/>
              </w:rPr>
              <w:t>Asset managers and intermediaries</w:t>
            </w:r>
          </w:p>
        </w:tc>
        <w:tc>
          <w:tcPr>
            <w:tcW w:w="4284" w:type="dxa"/>
            <w:shd w:val="clear" w:color="auto" w:fill="auto"/>
          </w:tcPr>
          <w:p w14:paraId="31560C5D" w14:textId="77777777" w:rsidR="00501862" w:rsidRPr="006C19F9" w:rsidRDefault="00501862" w:rsidP="008362E0">
            <w:pPr>
              <w:pStyle w:val="Bullet"/>
              <w:numPr>
                <w:ilvl w:val="0"/>
                <w:numId w:val="0"/>
              </w:numPr>
              <w:spacing w:before="120" w:after="120"/>
            </w:pPr>
            <w:r>
              <w:t xml:space="preserve">Assess the adequacy of policies, processes and documentation maintained for external asset managers and other intermediaries, for example: </w:t>
            </w:r>
          </w:p>
          <w:p w14:paraId="4D252A92" w14:textId="23472688" w:rsidR="00501862" w:rsidRPr="006C19F9" w:rsidRDefault="00501862" w:rsidP="008362E0">
            <w:pPr>
              <w:pStyle w:val="EGABox1"/>
              <w:numPr>
                <w:ilvl w:val="3"/>
                <w:numId w:val="16"/>
              </w:numPr>
              <w:spacing w:before="120" w:after="120" w:line="240" w:lineRule="auto"/>
              <w:ind w:left="227" w:hanging="227"/>
              <w:rPr>
                <w:rFonts w:ascii="Arial" w:hAnsi="Arial"/>
                <w:sz w:val="16"/>
                <w:szCs w:val="16"/>
              </w:rPr>
            </w:pPr>
            <w:r>
              <w:rPr>
                <w:rFonts w:ascii="Arial" w:hAnsi="Arial"/>
                <w:sz w:val="16"/>
              </w:rPr>
              <w:t>policy for the management of external asset managers;</w:t>
            </w:r>
          </w:p>
          <w:p w14:paraId="25DEF443" w14:textId="77777777" w:rsidR="00501862" w:rsidRPr="006C19F9" w:rsidRDefault="00B454D1" w:rsidP="008362E0">
            <w:pPr>
              <w:pStyle w:val="EGABox1"/>
              <w:numPr>
                <w:ilvl w:val="3"/>
                <w:numId w:val="16"/>
              </w:numPr>
              <w:spacing w:before="120" w:after="120" w:line="240" w:lineRule="auto"/>
              <w:ind w:left="227" w:hanging="227"/>
              <w:rPr>
                <w:rFonts w:ascii="Arial" w:hAnsi="Arial"/>
                <w:sz w:val="16"/>
                <w:szCs w:val="16"/>
              </w:rPr>
            </w:pPr>
            <w:r>
              <w:rPr>
                <w:rFonts w:ascii="Arial" w:hAnsi="Arial"/>
                <w:sz w:val="16"/>
              </w:rPr>
              <w:t>process to select, instruct and monitor external asset managers in general and regarding adherence to the institution’s cross-border strategy/rules;</w:t>
            </w:r>
          </w:p>
          <w:p w14:paraId="754D8448" w14:textId="77777777" w:rsidR="00501862" w:rsidRPr="006C19F9" w:rsidRDefault="00F06510" w:rsidP="008362E0">
            <w:pPr>
              <w:pStyle w:val="EGABox1"/>
              <w:numPr>
                <w:ilvl w:val="3"/>
                <w:numId w:val="16"/>
              </w:numPr>
              <w:spacing w:before="120" w:after="120" w:line="240" w:lineRule="auto"/>
              <w:ind w:left="227" w:hanging="227"/>
              <w:rPr>
                <w:rFonts w:ascii="Arial" w:hAnsi="Arial"/>
                <w:b/>
                <w:sz w:val="16"/>
                <w:szCs w:val="16"/>
              </w:rPr>
            </w:pPr>
            <w:r>
              <w:rPr>
                <w:rFonts w:ascii="Arial" w:hAnsi="Arial"/>
                <w:sz w:val="16"/>
              </w:rPr>
              <w:t>documented analysis of business activities, financial conditions, risk policy, organisation and regulatory status of intermediaries;</w:t>
            </w:r>
          </w:p>
          <w:p w14:paraId="6D8449B2" w14:textId="3AC72C4A" w:rsidR="00501862" w:rsidRPr="006C19F9" w:rsidRDefault="00501862" w:rsidP="00BF1681">
            <w:pPr>
              <w:pStyle w:val="EGABox1"/>
              <w:numPr>
                <w:ilvl w:val="3"/>
                <w:numId w:val="16"/>
              </w:numPr>
              <w:spacing w:before="120" w:after="120" w:line="240" w:lineRule="auto"/>
              <w:ind w:left="227" w:hanging="227"/>
              <w:rPr>
                <w:rFonts w:ascii="Arial" w:hAnsi="Arial"/>
                <w:b/>
                <w:sz w:val="16"/>
                <w:szCs w:val="16"/>
              </w:rPr>
            </w:pPr>
            <w:r>
              <w:rPr>
                <w:rFonts w:ascii="Arial" w:hAnsi="Arial"/>
                <w:sz w:val="16"/>
              </w:rPr>
              <w:t>written contract with intermediaries incl. scope of permitted / prohibited services and products by country, applicable rules, remuneration.</w:t>
            </w:r>
          </w:p>
        </w:tc>
        <w:tc>
          <w:tcPr>
            <w:tcW w:w="3827" w:type="dxa"/>
            <w:shd w:val="clear" w:color="auto" w:fill="auto"/>
          </w:tcPr>
          <w:p w14:paraId="070C12DA" w14:textId="77777777" w:rsidR="00501862" w:rsidRPr="006643B1" w:rsidRDefault="001966E2" w:rsidP="008362E0">
            <w:pPr>
              <w:pStyle w:val="Bullet"/>
              <w:numPr>
                <w:ilvl w:val="0"/>
                <w:numId w:val="0"/>
              </w:numPr>
              <w:spacing w:before="120" w:after="120"/>
            </w:pPr>
            <w:r>
              <w:t>Verify acceptance, re-approval and monitoring of the collaboration with external asset managers and other intermediaries (incl. clients managed by them) on a sample basis.</w:t>
            </w:r>
          </w:p>
          <w:p w14:paraId="753BD8EF" w14:textId="77777777" w:rsidR="00501862" w:rsidRPr="006643B1" w:rsidRDefault="001B2832">
            <w:pPr>
              <w:pStyle w:val="Bullet"/>
              <w:numPr>
                <w:ilvl w:val="0"/>
                <w:numId w:val="0"/>
              </w:numPr>
              <w:spacing w:before="120" w:after="120"/>
            </w:pPr>
            <w:r>
              <w:t>Test a sample of external asset manager client relationships for conformity with the institution’s internal policies and directives including adherence to the institution’s cross-border strategy/rules.</w:t>
            </w:r>
          </w:p>
        </w:tc>
        <w:tc>
          <w:tcPr>
            <w:tcW w:w="3090" w:type="dxa"/>
            <w:shd w:val="clear" w:color="auto" w:fill="auto"/>
          </w:tcPr>
          <w:p w14:paraId="13FE3B51" w14:textId="77777777" w:rsidR="00501862" w:rsidRPr="001D46BF" w:rsidRDefault="00501862" w:rsidP="008362E0">
            <w:pPr>
              <w:spacing w:before="120" w:after="120" w:line="240" w:lineRule="auto"/>
              <w:rPr>
                <w:rFonts w:cs="Arial"/>
                <w:sz w:val="16"/>
                <w:szCs w:val="16"/>
              </w:rPr>
            </w:pPr>
          </w:p>
        </w:tc>
        <w:tc>
          <w:tcPr>
            <w:tcW w:w="992" w:type="dxa"/>
          </w:tcPr>
          <w:p w14:paraId="1B365AE2" w14:textId="6606711E" w:rsidR="00501862" w:rsidRPr="005B6531" w:rsidRDefault="00501862" w:rsidP="008362E0">
            <w:pPr>
              <w:spacing w:before="120" w:after="120" w:line="240" w:lineRule="auto"/>
              <w:rPr>
                <w:rFonts w:cs="Arial"/>
                <w:sz w:val="16"/>
                <w:szCs w:val="16"/>
              </w:rPr>
            </w:pPr>
          </w:p>
        </w:tc>
      </w:tr>
      <w:tr w:rsidR="00501862" w:rsidRPr="00AF6AA5" w14:paraId="4211FA18" w14:textId="77777777" w:rsidTr="00AC243C">
        <w:tc>
          <w:tcPr>
            <w:tcW w:w="528" w:type="dxa"/>
            <w:shd w:val="clear" w:color="auto" w:fill="auto"/>
          </w:tcPr>
          <w:p w14:paraId="0C69CBA2" w14:textId="77777777" w:rsidR="00501862" w:rsidRPr="005B6531" w:rsidRDefault="00501862" w:rsidP="008362E0">
            <w:pPr>
              <w:spacing w:before="120" w:after="120" w:line="240" w:lineRule="auto"/>
              <w:rPr>
                <w:rFonts w:cs="Arial"/>
                <w:sz w:val="16"/>
                <w:szCs w:val="16"/>
              </w:rPr>
            </w:pPr>
          </w:p>
        </w:tc>
        <w:tc>
          <w:tcPr>
            <w:tcW w:w="1596" w:type="dxa"/>
            <w:shd w:val="clear" w:color="auto" w:fill="auto"/>
          </w:tcPr>
          <w:p w14:paraId="51B5C9E3" w14:textId="77777777" w:rsidR="00501862" w:rsidRPr="001D46BF" w:rsidRDefault="00501862" w:rsidP="008362E0">
            <w:pPr>
              <w:spacing w:before="120" w:after="120" w:line="240" w:lineRule="auto"/>
              <w:rPr>
                <w:rFonts w:cs="Arial"/>
                <w:b/>
                <w:sz w:val="16"/>
                <w:szCs w:val="16"/>
              </w:rPr>
            </w:pPr>
            <w:r>
              <w:rPr>
                <w:b/>
                <w:sz w:val="16"/>
              </w:rPr>
              <w:t xml:space="preserve">Monitoring </w:t>
            </w:r>
          </w:p>
        </w:tc>
        <w:tc>
          <w:tcPr>
            <w:tcW w:w="4284" w:type="dxa"/>
            <w:shd w:val="clear" w:color="auto" w:fill="auto"/>
          </w:tcPr>
          <w:p w14:paraId="460EE09B" w14:textId="77777777" w:rsidR="00501862" w:rsidRPr="006C19F9" w:rsidRDefault="00501862" w:rsidP="003D2F24">
            <w:pPr>
              <w:pStyle w:val="Bullet"/>
              <w:numPr>
                <w:ilvl w:val="0"/>
                <w:numId w:val="0"/>
              </w:numPr>
              <w:spacing w:before="120" w:after="120"/>
            </w:pPr>
            <w:r>
              <w:t>Assess whether periodic adequate management reports are provided to the Executive Board and to the Board of Directors (e.g. top risks, customer volumes by market, volumes by intermediaries, progress made against strategic plans, maintenance of country manuals, training statistics).</w:t>
            </w:r>
          </w:p>
        </w:tc>
        <w:tc>
          <w:tcPr>
            <w:tcW w:w="3827" w:type="dxa"/>
            <w:shd w:val="clear" w:color="auto" w:fill="auto"/>
          </w:tcPr>
          <w:p w14:paraId="43CB7DAA" w14:textId="77777777" w:rsidR="00501862" w:rsidRPr="001D46BF" w:rsidRDefault="00501862" w:rsidP="008362E0">
            <w:pPr>
              <w:pStyle w:val="Bullet"/>
              <w:numPr>
                <w:ilvl w:val="0"/>
                <w:numId w:val="0"/>
              </w:numPr>
              <w:spacing w:before="120" w:after="120"/>
            </w:pPr>
          </w:p>
        </w:tc>
        <w:tc>
          <w:tcPr>
            <w:tcW w:w="3090" w:type="dxa"/>
            <w:shd w:val="clear" w:color="auto" w:fill="auto"/>
          </w:tcPr>
          <w:p w14:paraId="70A0B70D" w14:textId="77777777" w:rsidR="00501862" w:rsidRPr="001D46BF" w:rsidRDefault="00501862" w:rsidP="008362E0">
            <w:pPr>
              <w:spacing w:before="120" w:after="120" w:line="240" w:lineRule="auto"/>
              <w:rPr>
                <w:rFonts w:cs="Arial"/>
                <w:sz w:val="16"/>
                <w:szCs w:val="16"/>
              </w:rPr>
            </w:pPr>
          </w:p>
        </w:tc>
        <w:tc>
          <w:tcPr>
            <w:tcW w:w="992" w:type="dxa"/>
          </w:tcPr>
          <w:p w14:paraId="609B54D3" w14:textId="77777777" w:rsidR="00501862" w:rsidRPr="001D46BF" w:rsidRDefault="00501862" w:rsidP="008362E0">
            <w:pPr>
              <w:spacing w:before="120" w:after="120" w:line="240" w:lineRule="auto"/>
              <w:rPr>
                <w:rFonts w:cs="Arial"/>
                <w:sz w:val="16"/>
                <w:szCs w:val="16"/>
              </w:rPr>
            </w:pPr>
          </w:p>
        </w:tc>
      </w:tr>
      <w:tr w:rsidR="00501862" w:rsidRPr="00A030F9" w14:paraId="69F3A168" w14:textId="77777777" w:rsidTr="00AC243C">
        <w:tc>
          <w:tcPr>
            <w:tcW w:w="528" w:type="dxa"/>
            <w:shd w:val="clear" w:color="auto" w:fill="auto"/>
          </w:tcPr>
          <w:p w14:paraId="46B44395" w14:textId="77777777" w:rsidR="00501862" w:rsidRPr="001D46BF" w:rsidRDefault="00501862" w:rsidP="008362E0">
            <w:pPr>
              <w:spacing w:before="120" w:after="120" w:line="240" w:lineRule="auto"/>
              <w:rPr>
                <w:rFonts w:cs="Arial"/>
                <w:sz w:val="16"/>
                <w:szCs w:val="16"/>
              </w:rPr>
            </w:pPr>
          </w:p>
        </w:tc>
        <w:tc>
          <w:tcPr>
            <w:tcW w:w="1596" w:type="dxa"/>
            <w:shd w:val="clear" w:color="auto" w:fill="auto"/>
          </w:tcPr>
          <w:p w14:paraId="0C91954E" w14:textId="77777777" w:rsidR="00501862" w:rsidRPr="00E21810" w:rsidRDefault="00501862" w:rsidP="008362E0">
            <w:pPr>
              <w:spacing w:before="120" w:after="120" w:line="240" w:lineRule="auto"/>
              <w:rPr>
                <w:rFonts w:cs="Arial"/>
                <w:b/>
                <w:sz w:val="16"/>
                <w:szCs w:val="16"/>
              </w:rPr>
            </w:pPr>
            <w:r>
              <w:rPr>
                <w:b/>
                <w:sz w:val="16"/>
              </w:rPr>
              <w:t>Training and education</w:t>
            </w:r>
          </w:p>
        </w:tc>
        <w:tc>
          <w:tcPr>
            <w:tcW w:w="4284" w:type="dxa"/>
            <w:shd w:val="clear" w:color="auto" w:fill="auto"/>
          </w:tcPr>
          <w:p w14:paraId="4C4AE0A6" w14:textId="4D58736F" w:rsidR="00501862" w:rsidRPr="006643B1" w:rsidRDefault="00501862">
            <w:pPr>
              <w:pStyle w:val="Bullet"/>
              <w:numPr>
                <w:ilvl w:val="0"/>
                <w:numId w:val="0"/>
              </w:numPr>
              <w:spacing w:before="120" w:after="120"/>
            </w:pPr>
            <w:r>
              <w:t>Assess the adequacy of cross-border training procedures (extent and scope, frequency, instructors, up-to-</w:t>
            </w:r>
            <w:proofErr w:type="spellStart"/>
            <w:r>
              <w:t>dateness</w:t>
            </w:r>
            <w:proofErr w:type="spellEnd"/>
            <w:r>
              <w:t>, internal controls) for employees exposed to cross-border activities of the bank.</w:t>
            </w:r>
          </w:p>
        </w:tc>
        <w:tc>
          <w:tcPr>
            <w:tcW w:w="3827" w:type="dxa"/>
            <w:shd w:val="clear" w:color="auto" w:fill="auto"/>
          </w:tcPr>
          <w:p w14:paraId="6F990B9B" w14:textId="77777777" w:rsidR="00501862" w:rsidRPr="00791040" w:rsidRDefault="00501862" w:rsidP="008362E0">
            <w:pPr>
              <w:pStyle w:val="Bullet"/>
              <w:numPr>
                <w:ilvl w:val="0"/>
                <w:numId w:val="0"/>
              </w:numPr>
              <w:spacing w:before="120" w:after="120"/>
            </w:pPr>
            <w:r>
              <w:t>Test on a sample basis that the employees have effectively attended the training sessions defined mandatory by the financial institution and passed respectively tests, if applicable.</w:t>
            </w:r>
          </w:p>
          <w:p w14:paraId="26962623" w14:textId="55514E40" w:rsidR="00501862" w:rsidRPr="006643B1" w:rsidRDefault="00501862" w:rsidP="008362E0">
            <w:pPr>
              <w:pStyle w:val="Bullet"/>
              <w:numPr>
                <w:ilvl w:val="0"/>
                <w:numId w:val="0"/>
              </w:numPr>
              <w:spacing w:before="120" w:after="120"/>
            </w:pPr>
          </w:p>
        </w:tc>
        <w:tc>
          <w:tcPr>
            <w:tcW w:w="3090" w:type="dxa"/>
            <w:shd w:val="clear" w:color="auto" w:fill="auto"/>
          </w:tcPr>
          <w:p w14:paraId="6941DEFC" w14:textId="77777777" w:rsidR="00501862" w:rsidRPr="001D46BF" w:rsidRDefault="00501862" w:rsidP="008362E0">
            <w:pPr>
              <w:spacing w:before="120" w:after="120" w:line="240" w:lineRule="auto"/>
              <w:rPr>
                <w:rFonts w:cs="Arial"/>
                <w:sz w:val="16"/>
                <w:szCs w:val="16"/>
              </w:rPr>
            </w:pPr>
          </w:p>
        </w:tc>
        <w:tc>
          <w:tcPr>
            <w:tcW w:w="992" w:type="dxa"/>
          </w:tcPr>
          <w:p w14:paraId="1F145452" w14:textId="1C3A567C" w:rsidR="00501862" w:rsidRPr="00580691" w:rsidRDefault="00501862" w:rsidP="008362E0">
            <w:pPr>
              <w:spacing w:before="120" w:after="120" w:line="240" w:lineRule="auto"/>
              <w:rPr>
                <w:rFonts w:cs="Arial"/>
                <w:sz w:val="16"/>
                <w:szCs w:val="16"/>
              </w:rPr>
            </w:pPr>
          </w:p>
        </w:tc>
      </w:tr>
      <w:tr w:rsidR="00501862" w:rsidRPr="00A030F9" w14:paraId="3B095AC7" w14:textId="77777777" w:rsidTr="00AC243C">
        <w:tc>
          <w:tcPr>
            <w:tcW w:w="528" w:type="dxa"/>
            <w:vMerge w:val="restart"/>
            <w:shd w:val="clear" w:color="auto" w:fill="auto"/>
          </w:tcPr>
          <w:p w14:paraId="428407E5" w14:textId="77777777" w:rsidR="00501862" w:rsidRPr="00580691" w:rsidRDefault="00501862" w:rsidP="008362E0">
            <w:pPr>
              <w:spacing w:before="120" w:after="120" w:line="240" w:lineRule="auto"/>
              <w:rPr>
                <w:rFonts w:cs="Arial"/>
                <w:sz w:val="16"/>
                <w:szCs w:val="16"/>
              </w:rPr>
            </w:pPr>
          </w:p>
        </w:tc>
        <w:tc>
          <w:tcPr>
            <w:tcW w:w="1596" w:type="dxa"/>
            <w:vMerge w:val="restart"/>
            <w:shd w:val="clear" w:color="auto" w:fill="auto"/>
          </w:tcPr>
          <w:p w14:paraId="5E2FB25C" w14:textId="461AC611" w:rsidR="00501862" w:rsidRPr="00E21810" w:rsidRDefault="00501862" w:rsidP="00273925">
            <w:pPr>
              <w:spacing w:before="120" w:after="120" w:line="240" w:lineRule="auto"/>
              <w:rPr>
                <w:rFonts w:cs="Arial"/>
                <w:b/>
                <w:sz w:val="16"/>
                <w:szCs w:val="16"/>
              </w:rPr>
            </w:pPr>
            <w:r>
              <w:rPr>
                <w:b/>
                <w:sz w:val="16"/>
              </w:rPr>
              <w:t>Compensation models (margin 136.3 FINMA Circ. 08/21):</w:t>
            </w:r>
          </w:p>
        </w:tc>
        <w:tc>
          <w:tcPr>
            <w:tcW w:w="4284" w:type="dxa"/>
            <w:shd w:val="clear" w:color="auto" w:fill="auto"/>
          </w:tcPr>
          <w:p w14:paraId="66DA48EA" w14:textId="0C2D579D" w:rsidR="00437BEE" w:rsidRPr="006643B1" w:rsidRDefault="00501862" w:rsidP="008362E0">
            <w:pPr>
              <w:pStyle w:val="Bullet"/>
              <w:numPr>
                <w:ilvl w:val="0"/>
                <w:numId w:val="0"/>
              </w:numPr>
              <w:spacing w:before="120" w:after="120"/>
            </w:pPr>
            <w:r>
              <w:rPr>
                <w:i/>
              </w:rPr>
              <w:t>Assess the adequacy of the compensation model with regard to incentives for client advisors and other personnel for client acquisition and retention in connection with cross-border risks, specifically:</w:t>
            </w:r>
          </w:p>
        </w:tc>
        <w:tc>
          <w:tcPr>
            <w:tcW w:w="3827" w:type="dxa"/>
            <w:shd w:val="clear" w:color="auto" w:fill="auto"/>
          </w:tcPr>
          <w:p w14:paraId="5F2C1C83" w14:textId="77777777" w:rsidR="00501862" w:rsidRPr="006643B1" w:rsidRDefault="00501862" w:rsidP="008362E0">
            <w:pPr>
              <w:autoSpaceDE w:val="0"/>
              <w:autoSpaceDN w:val="0"/>
              <w:adjustRightInd w:val="0"/>
              <w:spacing w:before="120" w:after="120" w:line="240" w:lineRule="auto"/>
              <w:jc w:val="both"/>
            </w:pPr>
          </w:p>
        </w:tc>
        <w:tc>
          <w:tcPr>
            <w:tcW w:w="3090" w:type="dxa"/>
            <w:shd w:val="clear" w:color="auto" w:fill="auto"/>
          </w:tcPr>
          <w:p w14:paraId="3A4EAFD2" w14:textId="77777777" w:rsidR="00501862" w:rsidRPr="001D46BF" w:rsidRDefault="00501862" w:rsidP="008362E0">
            <w:pPr>
              <w:spacing w:before="120" w:after="120" w:line="240" w:lineRule="auto"/>
              <w:rPr>
                <w:rFonts w:cs="Arial"/>
                <w:sz w:val="16"/>
                <w:szCs w:val="16"/>
              </w:rPr>
            </w:pPr>
          </w:p>
        </w:tc>
        <w:tc>
          <w:tcPr>
            <w:tcW w:w="992" w:type="dxa"/>
          </w:tcPr>
          <w:p w14:paraId="0591878A" w14:textId="05149237" w:rsidR="0004532E" w:rsidRPr="00580691" w:rsidRDefault="0004532E" w:rsidP="008362E0">
            <w:pPr>
              <w:spacing w:before="120" w:after="120" w:line="240" w:lineRule="auto"/>
              <w:rPr>
                <w:rFonts w:cs="Arial"/>
                <w:sz w:val="16"/>
                <w:szCs w:val="16"/>
              </w:rPr>
            </w:pPr>
          </w:p>
        </w:tc>
      </w:tr>
      <w:tr w:rsidR="00501862" w:rsidRPr="00AF6AA5" w14:paraId="57BF69BE" w14:textId="77777777" w:rsidTr="00AC243C">
        <w:tc>
          <w:tcPr>
            <w:tcW w:w="528" w:type="dxa"/>
            <w:vMerge/>
            <w:shd w:val="clear" w:color="auto" w:fill="auto"/>
          </w:tcPr>
          <w:p w14:paraId="70EC4D1F" w14:textId="77777777" w:rsidR="00501862" w:rsidRPr="000671E1" w:rsidRDefault="00501862" w:rsidP="008362E0">
            <w:pPr>
              <w:spacing w:before="120" w:after="120" w:line="240" w:lineRule="auto"/>
              <w:rPr>
                <w:rFonts w:cs="Arial"/>
                <w:sz w:val="16"/>
                <w:szCs w:val="16"/>
              </w:rPr>
            </w:pPr>
          </w:p>
        </w:tc>
        <w:tc>
          <w:tcPr>
            <w:tcW w:w="1596" w:type="dxa"/>
            <w:vMerge/>
            <w:shd w:val="clear" w:color="auto" w:fill="auto"/>
          </w:tcPr>
          <w:p w14:paraId="34578D62" w14:textId="77777777" w:rsidR="00501862" w:rsidRPr="000671E1" w:rsidRDefault="00501862" w:rsidP="008362E0">
            <w:pPr>
              <w:spacing w:before="120" w:after="120" w:line="240" w:lineRule="auto"/>
              <w:rPr>
                <w:rFonts w:cs="Arial"/>
                <w:b/>
                <w:sz w:val="16"/>
                <w:szCs w:val="16"/>
              </w:rPr>
            </w:pPr>
          </w:p>
        </w:tc>
        <w:tc>
          <w:tcPr>
            <w:tcW w:w="4284" w:type="dxa"/>
            <w:shd w:val="clear" w:color="auto" w:fill="auto"/>
          </w:tcPr>
          <w:p w14:paraId="1DD7AA77" w14:textId="77777777" w:rsidR="00501862" w:rsidRPr="00791040" w:rsidRDefault="00501862" w:rsidP="008362E0">
            <w:pPr>
              <w:autoSpaceDE w:val="0"/>
              <w:autoSpaceDN w:val="0"/>
              <w:adjustRightInd w:val="0"/>
              <w:spacing w:before="120" w:after="120" w:line="240" w:lineRule="auto"/>
              <w:jc w:val="both"/>
              <w:rPr>
                <w:rFonts w:cs="Arial"/>
                <w:sz w:val="16"/>
                <w:szCs w:val="16"/>
              </w:rPr>
            </w:pPr>
            <w:r>
              <w:rPr>
                <w:sz w:val="16"/>
              </w:rPr>
              <w:t>Assess through inquiry and review of relevant documents the adequacy of the institution’s:</w:t>
            </w:r>
          </w:p>
          <w:p w14:paraId="6B0B0EFF" w14:textId="3294B76E" w:rsidR="00501862" w:rsidRPr="006643B1" w:rsidRDefault="00250C91">
            <w:pPr>
              <w:pStyle w:val="ListParagraph"/>
              <w:numPr>
                <w:ilvl w:val="0"/>
                <w:numId w:val="18"/>
              </w:numPr>
              <w:autoSpaceDE w:val="0"/>
              <w:autoSpaceDN w:val="0"/>
              <w:adjustRightInd w:val="0"/>
              <w:spacing w:before="120" w:after="120" w:line="240" w:lineRule="auto"/>
              <w:ind w:left="346" w:hanging="346"/>
              <w:contextualSpacing w:val="0"/>
              <w:jc w:val="both"/>
              <w:rPr>
                <w:rFonts w:cs="Arial"/>
                <w:sz w:val="16"/>
                <w:szCs w:val="16"/>
              </w:rPr>
            </w:pPr>
            <w:r>
              <w:rPr>
                <w:sz w:val="16"/>
              </w:rPr>
              <w:t>compensation model regarding cross-border risks, notably in preventing wrongful incentives for client acquisition and retention, penalties for violations and promotion of good compliance and whether it complies with the general framework of the institution’s compensation policy.</w:t>
            </w:r>
          </w:p>
        </w:tc>
        <w:tc>
          <w:tcPr>
            <w:tcW w:w="3827" w:type="dxa"/>
            <w:shd w:val="clear" w:color="auto" w:fill="auto"/>
          </w:tcPr>
          <w:p w14:paraId="224B2DD2" w14:textId="1A7B8434" w:rsidR="00501862" w:rsidRPr="004A419A" w:rsidRDefault="00501862" w:rsidP="005D4968">
            <w:pPr>
              <w:autoSpaceDE w:val="0"/>
              <w:autoSpaceDN w:val="0"/>
              <w:adjustRightInd w:val="0"/>
              <w:spacing w:before="120" w:after="120" w:line="240" w:lineRule="auto"/>
              <w:jc w:val="both"/>
              <w:rPr>
                <w:rFonts w:cs="Arial"/>
                <w:sz w:val="16"/>
                <w:szCs w:val="16"/>
              </w:rPr>
            </w:pPr>
            <w:r>
              <w:rPr>
                <w:sz w:val="16"/>
              </w:rPr>
              <w:t xml:space="preserve">Test on a sample basis and with focus on cross-border aspects that the compensation models have been adhered to and no objectives were set that contradict the defined internal policies. </w:t>
            </w:r>
          </w:p>
        </w:tc>
        <w:tc>
          <w:tcPr>
            <w:tcW w:w="3090" w:type="dxa"/>
            <w:shd w:val="clear" w:color="auto" w:fill="auto"/>
          </w:tcPr>
          <w:p w14:paraId="39299B65" w14:textId="77777777" w:rsidR="00501862" w:rsidRPr="001D46BF" w:rsidRDefault="00501862" w:rsidP="008362E0">
            <w:pPr>
              <w:spacing w:before="120" w:after="120" w:line="240" w:lineRule="auto"/>
              <w:rPr>
                <w:rFonts w:cs="Arial"/>
                <w:sz w:val="16"/>
                <w:szCs w:val="16"/>
              </w:rPr>
            </w:pPr>
          </w:p>
        </w:tc>
        <w:tc>
          <w:tcPr>
            <w:tcW w:w="992" w:type="dxa"/>
          </w:tcPr>
          <w:p w14:paraId="0C3B3DD2" w14:textId="77777777" w:rsidR="00501862" w:rsidRPr="001D46BF" w:rsidRDefault="00501862" w:rsidP="008362E0">
            <w:pPr>
              <w:spacing w:before="120" w:after="120" w:line="240" w:lineRule="auto"/>
              <w:rPr>
                <w:rFonts w:cs="Arial"/>
                <w:sz w:val="16"/>
                <w:szCs w:val="16"/>
              </w:rPr>
            </w:pPr>
          </w:p>
        </w:tc>
      </w:tr>
      <w:tr w:rsidR="00501862" w:rsidRPr="00AF6AA5" w14:paraId="76EFBFF3" w14:textId="77777777" w:rsidTr="00AC243C">
        <w:tc>
          <w:tcPr>
            <w:tcW w:w="528" w:type="dxa"/>
            <w:vMerge w:val="restart"/>
            <w:shd w:val="clear" w:color="auto" w:fill="auto"/>
          </w:tcPr>
          <w:p w14:paraId="654890A9" w14:textId="77777777" w:rsidR="00501862" w:rsidRPr="00200356" w:rsidRDefault="00501862" w:rsidP="008362E0">
            <w:pPr>
              <w:spacing w:before="120" w:after="120" w:line="240" w:lineRule="auto"/>
              <w:rPr>
                <w:rFonts w:cs="Arial"/>
                <w:sz w:val="16"/>
                <w:szCs w:val="16"/>
              </w:rPr>
            </w:pPr>
          </w:p>
        </w:tc>
        <w:tc>
          <w:tcPr>
            <w:tcW w:w="1596" w:type="dxa"/>
            <w:vMerge w:val="restart"/>
            <w:shd w:val="clear" w:color="auto" w:fill="auto"/>
          </w:tcPr>
          <w:p w14:paraId="2BE2A027" w14:textId="0F8B79CA" w:rsidR="00501862" w:rsidRPr="006643B1" w:rsidRDefault="00501862" w:rsidP="00A030F9">
            <w:pPr>
              <w:spacing w:before="120" w:after="120" w:line="240" w:lineRule="auto"/>
              <w:rPr>
                <w:rFonts w:cs="Arial"/>
                <w:b/>
                <w:sz w:val="16"/>
                <w:szCs w:val="16"/>
              </w:rPr>
            </w:pPr>
            <w:r>
              <w:rPr>
                <w:b/>
                <w:sz w:val="16"/>
              </w:rPr>
              <w:t>Compliance with existing risk policy</w:t>
            </w:r>
          </w:p>
        </w:tc>
        <w:tc>
          <w:tcPr>
            <w:tcW w:w="4284" w:type="dxa"/>
            <w:shd w:val="clear" w:color="auto" w:fill="auto"/>
          </w:tcPr>
          <w:p w14:paraId="3026BC34" w14:textId="74CBE504" w:rsidR="00501862" w:rsidRPr="006643B1" w:rsidRDefault="00501862" w:rsidP="00A030F9">
            <w:pPr>
              <w:pStyle w:val="Bullet"/>
              <w:numPr>
                <w:ilvl w:val="0"/>
                <w:numId w:val="0"/>
              </w:numPr>
              <w:spacing w:before="120" w:after="120"/>
            </w:pPr>
            <w:r>
              <w:rPr>
                <w:i/>
              </w:rPr>
              <w:t>Assess whether risk policy relating to risks from cross-border services has been effectively applied and complied with, notably</w:t>
            </w:r>
          </w:p>
        </w:tc>
        <w:tc>
          <w:tcPr>
            <w:tcW w:w="3827" w:type="dxa"/>
            <w:shd w:val="clear" w:color="auto" w:fill="auto"/>
          </w:tcPr>
          <w:p w14:paraId="590EEE08" w14:textId="435F80B2" w:rsidR="00501862" w:rsidRPr="00DB0DF5" w:rsidRDefault="00501862">
            <w:pPr>
              <w:pStyle w:val="Bullet"/>
              <w:numPr>
                <w:ilvl w:val="0"/>
                <w:numId w:val="0"/>
              </w:numPr>
              <w:spacing w:before="120" w:after="120"/>
            </w:pPr>
            <w:r>
              <w:t>Assess whether customer relationships which are no longer desired are terminated in line with the institution’s strategy, policy and/or directives.</w:t>
            </w:r>
          </w:p>
        </w:tc>
        <w:tc>
          <w:tcPr>
            <w:tcW w:w="3090" w:type="dxa"/>
            <w:shd w:val="clear" w:color="auto" w:fill="auto"/>
          </w:tcPr>
          <w:p w14:paraId="2CCE8C43" w14:textId="77777777" w:rsidR="00501862" w:rsidRPr="00DB0DF5" w:rsidRDefault="00501862" w:rsidP="008362E0">
            <w:pPr>
              <w:spacing w:before="120" w:after="120" w:line="240" w:lineRule="auto"/>
              <w:rPr>
                <w:rFonts w:cs="Arial"/>
                <w:sz w:val="16"/>
                <w:szCs w:val="16"/>
              </w:rPr>
            </w:pPr>
          </w:p>
        </w:tc>
        <w:tc>
          <w:tcPr>
            <w:tcW w:w="992" w:type="dxa"/>
            <w:shd w:val="clear" w:color="auto" w:fill="auto"/>
          </w:tcPr>
          <w:p w14:paraId="0AE7BAA3" w14:textId="77777777" w:rsidR="00501862" w:rsidRPr="00C04F0F" w:rsidRDefault="00501862" w:rsidP="008362E0">
            <w:pPr>
              <w:spacing w:before="120" w:after="120" w:line="240" w:lineRule="auto"/>
            </w:pPr>
          </w:p>
        </w:tc>
      </w:tr>
      <w:tr w:rsidR="00501862" w:rsidRPr="00AF6AA5" w14:paraId="0FE8A757" w14:textId="77777777" w:rsidTr="00AC243C">
        <w:tc>
          <w:tcPr>
            <w:tcW w:w="528" w:type="dxa"/>
            <w:vMerge/>
            <w:shd w:val="clear" w:color="auto" w:fill="auto"/>
          </w:tcPr>
          <w:p w14:paraId="66A3CB14" w14:textId="77777777" w:rsidR="00501862" w:rsidRPr="00DB0DF5" w:rsidRDefault="00501862" w:rsidP="008362E0">
            <w:pPr>
              <w:spacing w:before="120" w:after="120" w:line="240" w:lineRule="auto"/>
              <w:rPr>
                <w:rFonts w:cs="Arial"/>
                <w:sz w:val="16"/>
                <w:szCs w:val="16"/>
              </w:rPr>
            </w:pPr>
          </w:p>
        </w:tc>
        <w:tc>
          <w:tcPr>
            <w:tcW w:w="1596" w:type="dxa"/>
            <w:vMerge/>
            <w:shd w:val="clear" w:color="auto" w:fill="auto"/>
          </w:tcPr>
          <w:p w14:paraId="34B2BD92" w14:textId="77777777" w:rsidR="00501862" w:rsidRPr="006643B1" w:rsidRDefault="00501862" w:rsidP="008362E0">
            <w:pPr>
              <w:spacing w:before="120" w:after="120" w:line="240" w:lineRule="auto"/>
              <w:rPr>
                <w:rFonts w:cs="Arial"/>
                <w:b/>
                <w:sz w:val="16"/>
                <w:szCs w:val="16"/>
              </w:rPr>
            </w:pPr>
          </w:p>
        </w:tc>
        <w:tc>
          <w:tcPr>
            <w:tcW w:w="4284" w:type="dxa"/>
            <w:shd w:val="clear" w:color="auto" w:fill="auto"/>
          </w:tcPr>
          <w:p w14:paraId="481F54D1" w14:textId="77777777" w:rsidR="00501862" w:rsidRPr="006C19F9" w:rsidRDefault="006C475D" w:rsidP="008362E0">
            <w:pPr>
              <w:pStyle w:val="Bullet"/>
              <w:numPr>
                <w:ilvl w:val="0"/>
                <w:numId w:val="0"/>
              </w:numPr>
              <w:spacing w:before="120" w:after="120"/>
            </w:pPr>
            <w:r>
              <w:t xml:space="preserve">Identify and document the internal controls relating to: </w:t>
            </w:r>
          </w:p>
          <w:p w14:paraId="7505BA67" w14:textId="77777777" w:rsidR="00501862" w:rsidRDefault="00501862" w:rsidP="008362E0">
            <w:pPr>
              <w:pStyle w:val="Bullet"/>
              <w:numPr>
                <w:ilvl w:val="0"/>
                <w:numId w:val="15"/>
              </w:numPr>
              <w:spacing w:before="120" w:after="120"/>
              <w:ind w:left="227" w:hanging="227"/>
            </w:pPr>
            <w:r>
              <w:t xml:space="preserve">acceptance, management and monitoring of customers; </w:t>
            </w:r>
          </w:p>
          <w:p w14:paraId="0C59FE3E" w14:textId="77777777" w:rsidR="00501862" w:rsidRPr="006C19F9" w:rsidRDefault="00501862" w:rsidP="008362E0">
            <w:pPr>
              <w:pStyle w:val="Bullet"/>
              <w:numPr>
                <w:ilvl w:val="0"/>
                <w:numId w:val="15"/>
              </w:numPr>
              <w:spacing w:before="120" w:after="120"/>
              <w:ind w:left="227" w:hanging="227"/>
            </w:pPr>
            <w:r>
              <w:t>monitoring of the conduct of relationship managers (e.g. regarding travel reports, contact memo based on visit at the point of sale, education, etc.);</w:t>
            </w:r>
          </w:p>
          <w:p w14:paraId="737B474B" w14:textId="77777777" w:rsidR="00B43287" w:rsidRPr="006C19F9" w:rsidRDefault="00501862" w:rsidP="00D62382">
            <w:pPr>
              <w:pStyle w:val="Bullet"/>
              <w:numPr>
                <w:ilvl w:val="0"/>
                <w:numId w:val="15"/>
              </w:numPr>
              <w:spacing w:before="120" w:after="120"/>
              <w:ind w:left="227" w:hanging="227"/>
            </w:pPr>
            <w:r>
              <w:lastRenderedPageBreak/>
              <w:t xml:space="preserve">acceptance and periodic review of external asset managers and other intermediaries; </w:t>
            </w:r>
          </w:p>
          <w:p w14:paraId="5B6AFFFB" w14:textId="77777777" w:rsidR="00501862" w:rsidRPr="006C19F9" w:rsidRDefault="00B7608D">
            <w:pPr>
              <w:pStyle w:val="Bullet"/>
              <w:numPr>
                <w:ilvl w:val="0"/>
                <w:numId w:val="0"/>
              </w:numPr>
              <w:spacing w:before="120" w:after="120"/>
            </w:pPr>
            <w:r>
              <w:t>and assess the adequacy of their design effectiveness/comprehensiveness with regard to the size and complexity of the cross-border activities of the institution.</w:t>
            </w:r>
          </w:p>
        </w:tc>
        <w:tc>
          <w:tcPr>
            <w:tcW w:w="3827" w:type="dxa"/>
            <w:shd w:val="clear" w:color="auto" w:fill="auto"/>
          </w:tcPr>
          <w:p w14:paraId="32EB2437" w14:textId="4D1DB1DB" w:rsidR="00501862" w:rsidRPr="001B64CA" w:rsidRDefault="00FA3148" w:rsidP="008362E0">
            <w:pPr>
              <w:pStyle w:val="Bullet"/>
              <w:numPr>
                <w:ilvl w:val="0"/>
                <w:numId w:val="0"/>
              </w:numPr>
              <w:spacing w:before="120" w:after="120"/>
            </w:pPr>
            <w:r>
              <w:lastRenderedPageBreak/>
              <w:t xml:space="preserve">Execute tests of controls to confirm the operating effectiveness of the internal controls performed and perform substantive testing relating to: </w:t>
            </w:r>
          </w:p>
          <w:p w14:paraId="01D91844" w14:textId="77777777" w:rsidR="00501862" w:rsidRPr="006C19F9" w:rsidRDefault="00501862" w:rsidP="008362E0">
            <w:pPr>
              <w:pStyle w:val="Bullet"/>
              <w:numPr>
                <w:ilvl w:val="0"/>
                <w:numId w:val="15"/>
              </w:numPr>
              <w:spacing w:before="120" w:after="120"/>
              <w:ind w:left="227" w:hanging="227"/>
            </w:pPr>
            <w:r>
              <w:t>acceptance, management and monitoring of customers;</w:t>
            </w:r>
          </w:p>
          <w:p w14:paraId="0084AAB8" w14:textId="77777777" w:rsidR="00501862" w:rsidRPr="006C19F9" w:rsidRDefault="00501862" w:rsidP="008362E0">
            <w:pPr>
              <w:pStyle w:val="Bullet"/>
              <w:numPr>
                <w:ilvl w:val="0"/>
                <w:numId w:val="15"/>
              </w:numPr>
              <w:spacing w:before="120" w:after="120"/>
              <w:ind w:left="227" w:hanging="227"/>
            </w:pPr>
            <w:r>
              <w:t xml:space="preserve">monitoring of the conduct of relationship managers (e.g. regarding travel reports, contact </w:t>
            </w:r>
            <w:r>
              <w:lastRenderedPageBreak/>
              <w:t>memo based on visit at the point of sale, education, etc.);</w:t>
            </w:r>
          </w:p>
          <w:p w14:paraId="7C96094B" w14:textId="77777777" w:rsidR="00501862" w:rsidRPr="006C19F9" w:rsidRDefault="00501862" w:rsidP="008C2DC7">
            <w:pPr>
              <w:pStyle w:val="Bullet"/>
              <w:numPr>
                <w:ilvl w:val="0"/>
                <w:numId w:val="15"/>
              </w:numPr>
              <w:spacing w:before="120" w:after="120"/>
              <w:ind w:left="227" w:hanging="227"/>
            </w:pPr>
            <w:r>
              <w:t>acceptance and periodic review (resubmission) of external asset managers and other intermediaries.</w:t>
            </w:r>
          </w:p>
        </w:tc>
        <w:tc>
          <w:tcPr>
            <w:tcW w:w="3090" w:type="dxa"/>
            <w:shd w:val="clear" w:color="auto" w:fill="auto"/>
          </w:tcPr>
          <w:p w14:paraId="22EF78C7" w14:textId="77777777" w:rsidR="00501862" w:rsidRPr="00DB0DF5" w:rsidRDefault="00501862" w:rsidP="008362E0">
            <w:pPr>
              <w:spacing w:before="120" w:after="120" w:line="240" w:lineRule="auto"/>
              <w:rPr>
                <w:rFonts w:cs="Arial"/>
                <w:sz w:val="16"/>
                <w:szCs w:val="16"/>
              </w:rPr>
            </w:pPr>
          </w:p>
        </w:tc>
        <w:tc>
          <w:tcPr>
            <w:tcW w:w="992" w:type="dxa"/>
            <w:shd w:val="clear" w:color="auto" w:fill="auto"/>
          </w:tcPr>
          <w:p w14:paraId="57F93EBC" w14:textId="77777777" w:rsidR="00501862" w:rsidRPr="00C04F0F" w:rsidRDefault="00501862" w:rsidP="008362E0">
            <w:pPr>
              <w:spacing w:before="120" w:after="120" w:line="240" w:lineRule="auto"/>
            </w:pPr>
          </w:p>
        </w:tc>
      </w:tr>
    </w:tbl>
    <w:p w14:paraId="6B685D70" w14:textId="77777777" w:rsidR="00501862" w:rsidRDefault="00501862" w:rsidP="008362E0">
      <w:pPr>
        <w:spacing w:before="120" w:after="120" w:line="240" w:lineRule="auto"/>
        <w:rPr>
          <w:rFonts w:cs="Arial"/>
          <w:b/>
        </w:rPr>
      </w:pPr>
      <w:r>
        <w:br w:type="page"/>
      </w:r>
    </w:p>
    <w:tbl>
      <w:tblPr>
        <w:tblpPr w:leftFromText="141" w:rightFromText="141" w:vertAnchor="text" w:tblpX="13745" w:tblpY="-18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
      </w:tblGrid>
      <w:tr w:rsidR="00501862" w:rsidRPr="00AF6AA5" w14:paraId="71822F37" w14:textId="77777777" w:rsidTr="008E0A38">
        <w:trPr>
          <w:trHeight w:val="138"/>
        </w:trPr>
        <w:tc>
          <w:tcPr>
            <w:tcW w:w="288" w:type="dxa"/>
          </w:tcPr>
          <w:p w14:paraId="254209E4" w14:textId="77777777" w:rsidR="00501862" w:rsidRDefault="00501862" w:rsidP="008362E0">
            <w:pPr>
              <w:spacing w:before="120" w:after="120" w:line="240" w:lineRule="auto"/>
              <w:rPr>
                <w:rFonts w:cs="Arial"/>
                <w:b/>
              </w:rPr>
            </w:pPr>
          </w:p>
        </w:tc>
      </w:tr>
    </w:tbl>
    <w:p w14:paraId="2A5A4472" w14:textId="77777777" w:rsidR="00501862" w:rsidRPr="003E0A1B" w:rsidRDefault="00501862" w:rsidP="008362E0">
      <w:pPr>
        <w:spacing w:before="120" w:after="120" w:line="240" w:lineRule="auto"/>
        <w:rPr>
          <w:rFonts w:cs="Arial"/>
          <w:b/>
          <w:sz w:val="2"/>
          <w:szCs w:val="2"/>
        </w:rPr>
      </w:pPr>
      <w:r>
        <w:rPr>
          <w:b/>
          <w:bCs/>
          <w:u w:val="single"/>
        </w:rPr>
        <w:t>Work programme – Other risks in connection with compliance issues</w:t>
      </w:r>
      <w:r>
        <w:rPr>
          <w:u w:val="single"/>
        </w:rPr>
        <w:t xml:space="preserve"> - Serious violations of compliance</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501862" w:rsidRPr="00DB7CF3" w14:paraId="7392427C" w14:textId="77777777" w:rsidTr="008E0A38">
        <w:trPr>
          <w:tblHeader/>
        </w:trPr>
        <w:tc>
          <w:tcPr>
            <w:tcW w:w="531" w:type="dxa"/>
            <w:tcBorders>
              <w:bottom w:val="single" w:sz="4" w:space="0" w:color="auto"/>
            </w:tcBorders>
            <w:shd w:val="pct20" w:color="auto" w:fill="auto"/>
          </w:tcPr>
          <w:p w14:paraId="64009FCE" w14:textId="77777777" w:rsidR="00501862" w:rsidRPr="00DB7CF3" w:rsidRDefault="00501862" w:rsidP="008362E0">
            <w:pPr>
              <w:spacing w:before="120" w:after="120" w:line="240" w:lineRule="auto"/>
              <w:rPr>
                <w:rFonts w:cs="Arial"/>
                <w:b/>
                <w:sz w:val="16"/>
                <w:szCs w:val="16"/>
              </w:rPr>
            </w:pPr>
            <w:r>
              <w:rPr>
                <w:b/>
                <w:sz w:val="16"/>
              </w:rPr>
              <w:t>No.</w:t>
            </w:r>
          </w:p>
        </w:tc>
        <w:tc>
          <w:tcPr>
            <w:tcW w:w="1596" w:type="dxa"/>
            <w:tcBorders>
              <w:bottom w:val="single" w:sz="4" w:space="0" w:color="auto"/>
            </w:tcBorders>
            <w:shd w:val="pct20" w:color="auto" w:fill="auto"/>
          </w:tcPr>
          <w:p w14:paraId="06FF8C3D" w14:textId="77777777" w:rsidR="00501862" w:rsidRPr="00DB7CF3" w:rsidRDefault="00501862" w:rsidP="008362E0">
            <w:pPr>
              <w:spacing w:before="120" w:after="120" w:line="240" w:lineRule="auto"/>
              <w:rPr>
                <w:rFonts w:cs="Arial"/>
                <w:b/>
                <w:sz w:val="16"/>
                <w:szCs w:val="16"/>
              </w:rPr>
            </w:pPr>
            <w:r>
              <w:rPr>
                <w:b/>
                <w:sz w:val="16"/>
              </w:rPr>
              <w:t>Topic:</w:t>
            </w:r>
          </w:p>
        </w:tc>
        <w:tc>
          <w:tcPr>
            <w:tcW w:w="3685" w:type="dxa"/>
            <w:tcBorders>
              <w:bottom w:val="single" w:sz="4" w:space="0" w:color="auto"/>
            </w:tcBorders>
            <w:shd w:val="pct20" w:color="auto" w:fill="auto"/>
          </w:tcPr>
          <w:p w14:paraId="14B3B0F1" w14:textId="4723C8F8" w:rsidR="00501862" w:rsidRPr="00DB7CF3" w:rsidRDefault="00501862" w:rsidP="008362E0">
            <w:pPr>
              <w:spacing w:before="120" w:after="120" w:line="240" w:lineRule="auto"/>
              <w:rPr>
                <w:rFonts w:cs="Arial"/>
                <w:b/>
                <w:sz w:val="16"/>
                <w:szCs w:val="16"/>
              </w:rPr>
            </w:pPr>
            <w:r>
              <w:rPr>
                <w:b/>
                <w:sz w:val="16"/>
              </w:rPr>
              <w:t xml:space="preserve">Procedures for audit depth </w:t>
            </w:r>
            <w:r>
              <w:rPr>
                <w:b/>
                <w:sz w:val="16"/>
              </w:rPr>
              <w:br/>
              <w:t>“critical assessment”:</w:t>
            </w:r>
          </w:p>
        </w:tc>
        <w:tc>
          <w:tcPr>
            <w:tcW w:w="3827" w:type="dxa"/>
            <w:tcBorders>
              <w:bottom w:val="single" w:sz="4" w:space="0" w:color="auto"/>
            </w:tcBorders>
            <w:shd w:val="pct20" w:color="auto" w:fill="auto"/>
          </w:tcPr>
          <w:p w14:paraId="4C97CA8B" w14:textId="42E1BDC4" w:rsidR="00501862" w:rsidRPr="00DB7CF3" w:rsidRDefault="00501862" w:rsidP="00A66BB2">
            <w:pPr>
              <w:spacing w:before="120" w:after="120" w:line="240" w:lineRule="auto"/>
              <w:rPr>
                <w:rFonts w:cs="Arial"/>
                <w:b/>
                <w:sz w:val="16"/>
                <w:szCs w:val="16"/>
              </w:rPr>
            </w:pPr>
            <w:r>
              <w:rPr>
                <w:b/>
                <w:sz w:val="16"/>
                <w:u w:val="single"/>
              </w:rPr>
              <w:t>Additional</w:t>
            </w:r>
            <w:r>
              <w:rPr>
                <w:b/>
                <w:sz w:val="16"/>
              </w:rPr>
              <w:t xml:space="preserve"> procedures for audit depth “audit”:</w:t>
            </w:r>
          </w:p>
        </w:tc>
        <w:tc>
          <w:tcPr>
            <w:tcW w:w="3686" w:type="dxa"/>
            <w:tcBorders>
              <w:bottom w:val="single" w:sz="4" w:space="0" w:color="auto"/>
            </w:tcBorders>
            <w:shd w:val="pct20" w:color="auto" w:fill="auto"/>
          </w:tcPr>
          <w:p w14:paraId="76420ACA" w14:textId="77777777" w:rsidR="00501862" w:rsidRPr="00DB7CF3" w:rsidRDefault="00501862" w:rsidP="008362E0">
            <w:pPr>
              <w:spacing w:before="120" w:after="120" w:line="240" w:lineRule="auto"/>
              <w:rPr>
                <w:rFonts w:cs="Arial"/>
                <w:b/>
                <w:sz w:val="16"/>
                <w:szCs w:val="16"/>
              </w:rPr>
            </w:pPr>
            <w:r>
              <w:rPr>
                <w:b/>
                <w:sz w:val="16"/>
              </w:rPr>
              <w:t>Procedures performed/findings</w:t>
            </w:r>
          </w:p>
        </w:tc>
        <w:tc>
          <w:tcPr>
            <w:tcW w:w="992" w:type="dxa"/>
            <w:tcBorders>
              <w:bottom w:val="single" w:sz="4" w:space="0" w:color="auto"/>
            </w:tcBorders>
            <w:shd w:val="pct20" w:color="auto" w:fill="auto"/>
          </w:tcPr>
          <w:p w14:paraId="5EA4CE7C" w14:textId="77777777" w:rsidR="00501862" w:rsidRPr="00DB7CF3" w:rsidRDefault="00501862" w:rsidP="008362E0">
            <w:pPr>
              <w:spacing w:before="120" w:after="120" w:line="240" w:lineRule="auto"/>
              <w:rPr>
                <w:rFonts w:cs="Arial"/>
                <w:b/>
                <w:sz w:val="16"/>
                <w:szCs w:val="16"/>
              </w:rPr>
            </w:pPr>
            <w:r>
              <w:rPr>
                <w:b/>
                <w:sz w:val="16"/>
              </w:rPr>
              <w:t>WP ref.:</w:t>
            </w:r>
          </w:p>
        </w:tc>
      </w:tr>
      <w:tr w:rsidR="00501862" w:rsidRPr="008B4EB5" w14:paraId="32C7C8FF" w14:textId="77777777" w:rsidTr="008E0A38">
        <w:tc>
          <w:tcPr>
            <w:tcW w:w="14317" w:type="dxa"/>
            <w:gridSpan w:val="6"/>
            <w:shd w:val="pct10" w:color="auto" w:fill="auto"/>
          </w:tcPr>
          <w:p w14:paraId="4D0D8E46" w14:textId="77777777" w:rsidR="00501862" w:rsidRPr="00AB7BC8" w:rsidRDefault="00501862" w:rsidP="008362E0">
            <w:pPr>
              <w:spacing w:before="120" w:after="120" w:line="240" w:lineRule="auto"/>
              <w:rPr>
                <w:rFonts w:cs="Arial"/>
                <w:i/>
                <w:sz w:val="16"/>
                <w:szCs w:val="16"/>
              </w:rPr>
            </w:pPr>
            <w:r>
              <w:rPr>
                <w:i/>
                <w:sz w:val="16"/>
              </w:rPr>
              <w:t>Confirmation that methods/processes for identification, measurement, management and monitoring of other risks in connection with compliance issues were adequate and, in case of the audit depth “audit”, were applied effectively.</w:t>
            </w:r>
          </w:p>
          <w:p w14:paraId="1C17FDC1" w14:textId="77777777" w:rsidR="00501862" w:rsidRPr="008B4EB5" w:rsidRDefault="00501862" w:rsidP="008362E0">
            <w:pPr>
              <w:spacing w:before="120" w:after="120" w:line="240" w:lineRule="auto"/>
              <w:rPr>
                <w:bCs/>
                <w:i/>
                <w:sz w:val="16"/>
                <w:szCs w:val="16"/>
                <w:lang w:val="de-CH"/>
              </w:rPr>
            </w:pPr>
            <w:r w:rsidRPr="008B4EB5">
              <w:rPr>
                <w:i/>
                <w:sz w:val="16"/>
                <w:lang w:val="de-CH"/>
              </w:rPr>
              <w:t>Bestätigung, dass die Methoden / Prozesse zur Identifikation, Messung, Bewirtschaftung und Überwachung von anderen Risiken im Zusammenhang mit Compliance-Fragen angemessen waren und im Falle der Prüftiefe „Prüfung“ effektiv angewendet wurden.</w:t>
            </w:r>
          </w:p>
          <w:p w14:paraId="5F6EA549" w14:textId="77777777" w:rsidR="00501862" w:rsidRPr="008B4EB5" w:rsidRDefault="00501862" w:rsidP="008362E0">
            <w:pPr>
              <w:spacing w:before="120" w:after="120" w:line="240" w:lineRule="auto"/>
              <w:rPr>
                <w:bCs/>
                <w:i/>
                <w:sz w:val="16"/>
                <w:szCs w:val="16"/>
                <w:lang w:val="fr-CH"/>
              </w:rPr>
            </w:pPr>
            <w:r w:rsidRPr="008B4EB5">
              <w:rPr>
                <w:i/>
                <w:sz w:val="16"/>
                <w:lang w:val="fr-CH"/>
              </w:rPr>
              <w:t xml:space="preserve">Confirmation que les méthodes / processus relatifs à l’identification, la mesure, la gestion et la surveillance des autres risques en lien avec les questions de compliance ont été appropriés et en cas d’étendue d’audit « audit » ont été effectivement appliqués.  </w:t>
            </w:r>
          </w:p>
        </w:tc>
      </w:tr>
      <w:tr w:rsidR="00501862" w:rsidRPr="00AF6AA5" w14:paraId="5C8F49D9" w14:textId="77777777" w:rsidTr="008E0A38">
        <w:tc>
          <w:tcPr>
            <w:tcW w:w="531" w:type="dxa"/>
            <w:vMerge w:val="restart"/>
            <w:shd w:val="clear" w:color="auto" w:fill="auto"/>
          </w:tcPr>
          <w:p w14:paraId="3576B28F" w14:textId="77777777" w:rsidR="00501862" w:rsidRPr="00AB7BC8" w:rsidRDefault="00501862" w:rsidP="008362E0">
            <w:pPr>
              <w:spacing w:before="120" w:after="120" w:line="240" w:lineRule="auto"/>
              <w:rPr>
                <w:rFonts w:cs="Arial"/>
                <w:sz w:val="16"/>
                <w:szCs w:val="16"/>
                <w:lang w:val="fr-CH"/>
              </w:rPr>
            </w:pPr>
          </w:p>
        </w:tc>
        <w:tc>
          <w:tcPr>
            <w:tcW w:w="1596" w:type="dxa"/>
            <w:vMerge w:val="restart"/>
            <w:shd w:val="clear" w:color="auto" w:fill="auto"/>
          </w:tcPr>
          <w:p w14:paraId="25ACDC36" w14:textId="77777777" w:rsidR="00501862" w:rsidRPr="00D43330" w:rsidRDefault="00501862" w:rsidP="008362E0">
            <w:pPr>
              <w:spacing w:before="120" w:after="120" w:line="240" w:lineRule="auto"/>
              <w:rPr>
                <w:rFonts w:cs="Arial"/>
                <w:b/>
                <w:sz w:val="16"/>
                <w:szCs w:val="16"/>
              </w:rPr>
            </w:pPr>
            <w:r>
              <w:rPr>
                <w:b/>
                <w:sz w:val="16"/>
              </w:rPr>
              <w:t>Methods/processes for identification, measurement, management and monitoring of risks</w:t>
            </w:r>
          </w:p>
        </w:tc>
        <w:tc>
          <w:tcPr>
            <w:tcW w:w="3685" w:type="dxa"/>
            <w:shd w:val="clear" w:color="auto" w:fill="auto"/>
          </w:tcPr>
          <w:p w14:paraId="7388C94C" w14:textId="77777777" w:rsidR="00501862" w:rsidRPr="00461856" w:rsidRDefault="00501862" w:rsidP="008362E0">
            <w:pPr>
              <w:pStyle w:val="Bullet"/>
              <w:numPr>
                <w:ilvl w:val="0"/>
                <w:numId w:val="0"/>
              </w:numPr>
              <w:spacing w:before="120" w:after="120"/>
              <w:rPr>
                <w:i/>
              </w:rPr>
            </w:pPr>
            <w:r>
              <w:rPr>
                <w:i/>
              </w:rPr>
              <w:t>Assess adequacy of methods/processes for identification, measurement, management and monitoring of serious violations of compliance considering the size, business and organisational complexity and the compliance risk of the institution, specifically:</w:t>
            </w:r>
          </w:p>
        </w:tc>
        <w:tc>
          <w:tcPr>
            <w:tcW w:w="3827" w:type="dxa"/>
            <w:shd w:val="clear" w:color="auto" w:fill="auto"/>
          </w:tcPr>
          <w:p w14:paraId="619F65F6" w14:textId="77777777" w:rsidR="00501862" w:rsidRDefault="00501862" w:rsidP="008362E0">
            <w:pPr>
              <w:spacing w:before="120" w:after="120" w:line="240" w:lineRule="auto"/>
              <w:rPr>
                <w:rFonts w:cs="Arial"/>
                <w:sz w:val="16"/>
                <w:szCs w:val="16"/>
              </w:rPr>
            </w:pPr>
          </w:p>
        </w:tc>
        <w:tc>
          <w:tcPr>
            <w:tcW w:w="3686" w:type="dxa"/>
            <w:shd w:val="clear" w:color="auto" w:fill="auto"/>
          </w:tcPr>
          <w:p w14:paraId="3B178A39" w14:textId="77777777" w:rsidR="00501862" w:rsidRPr="00051CD5" w:rsidRDefault="00501862" w:rsidP="008362E0">
            <w:pPr>
              <w:spacing w:before="120" w:after="120" w:line="240" w:lineRule="auto"/>
              <w:rPr>
                <w:rFonts w:cs="Arial"/>
                <w:sz w:val="16"/>
                <w:szCs w:val="16"/>
              </w:rPr>
            </w:pPr>
          </w:p>
        </w:tc>
        <w:tc>
          <w:tcPr>
            <w:tcW w:w="992" w:type="dxa"/>
            <w:shd w:val="clear" w:color="auto" w:fill="auto"/>
          </w:tcPr>
          <w:p w14:paraId="111E9037" w14:textId="77777777" w:rsidR="00501862" w:rsidRPr="00051CD5" w:rsidRDefault="00501862" w:rsidP="008362E0">
            <w:pPr>
              <w:spacing w:before="120" w:after="120" w:line="240" w:lineRule="auto"/>
              <w:rPr>
                <w:rFonts w:cs="Arial"/>
                <w:sz w:val="16"/>
                <w:szCs w:val="16"/>
              </w:rPr>
            </w:pPr>
          </w:p>
        </w:tc>
      </w:tr>
      <w:tr w:rsidR="00501862" w:rsidRPr="00AF6AA5" w14:paraId="1333A065" w14:textId="77777777" w:rsidTr="008E0A38">
        <w:tc>
          <w:tcPr>
            <w:tcW w:w="531" w:type="dxa"/>
            <w:vMerge/>
            <w:shd w:val="clear" w:color="auto" w:fill="auto"/>
          </w:tcPr>
          <w:p w14:paraId="0010E8B2" w14:textId="77777777" w:rsidR="00501862" w:rsidRPr="00601043" w:rsidRDefault="00501862" w:rsidP="008362E0">
            <w:pPr>
              <w:spacing w:before="120" w:after="120" w:line="240" w:lineRule="auto"/>
              <w:rPr>
                <w:rFonts w:cs="Arial"/>
                <w:sz w:val="16"/>
                <w:szCs w:val="16"/>
              </w:rPr>
            </w:pPr>
          </w:p>
        </w:tc>
        <w:tc>
          <w:tcPr>
            <w:tcW w:w="1596" w:type="dxa"/>
            <w:vMerge/>
            <w:shd w:val="clear" w:color="auto" w:fill="auto"/>
          </w:tcPr>
          <w:p w14:paraId="23BBA67E" w14:textId="77777777" w:rsidR="00501862" w:rsidRPr="00E72478" w:rsidRDefault="00501862" w:rsidP="008362E0">
            <w:pPr>
              <w:spacing w:before="120" w:after="120" w:line="240" w:lineRule="auto"/>
              <w:rPr>
                <w:rFonts w:cs="Arial"/>
                <w:b/>
                <w:sz w:val="16"/>
                <w:szCs w:val="16"/>
              </w:rPr>
            </w:pPr>
          </w:p>
        </w:tc>
        <w:tc>
          <w:tcPr>
            <w:tcW w:w="3685" w:type="dxa"/>
            <w:shd w:val="clear" w:color="auto" w:fill="auto"/>
          </w:tcPr>
          <w:p w14:paraId="70EF0198" w14:textId="4D13E0C7" w:rsidR="00501862" w:rsidRPr="00CF0173" w:rsidRDefault="00580691" w:rsidP="00580691">
            <w:pPr>
              <w:pStyle w:val="Bullet"/>
              <w:numPr>
                <w:ilvl w:val="0"/>
                <w:numId w:val="0"/>
              </w:numPr>
              <w:spacing w:before="120" w:after="120"/>
            </w:pPr>
            <w:r>
              <w:rPr>
                <w:b/>
                <w:sz w:val="28"/>
              </w:rPr>
              <w:t>*</w:t>
            </w:r>
            <w:r>
              <w:t xml:space="preserve"> Assess the adequacy of the procedures of the compliance function to: </w:t>
            </w:r>
          </w:p>
          <w:p w14:paraId="1C1D192F" w14:textId="79E32F74" w:rsidR="00501862" w:rsidRPr="00CF0173" w:rsidRDefault="00501862" w:rsidP="008362E0">
            <w:pPr>
              <w:pStyle w:val="Bullet"/>
              <w:numPr>
                <w:ilvl w:val="0"/>
                <w:numId w:val="17"/>
              </w:numPr>
              <w:spacing w:before="120" w:after="120"/>
              <w:ind w:left="170" w:hanging="170"/>
            </w:pPr>
            <w:r>
              <w:t>identify serious violations of compliance with applicable laws and regulations;</w:t>
            </w:r>
          </w:p>
          <w:p w14:paraId="235BE862" w14:textId="24623B81" w:rsidR="00501862" w:rsidRPr="00CF0173" w:rsidRDefault="00501862" w:rsidP="008362E0">
            <w:pPr>
              <w:pStyle w:val="Bullet"/>
              <w:numPr>
                <w:ilvl w:val="0"/>
                <w:numId w:val="17"/>
              </w:numPr>
              <w:spacing w:before="120" w:after="120"/>
              <w:ind w:left="170" w:hanging="170"/>
            </w:pPr>
            <w:r>
              <w:t>receive, assess, document and evaluate allegations and suspicions.</w:t>
            </w:r>
          </w:p>
        </w:tc>
        <w:tc>
          <w:tcPr>
            <w:tcW w:w="3827" w:type="dxa"/>
            <w:shd w:val="clear" w:color="auto" w:fill="auto"/>
          </w:tcPr>
          <w:p w14:paraId="17EEB5F2" w14:textId="77777777" w:rsidR="00501862" w:rsidRPr="00CF0173" w:rsidRDefault="00501862" w:rsidP="008362E0">
            <w:pPr>
              <w:spacing w:before="120" w:after="120" w:line="240" w:lineRule="auto"/>
              <w:rPr>
                <w:rFonts w:cs="Arial"/>
                <w:sz w:val="16"/>
                <w:szCs w:val="16"/>
              </w:rPr>
            </w:pPr>
          </w:p>
        </w:tc>
        <w:tc>
          <w:tcPr>
            <w:tcW w:w="3686" w:type="dxa"/>
            <w:shd w:val="clear" w:color="auto" w:fill="auto"/>
          </w:tcPr>
          <w:p w14:paraId="3BC6BD30" w14:textId="77777777" w:rsidR="00501862" w:rsidRPr="00051CD5" w:rsidRDefault="00501862" w:rsidP="008362E0">
            <w:pPr>
              <w:spacing w:before="120" w:after="120" w:line="240" w:lineRule="auto"/>
              <w:rPr>
                <w:rFonts w:cs="Arial"/>
                <w:sz w:val="16"/>
                <w:szCs w:val="16"/>
              </w:rPr>
            </w:pPr>
          </w:p>
        </w:tc>
        <w:tc>
          <w:tcPr>
            <w:tcW w:w="992" w:type="dxa"/>
            <w:shd w:val="clear" w:color="auto" w:fill="auto"/>
          </w:tcPr>
          <w:p w14:paraId="52549DB9" w14:textId="77777777" w:rsidR="00501862" w:rsidRPr="00051CD5" w:rsidRDefault="00501862" w:rsidP="008362E0">
            <w:pPr>
              <w:spacing w:before="120" w:after="120" w:line="240" w:lineRule="auto"/>
              <w:rPr>
                <w:rFonts w:cs="Arial"/>
                <w:sz w:val="16"/>
                <w:szCs w:val="16"/>
              </w:rPr>
            </w:pPr>
          </w:p>
        </w:tc>
      </w:tr>
      <w:tr w:rsidR="00501862" w:rsidRPr="00AF6AA5" w14:paraId="3C2745D2" w14:textId="77777777" w:rsidTr="008E0A38">
        <w:tc>
          <w:tcPr>
            <w:tcW w:w="531" w:type="dxa"/>
            <w:vMerge/>
            <w:shd w:val="clear" w:color="auto" w:fill="auto"/>
          </w:tcPr>
          <w:p w14:paraId="3E9D0288" w14:textId="77777777" w:rsidR="00501862" w:rsidRPr="00071D3A" w:rsidRDefault="00501862" w:rsidP="008362E0">
            <w:pPr>
              <w:spacing w:before="120" w:after="120" w:line="240" w:lineRule="auto"/>
              <w:rPr>
                <w:rFonts w:cs="Arial"/>
                <w:sz w:val="16"/>
                <w:szCs w:val="16"/>
              </w:rPr>
            </w:pPr>
          </w:p>
        </w:tc>
        <w:tc>
          <w:tcPr>
            <w:tcW w:w="1596" w:type="dxa"/>
            <w:vMerge/>
            <w:shd w:val="clear" w:color="auto" w:fill="auto"/>
          </w:tcPr>
          <w:p w14:paraId="2876EBF5" w14:textId="77777777" w:rsidR="00501862" w:rsidRPr="00D43330" w:rsidRDefault="00501862" w:rsidP="008362E0">
            <w:pPr>
              <w:spacing w:before="120" w:after="120" w:line="240" w:lineRule="auto"/>
              <w:rPr>
                <w:rFonts w:cs="Arial"/>
                <w:b/>
                <w:sz w:val="16"/>
                <w:szCs w:val="16"/>
              </w:rPr>
            </w:pPr>
          </w:p>
        </w:tc>
        <w:tc>
          <w:tcPr>
            <w:tcW w:w="3685" w:type="dxa"/>
            <w:tcBorders>
              <w:bottom w:val="single" w:sz="4" w:space="0" w:color="auto"/>
            </w:tcBorders>
            <w:shd w:val="clear" w:color="auto" w:fill="auto"/>
          </w:tcPr>
          <w:p w14:paraId="7546D398" w14:textId="77777777" w:rsidR="00501862" w:rsidRDefault="00501862" w:rsidP="008362E0">
            <w:pPr>
              <w:pStyle w:val="Bullet"/>
              <w:numPr>
                <w:ilvl w:val="0"/>
                <w:numId w:val="0"/>
              </w:numPr>
              <w:spacing w:before="120" w:after="120"/>
            </w:pPr>
            <w:r>
              <w:t>Assess the appropriateness of the processes and controls with respect to dealing with identified compliance violations and how the next steps are defined or initiated including escalation procedures.</w:t>
            </w:r>
          </w:p>
        </w:tc>
        <w:tc>
          <w:tcPr>
            <w:tcW w:w="3827" w:type="dxa"/>
            <w:tcBorders>
              <w:bottom w:val="single" w:sz="4" w:space="0" w:color="auto"/>
            </w:tcBorders>
            <w:shd w:val="clear" w:color="auto" w:fill="auto"/>
          </w:tcPr>
          <w:p w14:paraId="393053E6" w14:textId="77777777" w:rsidR="00501862" w:rsidRPr="00071D3A" w:rsidRDefault="00501862" w:rsidP="008362E0">
            <w:pPr>
              <w:pStyle w:val="Bullet"/>
              <w:numPr>
                <w:ilvl w:val="0"/>
                <w:numId w:val="0"/>
              </w:numPr>
              <w:spacing w:before="120" w:after="120"/>
            </w:pPr>
          </w:p>
        </w:tc>
        <w:tc>
          <w:tcPr>
            <w:tcW w:w="3686" w:type="dxa"/>
            <w:tcBorders>
              <w:bottom w:val="single" w:sz="4" w:space="0" w:color="auto"/>
            </w:tcBorders>
            <w:shd w:val="clear" w:color="auto" w:fill="auto"/>
          </w:tcPr>
          <w:p w14:paraId="0E0F64C4" w14:textId="77777777" w:rsidR="00501862" w:rsidRPr="00071D3A" w:rsidRDefault="00501862" w:rsidP="008362E0">
            <w:pPr>
              <w:spacing w:before="120" w:after="120" w:line="240" w:lineRule="auto"/>
              <w:rPr>
                <w:rFonts w:cs="Arial"/>
                <w:sz w:val="16"/>
                <w:szCs w:val="16"/>
              </w:rPr>
            </w:pPr>
          </w:p>
        </w:tc>
        <w:tc>
          <w:tcPr>
            <w:tcW w:w="992" w:type="dxa"/>
            <w:tcBorders>
              <w:bottom w:val="single" w:sz="4" w:space="0" w:color="auto"/>
            </w:tcBorders>
            <w:shd w:val="clear" w:color="auto" w:fill="auto"/>
          </w:tcPr>
          <w:p w14:paraId="7F996E3E" w14:textId="77777777" w:rsidR="00501862" w:rsidRPr="00071D3A" w:rsidRDefault="00501862" w:rsidP="008362E0">
            <w:pPr>
              <w:spacing w:before="120" w:after="120" w:line="240" w:lineRule="auto"/>
              <w:rPr>
                <w:rFonts w:cs="Arial"/>
                <w:sz w:val="16"/>
                <w:szCs w:val="16"/>
              </w:rPr>
            </w:pPr>
          </w:p>
        </w:tc>
      </w:tr>
      <w:tr w:rsidR="00501862" w:rsidRPr="00AF6AA5" w14:paraId="78609196" w14:textId="77777777" w:rsidTr="008E0A38">
        <w:tc>
          <w:tcPr>
            <w:tcW w:w="531" w:type="dxa"/>
            <w:vMerge/>
            <w:shd w:val="clear" w:color="auto" w:fill="auto"/>
          </w:tcPr>
          <w:p w14:paraId="49AE6886" w14:textId="77777777" w:rsidR="00501862" w:rsidRPr="00071D3A" w:rsidRDefault="00501862" w:rsidP="008362E0">
            <w:pPr>
              <w:spacing w:before="120" w:after="120" w:line="240" w:lineRule="auto"/>
              <w:rPr>
                <w:rFonts w:cs="Arial"/>
                <w:sz w:val="16"/>
                <w:szCs w:val="16"/>
              </w:rPr>
            </w:pPr>
          </w:p>
        </w:tc>
        <w:tc>
          <w:tcPr>
            <w:tcW w:w="1596" w:type="dxa"/>
            <w:vMerge/>
            <w:shd w:val="clear" w:color="auto" w:fill="auto"/>
          </w:tcPr>
          <w:p w14:paraId="42ECB159" w14:textId="77777777" w:rsidR="00501862" w:rsidRPr="00D43330" w:rsidRDefault="00501862" w:rsidP="008362E0">
            <w:pPr>
              <w:spacing w:before="120" w:after="120" w:line="240" w:lineRule="auto"/>
              <w:rPr>
                <w:rFonts w:cs="Arial"/>
                <w:b/>
                <w:sz w:val="16"/>
                <w:szCs w:val="16"/>
              </w:rPr>
            </w:pPr>
          </w:p>
        </w:tc>
        <w:tc>
          <w:tcPr>
            <w:tcW w:w="3685" w:type="dxa"/>
            <w:tcBorders>
              <w:bottom w:val="single" w:sz="4" w:space="0" w:color="auto"/>
            </w:tcBorders>
            <w:shd w:val="clear" w:color="auto" w:fill="auto"/>
          </w:tcPr>
          <w:p w14:paraId="0D5C86EA" w14:textId="77777777" w:rsidR="00501862" w:rsidRDefault="00501862" w:rsidP="008362E0">
            <w:pPr>
              <w:pStyle w:val="Bullet"/>
              <w:numPr>
                <w:ilvl w:val="0"/>
                <w:numId w:val="0"/>
              </w:numPr>
              <w:spacing w:before="120" w:after="120"/>
            </w:pPr>
            <w:r>
              <w:t>Assess the appropriateness of the defined procedures for the interaction with Board of Directors, Audit Committee and Internal Audit regarding suspected and incurred serious violations of compliance and subsequent measures taken.</w:t>
            </w:r>
          </w:p>
        </w:tc>
        <w:tc>
          <w:tcPr>
            <w:tcW w:w="3827" w:type="dxa"/>
            <w:tcBorders>
              <w:bottom w:val="single" w:sz="4" w:space="0" w:color="auto"/>
            </w:tcBorders>
            <w:shd w:val="clear" w:color="auto" w:fill="auto"/>
          </w:tcPr>
          <w:p w14:paraId="31B081D8" w14:textId="77777777" w:rsidR="00501862" w:rsidRPr="00071D3A" w:rsidRDefault="00501862" w:rsidP="008362E0">
            <w:pPr>
              <w:pStyle w:val="Bullet"/>
              <w:numPr>
                <w:ilvl w:val="0"/>
                <w:numId w:val="0"/>
              </w:numPr>
              <w:spacing w:before="120" w:after="120"/>
            </w:pPr>
          </w:p>
        </w:tc>
        <w:tc>
          <w:tcPr>
            <w:tcW w:w="3686" w:type="dxa"/>
            <w:tcBorders>
              <w:bottom w:val="single" w:sz="4" w:space="0" w:color="auto"/>
            </w:tcBorders>
            <w:shd w:val="clear" w:color="auto" w:fill="auto"/>
          </w:tcPr>
          <w:p w14:paraId="5B721635" w14:textId="77777777" w:rsidR="00501862" w:rsidRPr="00071D3A" w:rsidRDefault="00501862" w:rsidP="008362E0">
            <w:pPr>
              <w:spacing w:before="120" w:after="120" w:line="240" w:lineRule="auto"/>
              <w:rPr>
                <w:rFonts w:cs="Arial"/>
                <w:sz w:val="16"/>
                <w:szCs w:val="16"/>
              </w:rPr>
            </w:pPr>
          </w:p>
        </w:tc>
        <w:tc>
          <w:tcPr>
            <w:tcW w:w="992" w:type="dxa"/>
            <w:tcBorders>
              <w:bottom w:val="single" w:sz="4" w:space="0" w:color="auto"/>
            </w:tcBorders>
            <w:shd w:val="clear" w:color="auto" w:fill="auto"/>
          </w:tcPr>
          <w:p w14:paraId="42CAC7D2" w14:textId="77777777" w:rsidR="00501862" w:rsidRPr="00071D3A" w:rsidRDefault="00501862" w:rsidP="008362E0">
            <w:pPr>
              <w:spacing w:before="120" w:after="120" w:line="240" w:lineRule="auto"/>
              <w:rPr>
                <w:rFonts w:cs="Arial"/>
                <w:sz w:val="16"/>
                <w:szCs w:val="16"/>
              </w:rPr>
            </w:pPr>
          </w:p>
        </w:tc>
      </w:tr>
      <w:tr w:rsidR="00501862" w:rsidRPr="00AF6AA5" w14:paraId="3C6C39F5" w14:textId="77777777" w:rsidTr="008E0A38">
        <w:tc>
          <w:tcPr>
            <w:tcW w:w="531" w:type="dxa"/>
            <w:vMerge w:val="restart"/>
            <w:shd w:val="clear" w:color="auto" w:fill="auto"/>
          </w:tcPr>
          <w:p w14:paraId="2BBE2094" w14:textId="77777777" w:rsidR="00501862" w:rsidRPr="00200356" w:rsidRDefault="00501862" w:rsidP="008362E0">
            <w:pPr>
              <w:spacing w:before="120" w:after="120" w:line="240" w:lineRule="auto"/>
              <w:rPr>
                <w:rFonts w:cs="Arial"/>
                <w:sz w:val="16"/>
                <w:szCs w:val="16"/>
              </w:rPr>
            </w:pPr>
          </w:p>
        </w:tc>
        <w:tc>
          <w:tcPr>
            <w:tcW w:w="1596" w:type="dxa"/>
            <w:vMerge w:val="restart"/>
            <w:shd w:val="clear" w:color="auto" w:fill="auto"/>
          </w:tcPr>
          <w:p w14:paraId="37F4959F" w14:textId="6939E2B7" w:rsidR="00501862" w:rsidRPr="005A0C5D" w:rsidRDefault="00501862" w:rsidP="00A030F9">
            <w:pPr>
              <w:spacing w:before="120" w:after="120" w:line="240" w:lineRule="auto"/>
              <w:rPr>
                <w:rFonts w:cs="Arial"/>
                <w:b/>
                <w:sz w:val="16"/>
                <w:szCs w:val="16"/>
              </w:rPr>
            </w:pPr>
            <w:r>
              <w:rPr>
                <w:b/>
                <w:sz w:val="16"/>
              </w:rPr>
              <w:t>Risk policy</w:t>
            </w:r>
          </w:p>
        </w:tc>
        <w:tc>
          <w:tcPr>
            <w:tcW w:w="3685" w:type="dxa"/>
            <w:shd w:val="clear" w:color="auto" w:fill="auto"/>
          </w:tcPr>
          <w:p w14:paraId="3D1CD605" w14:textId="77777777" w:rsidR="00501862" w:rsidRPr="00FB4707" w:rsidRDefault="00501862" w:rsidP="00073DB3">
            <w:pPr>
              <w:pStyle w:val="Bullet"/>
              <w:numPr>
                <w:ilvl w:val="0"/>
                <w:numId w:val="0"/>
              </w:numPr>
              <w:spacing w:before="120" w:after="120"/>
              <w:rPr>
                <w:i/>
              </w:rPr>
            </w:pPr>
            <w:r>
              <w:rPr>
                <w:i/>
              </w:rPr>
              <w:t>Assess whether risk policy, internal regulations, guidelines, manuals and job descriptions adequately define responsibilities, approval powers, reporting and escalation lines as well as sanctions for serious violations of compliance considering the size, business and organisational complexity and the compliance risk of the institution, specifically:</w:t>
            </w:r>
          </w:p>
        </w:tc>
        <w:tc>
          <w:tcPr>
            <w:tcW w:w="3827" w:type="dxa"/>
            <w:shd w:val="clear" w:color="auto" w:fill="auto"/>
          </w:tcPr>
          <w:p w14:paraId="164B4ED1" w14:textId="77777777" w:rsidR="00501862" w:rsidRPr="005A0C5D" w:rsidRDefault="00501862" w:rsidP="008362E0">
            <w:pPr>
              <w:pStyle w:val="Bullet"/>
              <w:numPr>
                <w:ilvl w:val="0"/>
                <w:numId w:val="0"/>
              </w:numPr>
              <w:spacing w:before="120" w:after="120"/>
            </w:pPr>
          </w:p>
        </w:tc>
        <w:tc>
          <w:tcPr>
            <w:tcW w:w="3686" w:type="dxa"/>
            <w:shd w:val="clear" w:color="auto" w:fill="auto"/>
          </w:tcPr>
          <w:p w14:paraId="621B68F6"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509698AE" w14:textId="77777777" w:rsidR="00501862" w:rsidRPr="001B731A" w:rsidRDefault="00501862" w:rsidP="008362E0">
            <w:pPr>
              <w:spacing w:before="120" w:after="120" w:line="240" w:lineRule="auto"/>
            </w:pPr>
          </w:p>
        </w:tc>
      </w:tr>
      <w:tr w:rsidR="00501862" w:rsidRPr="00AF6AA5" w14:paraId="17D3B005" w14:textId="77777777" w:rsidTr="008E0A38">
        <w:tc>
          <w:tcPr>
            <w:tcW w:w="531" w:type="dxa"/>
            <w:vMerge/>
            <w:shd w:val="clear" w:color="auto" w:fill="auto"/>
          </w:tcPr>
          <w:p w14:paraId="1EF83151" w14:textId="77777777" w:rsidR="00501862" w:rsidRPr="005A0C5D" w:rsidRDefault="00501862" w:rsidP="008362E0">
            <w:pPr>
              <w:spacing w:before="120" w:after="120" w:line="240" w:lineRule="auto"/>
              <w:rPr>
                <w:rFonts w:cs="Arial"/>
                <w:sz w:val="16"/>
                <w:szCs w:val="16"/>
              </w:rPr>
            </w:pPr>
          </w:p>
        </w:tc>
        <w:tc>
          <w:tcPr>
            <w:tcW w:w="1596" w:type="dxa"/>
            <w:vMerge/>
            <w:shd w:val="clear" w:color="auto" w:fill="auto"/>
          </w:tcPr>
          <w:p w14:paraId="3288A494" w14:textId="77777777" w:rsidR="00501862" w:rsidRPr="005A0C5D" w:rsidRDefault="00501862" w:rsidP="008362E0">
            <w:pPr>
              <w:spacing w:before="120" w:after="120" w:line="240" w:lineRule="auto"/>
              <w:rPr>
                <w:rFonts w:cs="Arial"/>
                <w:b/>
                <w:sz w:val="16"/>
                <w:szCs w:val="16"/>
              </w:rPr>
            </w:pPr>
          </w:p>
        </w:tc>
        <w:tc>
          <w:tcPr>
            <w:tcW w:w="3685" w:type="dxa"/>
            <w:shd w:val="clear" w:color="auto" w:fill="auto"/>
          </w:tcPr>
          <w:p w14:paraId="3F1E856D" w14:textId="1B27AA45" w:rsidR="00501862" w:rsidRPr="005A0C5D" w:rsidRDefault="00501862" w:rsidP="008362E0">
            <w:pPr>
              <w:pStyle w:val="Bullet"/>
              <w:numPr>
                <w:ilvl w:val="0"/>
                <w:numId w:val="0"/>
              </w:numPr>
              <w:spacing w:before="120" w:after="120"/>
            </w:pPr>
            <w:r>
              <w:t>Assess whether there is an adequate framework in place to instruct all persons of the institution how to deal with violations of compliance, including the designation of a point of contact for serious violations of compliance (e.g. compliance function or whistleblowing helpline).</w:t>
            </w:r>
          </w:p>
        </w:tc>
        <w:tc>
          <w:tcPr>
            <w:tcW w:w="3827" w:type="dxa"/>
            <w:shd w:val="clear" w:color="auto" w:fill="auto"/>
          </w:tcPr>
          <w:p w14:paraId="10F18144" w14:textId="77777777" w:rsidR="00501862" w:rsidRPr="005A0C5D" w:rsidRDefault="00501862" w:rsidP="008362E0">
            <w:pPr>
              <w:spacing w:before="120" w:after="120" w:line="240" w:lineRule="auto"/>
              <w:ind w:left="33"/>
              <w:rPr>
                <w:rFonts w:cs="Arial"/>
                <w:sz w:val="16"/>
                <w:szCs w:val="16"/>
              </w:rPr>
            </w:pPr>
          </w:p>
        </w:tc>
        <w:tc>
          <w:tcPr>
            <w:tcW w:w="3686" w:type="dxa"/>
            <w:shd w:val="clear" w:color="auto" w:fill="auto"/>
          </w:tcPr>
          <w:p w14:paraId="1BF8B8F0"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2FDBA19C" w14:textId="77777777" w:rsidR="00501862" w:rsidRPr="001B731A" w:rsidRDefault="00501862" w:rsidP="008362E0">
            <w:pPr>
              <w:spacing w:before="120" w:after="120" w:line="240" w:lineRule="auto"/>
            </w:pPr>
          </w:p>
        </w:tc>
      </w:tr>
      <w:tr w:rsidR="00501862" w:rsidRPr="00AF6AA5" w14:paraId="70C41E8E" w14:textId="77777777" w:rsidTr="008E0A38">
        <w:tc>
          <w:tcPr>
            <w:tcW w:w="531" w:type="dxa"/>
            <w:vMerge/>
            <w:shd w:val="clear" w:color="auto" w:fill="auto"/>
          </w:tcPr>
          <w:p w14:paraId="2F147B32" w14:textId="77777777" w:rsidR="00501862" w:rsidRPr="005A0C5D" w:rsidRDefault="00501862" w:rsidP="008362E0">
            <w:pPr>
              <w:spacing w:before="120" w:after="120" w:line="240" w:lineRule="auto"/>
              <w:rPr>
                <w:rFonts w:cs="Arial"/>
                <w:sz w:val="16"/>
                <w:szCs w:val="16"/>
              </w:rPr>
            </w:pPr>
          </w:p>
        </w:tc>
        <w:tc>
          <w:tcPr>
            <w:tcW w:w="1596" w:type="dxa"/>
            <w:vMerge/>
            <w:shd w:val="clear" w:color="auto" w:fill="auto"/>
          </w:tcPr>
          <w:p w14:paraId="3FC6FCAA" w14:textId="77777777" w:rsidR="00501862" w:rsidRPr="005A0C5D" w:rsidRDefault="00501862" w:rsidP="008362E0">
            <w:pPr>
              <w:spacing w:before="120" w:after="120" w:line="240" w:lineRule="auto"/>
              <w:rPr>
                <w:rFonts w:cs="Arial"/>
                <w:b/>
                <w:sz w:val="16"/>
                <w:szCs w:val="16"/>
              </w:rPr>
            </w:pPr>
          </w:p>
        </w:tc>
        <w:tc>
          <w:tcPr>
            <w:tcW w:w="3685" w:type="dxa"/>
            <w:shd w:val="clear" w:color="auto" w:fill="auto"/>
          </w:tcPr>
          <w:p w14:paraId="4FD7D4E2" w14:textId="096DA04F" w:rsidR="00501862" w:rsidRDefault="00580691" w:rsidP="008362E0">
            <w:pPr>
              <w:spacing w:before="120" w:after="120" w:line="240" w:lineRule="auto"/>
              <w:rPr>
                <w:rFonts w:cs="Arial"/>
                <w:sz w:val="16"/>
                <w:szCs w:val="16"/>
              </w:rPr>
            </w:pPr>
            <w:r>
              <w:rPr>
                <w:b/>
                <w:sz w:val="28"/>
                <w:szCs w:val="16"/>
              </w:rPr>
              <w:t>*</w:t>
            </w:r>
            <w:r>
              <w:t xml:space="preserve"> </w:t>
            </w:r>
            <w:r w:rsidRPr="007513CE">
              <w:rPr>
                <w:sz w:val="16"/>
                <w:szCs w:val="16"/>
              </w:rPr>
              <w:t>Assess whether responsibilities have been appropriately assigned to compliance function to:</w:t>
            </w:r>
            <w:r>
              <w:rPr>
                <w:sz w:val="16"/>
              </w:rPr>
              <w:t xml:space="preserve"> </w:t>
            </w:r>
          </w:p>
          <w:p w14:paraId="260EB4C0" w14:textId="3C6B1E0A" w:rsidR="00501862" w:rsidRPr="002B52B1" w:rsidRDefault="00501862" w:rsidP="008362E0">
            <w:pPr>
              <w:numPr>
                <w:ilvl w:val="0"/>
                <w:numId w:val="9"/>
              </w:numPr>
              <w:spacing w:before="120" w:after="120" w:line="240" w:lineRule="auto"/>
              <w:ind w:left="170" w:hanging="170"/>
              <w:rPr>
                <w:rFonts w:cs="Arial"/>
                <w:sz w:val="16"/>
                <w:szCs w:val="16"/>
              </w:rPr>
            </w:pPr>
            <w:r>
              <w:rPr>
                <w:sz w:val="16"/>
              </w:rPr>
              <w:t>notice and investigate serious violations of compliance;</w:t>
            </w:r>
          </w:p>
          <w:p w14:paraId="1D38EAA4" w14:textId="633A9687" w:rsidR="00501862" w:rsidRDefault="00501862" w:rsidP="008362E0">
            <w:pPr>
              <w:numPr>
                <w:ilvl w:val="0"/>
                <w:numId w:val="9"/>
              </w:numPr>
              <w:spacing w:before="120" w:after="120" w:line="240" w:lineRule="auto"/>
              <w:ind w:left="170" w:hanging="170"/>
              <w:rPr>
                <w:rFonts w:cs="Arial"/>
                <w:sz w:val="16"/>
                <w:szCs w:val="16"/>
              </w:rPr>
            </w:pPr>
            <w:r>
              <w:rPr>
                <w:sz w:val="16"/>
              </w:rPr>
              <w:t>assist the executive board in the selection of instructions and measures;</w:t>
            </w:r>
          </w:p>
          <w:p w14:paraId="2B8E5498" w14:textId="428D5EB2" w:rsidR="00501862" w:rsidRDefault="00501862" w:rsidP="008362E0">
            <w:pPr>
              <w:numPr>
                <w:ilvl w:val="0"/>
                <w:numId w:val="9"/>
              </w:numPr>
              <w:spacing w:before="120" w:after="120" w:line="240" w:lineRule="auto"/>
              <w:ind w:left="170" w:hanging="170"/>
              <w:rPr>
                <w:rFonts w:cs="Arial"/>
                <w:sz w:val="16"/>
                <w:szCs w:val="16"/>
              </w:rPr>
            </w:pPr>
            <w:r>
              <w:rPr>
                <w:sz w:val="16"/>
              </w:rPr>
              <w:t>inform Internal Audit about serious violations of compliance and significant developments regarding compliance risks;</w:t>
            </w:r>
          </w:p>
          <w:p w14:paraId="0E501BD8" w14:textId="7E0118DA" w:rsidR="00501862" w:rsidRPr="002B52B1" w:rsidRDefault="00501862">
            <w:pPr>
              <w:numPr>
                <w:ilvl w:val="0"/>
                <w:numId w:val="9"/>
              </w:numPr>
              <w:spacing w:before="120" w:after="120" w:line="240" w:lineRule="auto"/>
              <w:ind w:left="170" w:hanging="170"/>
              <w:rPr>
                <w:rFonts w:cs="Arial"/>
                <w:sz w:val="16"/>
                <w:szCs w:val="16"/>
              </w:rPr>
            </w:pPr>
            <w:r>
              <w:rPr>
                <w:sz w:val="16"/>
              </w:rPr>
              <w:t>escalate any violation to appropriate governing bodies or committees, if the executive management refuses any treatment or sanction.</w:t>
            </w:r>
          </w:p>
        </w:tc>
        <w:tc>
          <w:tcPr>
            <w:tcW w:w="3827" w:type="dxa"/>
            <w:shd w:val="clear" w:color="auto" w:fill="auto"/>
          </w:tcPr>
          <w:p w14:paraId="3248F208" w14:textId="77777777" w:rsidR="00501862" w:rsidRPr="005A0C5D" w:rsidRDefault="00501862" w:rsidP="008362E0">
            <w:pPr>
              <w:spacing w:before="120" w:after="120" w:line="240" w:lineRule="auto"/>
              <w:ind w:left="33"/>
              <w:rPr>
                <w:rFonts w:cs="Arial"/>
                <w:sz w:val="16"/>
                <w:szCs w:val="16"/>
              </w:rPr>
            </w:pPr>
          </w:p>
        </w:tc>
        <w:tc>
          <w:tcPr>
            <w:tcW w:w="3686" w:type="dxa"/>
            <w:shd w:val="clear" w:color="auto" w:fill="auto"/>
          </w:tcPr>
          <w:p w14:paraId="3379D81A"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646423F3" w14:textId="77777777" w:rsidR="00501862" w:rsidRPr="001B731A" w:rsidRDefault="00501862" w:rsidP="008362E0">
            <w:pPr>
              <w:spacing w:before="120" w:after="120" w:line="240" w:lineRule="auto"/>
            </w:pPr>
          </w:p>
        </w:tc>
      </w:tr>
      <w:tr w:rsidR="00501862" w:rsidRPr="00AF6AA5" w14:paraId="69DECC66" w14:textId="77777777" w:rsidTr="008E0A38">
        <w:tc>
          <w:tcPr>
            <w:tcW w:w="531" w:type="dxa"/>
            <w:vMerge/>
            <w:shd w:val="clear" w:color="auto" w:fill="auto"/>
          </w:tcPr>
          <w:p w14:paraId="2ED52267" w14:textId="77777777" w:rsidR="00501862" w:rsidRPr="005A0C5D" w:rsidRDefault="00501862" w:rsidP="008362E0">
            <w:pPr>
              <w:spacing w:before="120" w:after="120" w:line="240" w:lineRule="auto"/>
              <w:rPr>
                <w:rFonts w:cs="Arial"/>
                <w:sz w:val="16"/>
                <w:szCs w:val="16"/>
              </w:rPr>
            </w:pPr>
          </w:p>
        </w:tc>
        <w:tc>
          <w:tcPr>
            <w:tcW w:w="1596" w:type="dxa"/>
            <w:vMerge/>
            <w:shd w:val="clear" w:color="auto" w:fill="auto"/>
          </w:tcPr>
          <w:p w14:paraId="419583CA" w14:textId="77777777" w:rsidR="00501862" w:rsidRPr="005A0C5D" w:rsidRDefault="00501862" w:rsidP="008362E0">
            <w:pPr>
              <w:spacing w:before="120" w:after="120" w:line="240" w:lineRule="auto"/>
              <w:rPr>
                <w:rFonts w:cs="Arial"/>
                <w:b/>
                <w:sz w:val="16"/>
                <w:szCs w:val="16"/>
              </w:rPr>
            </w:pPr>
          </w:p>
        </w:tc>
        <w:tc>
          <w:tcPr>
            <w:tcW w:w="3685" w:type="dxa"/>
            <w:shd w:val="clear" w:color="auto" w:fill="auto"/>
          </w:tcPr>
          <w:p w14:paraId="1FEDA2F8" w14:textId="77777777" w:rsidR="00501862" w:rsidRPr="005A0C5D" w:rsidRDefault="00501862" w:rsidP="00D62382">
            <w:pPr>
              <w:pStyle w:val="Bullet"/>
              <w:numPr>
                <w:ilvl w:val="0"/>
                <w:numId w:val="0"/>
              </w:numPr>
              <w:spacing w:before="120" w:after="120"/>
            </w:pPr>
            <w:r>
              <w:t>Assess reasonableness of assignment of approval powers for instructions and measures relating to serious violations of compliance, incl. approval of investigator and post investigation measures (e.g. to the Executive Board, respectively to Board of Directors or one of its committees).</w:t>
            </w:r>
          </w:p>
        </w:tc>
        <w:tc>
          <w:tcPr>
            <w:tcW w:w="3827" w:type="dxa"/>
            <w:shd w:val="clear" w:color="auto" w:fill="auto"/>
          </w:tcPr>
          <w:p w14:paraId="7A91BB9D" w14:textId="77777777" w:rsidR="00501862" w:rsidRPr="005A0C5D" w:rsidRDefault="00501862" w:rsidP="008362E0">
            <w:pPr>
              <w:pStyle w:val="Bullet"/>
              <w:numPr>
                <w:ilvl w:val="0"/>
                <w:numId w:val="0"/>
              </w:numPr>
              <w:spacing w:before="120" w:after="120"/>
              <w:ind w:left="33"/>
            </w:pPr>
          </w:p>
        </w:tc>
        <w:tc>
          <w:tcPr>
            <w:tcW w:w="3686" w:type="dxa"/>
            <w:shd w:val="clear" w:color="auto" w:fill="auto"/>
          </w:tcPr>
          <w:p w14:paraId="43D766BA"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398CCE9A" w14:textId="77777777" w:rsidR="00501862" w:rsidRPr="001B731A" w:rsidRDefault="00501862" w:rsidP="008362E0">
            <w:pPr>
              <w:spacing w:before="120" w:after="120" w:line="240" w:lineRule="auto"/>
            </w:pPr>
          </w:p>
        </w:tc>
      </w:tr>
      <w:tr w:rsidR="00501862" w:rsidRPr="00AF6AA5" w14:paraId="18784242" w14:textId="77777777" w:rsidTr="008E0A38">
        <w:tc>
          <w:tcPr>
            <w:tcW w:w="531" w:type="dxa"/>
            <w:shd w:val="clear" w:color="auto" w:fill="auto"/>
          </w:tcPr>
          <w:p w14:paraId="235458D2" w14:textId="77777777" w:rsidR="00501862" w:rsidRPr="005A0C5D" w:rsidRDefault="00501862" w:rsidP="008362E0">
            <w:pPr>
              <w:spacing w:before="120" w:after="120" w:line="240" w:lineRule="auto"/>
              <w:rPr>
                <w:rFonts w:cs="Arial"/>
                <w:sz w:val="16"/>
                <w:szCs w:val="16"/>
              </w:rPr>
            </w:pPr>
          </w:p>
        </w:tc>
        <w:tc>
          <w:tcPr>
            <w:tcW w:w="1596" w:type="dxa"/>
            <w:shd w:val="clear" w:color="auto" w:fill="auto"/>
          </w:tcPr>
          <w:p w14:paraId="75E03C1D" w14:textId="77777777" w:rsidR="00501862" w:rsidRPr="005A0C5D" w:rsidRDefault="00501862" w:rsidP="008362E0">
            <w:pPr>
              <w:spacing w:before="120" w:after="120" w:line="240" w:lineRule="auto"/>
              <w:rPr>
                <w:rFonts w:cs="Arial"/>
                <w:b/>
                <w:sz w:val="16"/>
                <w:szCs w:val="16"/>
              </w:rPr>
            </w:pPr>
          </w:p>
        </w:tc>
        <w:tc>
          <w:tcPr>
            <w:tcW w:w="3685" w:type="dxa"/>
            <w:shd w:val="clear" w:color="auto" w:fill="auto"/>
          </w:tcPr>
          <w:p w14:paraId="366F1DD8" w14:textId="77777777" w:rsidR="00501862" w:rsidRPr="00071D3A" w:rsidRDefault="00501862" w:rsidP="008362E0">
            <w:pPr>
              <w:pStyle w:val="Bullet"/>
              <w:numPr>
                <w:ilvl w:val="0"/>
                <w:numId w:val="0"/>
              </w:numPr>
              <w:spacing w:before="120" w:after="120"/>
            </w:pPr>
            <w:r>
              <w:t>Assess the adequacy of the procedures to consider compliance objectives in performance appraisals.</w:t>
            </w:r>
          </w:p>
        </w:tc>
        <w:tc>
          <w:tcPr>
            <w:tcW w:w="3827" w:type="dxa"/>
            <w:shd w:val="clear" w:color="auto" w:fill="auto"/>
          </w:tcPr>
          <w:p w14:paraId="5FD8C44E" w14:textId="77777777" w:rsidR="00501862" w:rsidRPr="005A0C5D" w:rsidRDefault="00501862" w:rsidP="008362E0">
            <w:pPr>
              <w:pStyle w:val="Bullet"/>
              <w:numPr>
                <w:ilvl w:val="0"/>
                <w:numId w:val="0"/>
              </w:numPr>
              <w:spacing w:before="120" w:after="120"/>
              <w:ind w:left="33"/>
            </w:pPr>
          </w:p>
        </w:tc>
        <w:tc>
          <w:tcPr>
            <w:tcW w:w="3686" w:type="dxa"/>
            <w:shd w:val="clear" w:color="auto" w:fill="auto"/>
          </w:tcPr>
          <w:p w14:paraId="19EFC033"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1DAD3288" w14:textId="77777777" w:rsidR="00501862" w:rsidRPr="001B731A" w:rsidRDefault="00501862" w:rsidP="008362E0">
            <w:pPr>
              <w:spacing w:before="120" w:after="120" w:line="240" w:lineRule="auto"/>
            </w:pPr>
          </w:p>
        </w:tc>
      </w:tr>
      <w:tr w:rsidR="00501862" w:rsidRPr="00AF6AA5" w14:paraId="4BF6797C" w14:textId="77777777" w:rsidTr="008E0A38">
        <w:tc>
          <w:tcPr>
            <w:tcW w:w="531" w:type="dxa"/>
            <w:shd w:val="clear" w:color="auto" w:fill="auto"/>
          </w:tcPr>
          <w:p w14:paraId="58928FF4" w14:textId="77777777" w:rsidR="00501862" w:rsidRPr="005A0C5D" w:rsidRDefault="00501862" w:rsidP="008362E0">
            <w:pPr>
              <w:spacing w:before="120" w:after="120" w:line="240" w:lineRule="auto"/>
              <w:rPr>
                <w:rFonts w:cs="Arial"/>
                <w:sz w:val="16"/>
                <w:szCs w:val="16"/>
              </w:rPr>
            </w:pPr>
          </w:p>
        </w:tc>
        <w:tc>
          <w:tcPr>
            <w:tcW w:w="1596" w:type="dxa"/>
            <w:shd w:val="clear" w:color="auto" w:fill="auto"/>
          </w:tcPr>
          <w:p w14:paraId="09A96367" w14:textId="77777777" w:rsidR="00501862" w:rsidRPr="005A0C5D" w:rsidRDefault="00501862" w:rsidP="008362E0">
            <w:pPr>
              <w:spacing w:before="120" w:after="120" w:line="240" w:lineRule="auto"/>
              <w:rPr>
                <w:rFonts w:cs="Arial"/>
                <w:b/>
                <w:sz w:val="16"/>
                <w:szCs w:val="16"/>
              </w:rPr>
            </w:pPr>
          </w:p>
        </w:tc>
        <w:tc>
          <w:tcPr>
            <w:tcW w:w="3685" w:type="dxa"/>
            <w:shd w:val="clear" w:color="auto" w:fill="auto"/>
          </w:tcPr>
          <w:p w14:paraId="42571F24" w14:textId="375C509D" w:rsidR="00501862" w:rsidRPr="00071D3A" w:rsidRDefault="003C377B" w:rsidP="003C377B">
            <w:pPr>
              <w:pStyle w:val="Bullet"/>
              <w:numPr>
                <w:ilvl w:val="0"/>
                <w:numId w:val="0"/>
              </w:numPr>
              <w:spacing w:before="120" w:after="120"/>
            </w:pPr>
            <w:r>
              <w:rPr>
                <w:b/>
                <w:sz w:val="28"/>
                <w:szCs w:val="24"/>
              </w:rPr>
              <w:t>*</w:t>
            </w:r>
            <w:r>
              <w:t xml:space="preserve"> Assess the appropriateness of the general sanctionin</w:t>
            </w:r>
            <w:bookmarkStart w:id="1" w:name="_GoBack"/>
            <w:bookmarkEnd w:id="1"/>
            <w:r>
              <w:t>g framework of the institution with regard to compliance with prudential rules and regulations.</w:t>
            </w:r>
          </w:p>
        </w:tc>
        <w:tc>
          <w:tcPr>
            <w:tcW w:w="3827" w:type="dxa"/>
            <w:shd w:val="clear" w:color="auto" w:fill="auto"/>
          </w:tcPr>
          <w:p w14:paraId="23526ED0" w14:textId="77777777" w:rsidR="00501862" w:rsidRPr="005A0C5D" w:rsidRDefault="00501862" w:rsidP="008362E0">
            <w:pPr>
              <w:pStyle w:val="Bullet"/>
              <w:numPr>
                <w:ilvl w:val="0"/>
                <w:numId w:val="0"/>
              </w:numPr>
              <w:spacing w:before="120" w:after="120"/>
              <w:ind w:left="33"/>
            </w:pPr>
          </w:p>
        </w:tc>
        <w:tc>
          <w:tcPr>
            <w:tcW w:w="3686" w:type="dxa"/>
            <w:shd w:val="clear" w:color="auto" w:fill="auto"/>
          </w:tcPr>
          <w:p w14:paraId="2C71E706" w14:textId="77777777" w:rsidR="00501862" w:rsidRPr="005A0C5D" w:rsidRDefault="00501862" w:rsidP="008362E0">
            <w:pPr>
              <w:spacing w:before="120" w:after="120" w:line="240" w:lineRule="auto"/>
              <w:rPr>
                <w:rFonts w:cs="Arial"/>
                <w:sz w:val="16"/>
                <w:szCs w:val="16"/>
              </w:rPr>
            </w:pPr>
          </w:p>
        </w:tc>
        <w:tc>
          <w:tcPr>
            <w:tcW w:w="992" w:type="dxa"/>
            <w:shd w:val="clear" w:color="auto" w:fill="auto"/>
          </w:tcPr>
          <w:p w14:paraId="28B89345" w14:textId="77777777" w:rsidR="00501862" w:rsidRPr="001B731A" w:rsidRDefault="00501862" w:rsidP="008362E0">
            <w:pPr>
              <w:spacing w:before="120" w:after="120" w:line="240" w:lineRule="auto"/>
            </w:pPr>
          </w:p>
        </w:tc>
      </w:tr>
      <w:tr w:rsidR="00501862" w:rsidRPr="00AF6AA5" w14:paraId="7D9FF916" w14:textId="77777777" w:rsidTr="008E0A38">
        <w:tc>
          <w:tcPr>
            <w:tcW w:w="531" w:type="dxa"/>
            <w:vMerge w:val="restart"/>
            <w:shd w:val="clear" w:color="auto" w:fill="auto"/>
          </w:tcPr>
          <w:p w14:paraId="499F6576" w14:textId="77777777" w:rsidR="00501862" w:rsidRPr="00200356" w:rsidRDefault="00501862" w:rsidP="008362E0">
            <w:pPr>
              <w:spacing w:before="120" w:after="120" w:line="240" w:lineRule="auto"/>
              <w:rPr>
                <w:rFonts w:cs="Arial"/>
                <w:sz w:val="16"/>
                <w:szCs w:val="16"/>
              </w:rPr>
            </w:pPr>
          </w:p>
        </w:tc>
        <w:tc>
          <w:tcPr>
            <w:tcW w:w="1596" w:type="dxa"/>
            <w:vMerge w:val="restart"/>
            <w:shd w:val="clear" w:color="auto" w:fill="auto"/>
          </w:tcPr>
          <w:p w14:paraId="03042A6D" w14:textId="6CBB7080" w:rsidR="00501862" w:rsidRPr="00051CD5" w:rsidRDefault="00501862" w:rsidP="00A030F9">
            <w:pPr>
              <w:spacing w:before="120" w:after="120" w:line="240" w:lineRule="auto"/>
              <w:rPr>
                <w:rFonts w:cs="Arial"/>
                <w:b/>
                <w:sz w:val="16"/>
                <w:szCs w:val="16"/>
              </w:rPr>
            </w:pPr>
            <w:r>
              <w:rPr>
                <w:b/>
                <w:sz w:val="16"/>
              </w:rPr>
              <w:t>Compliance with existing risk policy</w:t>
            </w:r>
          </w:p>
        </w:tc>
        <w:tc>
          <w:tcPr>
            <w:tcW w:w="3685" w:type="dxa"/>
            <w:shd w:val="clear" w:color="auto" w:fill="auto"/>
          </w:tcPr>
          <w:p w14:paraId="51DC40CF" w14:textId="6DD7DF86" w:rsidR="00501862" w:rsidRPr="00051CD5" w:rsidRDefault="00501862" w:rsidP="00A030F9">
            <w:pPr>
              <w:pStyle w:val="Bullet"/>
              <w:numPr>
                <w:ilvl w:val="0"/>
                <w:numId w:val="0"/>
              </w:numPr>
              <w:spacing w:before="120" w:after="120"/>
              <w:rPr>
                <w:i/>
              </w:rPr>
            </w:pPr>
            <w:r>
              <w:rPr>
                <w:i/>
              </w:rPr>
              <w:t>Assess whether risk policy relating to serious violations of compliance has been effectively applied and complied with, specifically:</w:t>
            </w:r>
          </w:p>
        </w:tc>
        <w:tc>
          <w:tcPr>
            <w:tcW w:w="3827" w:type="dxa"/>
            <w:shd w:val="clear" w:color="auto" w:fill="auto"/>
          </w:tcPr>
          <w:p w14:paraId="09AF1B4C" w14:textId="77777777" w:rsidR="00501862" w:rsidRPr="00051CD5" w:rsidRDefault="00501862" w:rsidP="008362E0">
            <w:pPr>
              <w:pStyle w:val="Bullet"/>
              <w:numPr>
                <w:ilvl w:val="0"/>
                <w:numId w:val="0"/>
              </w:numPr>
              <w:spacing w:before="120" w:after="120"/>
            </w:pPr>
          </w:p>
        </w:tc>
        <w:tc>
          <w:tcPr>
            <w:tcW w:w="3686" w:type="dxa"/>
            <w:shd w:val="clear" w:color="auto" w:fill="auto"/>
          </w:tcPr>
          <w:p w14:paraId="1DB6F1C7" w14:textId="77777777" w:rsidR="00501862" w:rsidRPr="00051CD5" w:rsidRDefault="00501862" w:rsidP="008362E0">
            <w:pPr>
              <w:spacing w:before="120" w:after="120" w:line="240" w:lineRule="auto"/>
              <w:rPr>
                <w:rFonts w:cs="Arial"/>
                <w:sz w:val="16"/>
                <w:szCs w:val="16"/>
              </w:rPr>
            </w:pPr>
          </w:p>
        </w:tc>
        <w:tc>
          <w:tcPr>
            <w:tcW w:w="992" w:type="dxa"/>
            <w:shd w:val="clear" w:color="auto" w:fill="auto"/>
          </w:tcPr>
          <w:p w14:paraId="0E66177E" w14:textId="77777777" w:rsidR="00501862" w:rsidRPr="001B731A" w:rsidRDefault="00501862" w:rsidP="008362E0">
            <w:pPr>
              <w:spacing w:before="120" w:after="120" w:line="240" w:lineRule="auto"/>
            </w:pPr>
          </w:p>
        </w:tc>
      </w:tr>
      <w:tr w:rsidR="00501862" w:rsidRPr="00AF6AA5" w14:paraId="030D2EF4" w14:textId="77777777" w:rsidTr="008E0A38">
        <w:tc>
          <w:tcPr>
            <w:tcW w:w="531" w:type="dxa"/>
            <w:vMerge/>
            <w:shd w:val="clear" w:color="auto" w:fill="auto"/>
          </w:tcPr>
          <w:p w14:paraId="7D23C9A8" w14:textId="77777777" w:rsidR="00501862" w:rsidRPr="00051CD5" w:rsidRDefault="00501862" w:rsidP="008362E0">
            <w:pPr>
              <w:spacing w:before="120" w:after="120" w:line="240" w:lineRule="auto"/>
              <w:rPr>
                <w:rFonts w:cs="Arial"/>
                <w:sz w:val="16"/>
                <w:szCs w:val="16"/>
              </w:rPr>
            </w:pPr>
          </w:p>
        </w:tc>
        <w:tc>
          <w:tcPr>
            <w:tcW w:w="1596" w:type="dxa"/>
            <w:vMerge/>
            <w:shd w:val="clear" w:color="auto" w:fill="auto"/>
          </w:tcPr>
          <w:p w14:paraId="60FC3E38" w14:textId="77777777" w:rsidR="00501862" w:rsidRPr="00051CD5" w:rsidRDefault="00501862" w:rsidP="008362E0">
            <w:pPr>
              <w:spacing w:before="120" w:after="120" w:line="240" w:lineRule="auto"/>
              <w:rPr>
                <w:rFonts w:cs="Arial"/>
                <w:b/>
                <w:sz w:val="16"/>
                <w:szCs w:val="16"/>
              </w:rPr>
            </w:pPr>
          </w:p>
        </w:tc>
        <w:tc>
          <w:tcPr>
            <w:tcW w:w="3685" w:type="dxa"/>
            <w:shd w:val="clear" w:color="auto" w:fill="auto"/>
          </w:tcPr>
          <w:p w14:paraId="47EBE4DA" w14:textId="77777777" w:rsidR="00501862" w:rsidRPr="00051CD5" w:rsidRDefault="00501862" w:rsidP="008362E0">
            <w:pPr>
              <w:pStyle w:val="Bullet"/>
              <w:numPr>
                <w:ilvl w:val="0"/>
                <w:numId w:val="0"/>
              </w:numPr>
              <w:spacing w:before="120" w:after="120"/>
            </w:pPr>
            <w:r>
              <w:t>Obtain an overview of serious violations of compliance during the audited period. Enquire and assess how management ensured compliance with internal policies, directives and limits.</w:t>
            </w:r>
          </w:p>
        </w:tc>
        <w:tc>
          <w:tcPr>
            <w:tcW w:w="3827" w:type="dxa"/>
            <w:shd w:val="clear" w:color="auto" w:fill="auto"/>
          </w:tcPr>
          <w:p w14:paraId="3FB7585C" w14:textId="77777777" w:rsidR="00501862" w:rsidRPr="00051CD5" w:rsidRDefault="00501862" w:rsidP="00354A21">
            <w:pPr>
              <w:spacing w:before="120" w:after="120" w:line="240" w:lineRule="auto"/>
              <w:ind w:left="33"/>
              <w:rPr>
                <w:rFonts w:cs="Arial"/>
                <w:sz w:val="16"/>
                <w:szCs w:val="16"/>
              </w:rPr>
            </w:pPr>
            <w:r>
              <w:rPr>
                <w:sz w:val="16"/>
              </w:rPr>
              <w:t>Perform substantive testing on a sample basis whether internal policies, directives and limits have been complied with for the treatment of serious violations of compliance.</w:t>
            </w:r>
          </w:p>
        </w:tc>
        <w:tc>
          <w:tcPr>
            <w:tcW w:w="3686" w:type="dxa"/>
            <w:shd w:val="clear" w:color="auto" w:fill="auto"/>
          </w:tcPr>
          <w:p w14:paraId="77C5A11A" w14:textId="77777777" w:rsidR="00501862" w:rsidRPr="00051CD5" w:rsidRDefault="00501862" w:rsidP="008362E0">
            <w:pPr>
              <w:spacing w:before="120" w:after="120" w:line="240" w:lineRule="auto"/>
              <w:rPr>
                <w:rFonts w:cs="Arial"/>
                <w:sz w:val="16"/>
                <w:szCs w:val="16"/>
              </w:rPr>
            </w:pPr>
          </w:p>
        </w:tc>
        <w:tc>
          <w:tcPr>
            <w:tcW w:w="992" w:type="dxa"/>
            <w:shd w:val="clear" w:color="auto" w:fill="auto"/>
          </w:tcPr>
          <w:p w14:paraId="73C260EC" w14:textId="77777777" w:rsidR="00501862" w:rsidRPr="001B731A" w:rsidRDefault="00501862" w:rsidP="008362E0">
            <w:pPr>
              <w:spacing w:before="120" w:after="120" w:line="240" w:lineRule="auto"/>
            </w:pPr>
          </w:p>
        </w:tc>
      </w:tr>
    </w:tbl>
    <w:p w14:paraId="2BCF0BCD" w14:textId="77777777" w:rsidR="00E768A7" w:rsidRDefault="00E768A7" w:rsidP="008362E0">
      <w:pPr>
        <w:spacing w:before="120" w:after="120" w:line="240" w:lineRule="auto"/>
        <w:rPr>
          <w:rFonts w:ascii="EYInterstate Light" w:hAnsi="EYInterstate Light"/>
        </w:rPr>
      </w:pPr>
    </w:p>
    <w:p w14:paraId="4104840D" w14:textId="77777777" w:rsidR="00E768A7" w:rsidRDefault="00E768A7">
      <w:pPr>
        <w:spacing w:line="240" w:lineRule="auto"/>
        <w:rPr>
          <w:rFonts w:ascii="EYInterstate Light" w:hAnsi="EYInterstate Light"/>
        </w:rPr>
      </w:pPr>
      <w:r>
        <w:br w:type="page"/>
      </w:r>
    </w:p>
    <w:tbl>
      <w:tblPr>
        <w:tblpPr w:leftFromText="141" w:rightFromText="141" w:vertAnchor="text" w:tblpX="13745" w:tblpY="-18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
      </w:tblGrid>
      <w:tr w:rsidR="00E768A7" w:rsidRPr="000373CD" w14:paraId="28681AB5" w14:textId="77777777" w:rsidTr="00A26E0F">
        <w:trPr>
          <w:trHeight w:val="138"/>
        </w:trPr>
        <w:tc>
          <w:tcPr>
            <w:tcW w:w="288" w:type="dxa"/>
          </w:tcPr>
          <w:p w14:paraId="0125F657" w14:textId="77777777" w:rsidR="00E768A7" w:rsidRPr="00791040" w:rsidRDefault="00E768A7" w:rsidP="00A26E0F">
            <w:pPr>
              <w:spacing w:before="120" w:after="120" w:line="240" w:lineRule="auto"/>
              <w:rPr>
                <w:rFonts w:cs="Arial"/>
                <w:b/>
              </w:rPr>
            </w:pPr>
          </w:p>
        </w:tc>
      </w:tr>
    </w:tbl>
    <w:p w14:paraId="3CD566F3" w14:textId="77777777" w:rsidR="00E768A7" w:rsidRPr="00791040" w:rsidRDefault="00655431" w:rsidP="00E768A7">
      <w:pPr>
        <w:spacing w:before="120" w:after="120" w:line="240" w:lineRule="auto"/>
        <w:rPr>
          <w:rFonts w:cs="Arial"/>
          <w:b/>
          <w:sz w:val="2"/>
          <w:szCs w:val="2"/>
        </w:rPr>
      </w:pPr>
      <w:r>
        <w:rPr>
          <w:b/>
          <w:bCs/>
          <w:u w:val="single"/>
        </w:rPr>
        <w:t>Work programme – Other risks in connection with compliance issues</w:t>
      </w:r>
      <w:r>
        <w:rPr>
          <w:u w:val="single"/>
        </w:rPr>
        <w:t xml:space="preserve"> – Direct transmission</w:t>
      </w:r>
    </w:p>
    <w:tbl>
      <w:tblPr>
        <w:tblpPr w:leftFromText="141" w:rightFromText="141" w:vertAnchor="text" w:tblpX="108" w:tblpY="1"/>
        <w:tblOverlap w:val="never"/>
        <w:tblW w:w="14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766"/>
        <w:gridCol w:w="4139"/>
        <w:gridCol w:w="3827"/>
        <w:gridCol w:w="3402"/>
        <w:gridCol w:w="992"/>
        <w:gridCol w:w="34"/>
      </w:tblGrid>
      <w:tr w:rsidR="00E768A7" w:rsidRPr="00C839F7" w14:paraId="52981DE6" w14:textId="77777777" w:rsidTr="00A07C2C">
        <w:trPr>
          <w:gridAfter w:val="1"/>
          <w:wAfter w:w="34" w:type="dxa"/>
        </w:trPr>
        <w:tc>
          <w:tcPr>
            <w:tcW w:w="531" w:type="dxa"/>
            <w:shd w:val="clear" w:color="auto" w:fill="A6A6A6" w:themeFill="background1" w:themeFillShade="A6"/>
          </w:tcPr>
          <w:p w14:paraId="61DB4B69" w14:textId="77777777" w:rsidR="00E768A7" w:rsidRDefault="00655431" w:rsidP="00A07C2C">
            <w:pPr>
              <w:spacing w:before="120" w:after="120" w:line="240" w:lineRule="auto"/>
              <w:rPr>
                <w:rFonts w:cs="Arial"/>
                <w:sz w:val="16"/>
                <w:szCs w:val="16"/>
              </w:rPr>
            </w:pPr>
            <w:r>
              <w:rPr>
                <w:b/>
                <w:sz w:val="16"/>
                <w:szCs w:val="16"/>
              </w:rPr>
              <w:t>No.</w:t>
            </w:r>
          </w:p>
        </w:tc>
        <w:tc>
          <w:tcPr>
            <w:tcW w:w="1766" w:type="dxa"/>
            <w:shd w:val="clear" w:color="auto" w:fill="A6A6A6" w:themeFill="background1" w:themeFillShade="A6"/>
          </w:tcPr>
          <w:p w14:paraId="34E8D61C" w14:textId="77777777" w:rsidR="00E768A7" w:rsidRDefault="00655431" w:rsidP="00A07C2C">
            <w:pPr>
              <w:spacing w:before="120" w:after="120" w:line="240" w:lineRule="auto"/>
              <w:rPr>
                <w:rFonts w:cs="Arial"/>
                <w:b/>
                <w:sz w:val="16"/>
                <w:szCs w:val="16"/>
              </w:rPr>
            </w:pPr>
            <w:r>
              <w:rPr>
                <w:b/>
                <w:sz w:val="16"/>
                <w:szCs w:val="16"/>
              </w:rPr>
              <w:t>Topic:</w:t>
            </w:r>
          </w:p>
        </w:tc>
        <w:tc>
          <w:tcPr>
            <w:tcW w:w="4139" w:type="dxa"/>
            <w:shd w:val="clear" w:color="auto" w:fill="A6A6A6" w:themeFill="background1" w:themeFillShade="A6"/>
          </w:tcPr>
          <w:p w14:paraId="636AB747" w14:textId="5D1598D0" w:rsidR="00E768A7" w:rsidRPr="00791040" w:rsidRDefault="00655431" w:rsidP="00A07C2C">
            <w:pPr>
              <w:pStyle w:val="Bullet"/>
              <w:numPr>
                <w:ilvl w:val="0"/>
                <w:numId w:val="0"/>
              </w:numPr>
              <w:spacing w:before="120" w:after="120"/>
              <w:rPr>
                <w:i/>
              </w:rPr>
            </w:pPr>
            <w:r>
              <w:rPr>
                <w:b/>
              </w:rPr>
              <w:t xml:space="preserve">Procedures for audit depth </w:t>
            </w:r>
            <w:r>
              <w:rPr>
                <w:b/>
              </w:rPr>
              <w:br/>
              <w:t>“critical assessment”:</w:t>
            </w:r>
          </w:p>
        </w:tc>
        <w:tc>
          <w:tcPr>
            <w:tcW w:w="3827" w:type="dxa"/>
            <w:shd w:val="clear" w:color="auto" w:fill="A6A6A6" w:themeFill="background1" w:themeFillShade="A6"/>
          </w:tcPr>
          <w:p w14:paraId="10060719" w14:textId="20945B00" w:rsidR="00E768A7" w:rsidRPr="00791040" w:rsidRDefault="00655431" w:rsidP="00A66BB2">
            <w:pPr>
              <w:spacing w:before="120" w:after="120" w:line="240" w:lineRule="auto"/>
              <w:ind w:left="33"/>
              <w:rPr>
                <w:rFonts w:cs="Arial"/>
                <w:sz w:val="16"/>
                <w:szCs w:val="16"/>
              </w:rPr>
            </w:pPr>
            <w:r>
              <w:rPr>
                <w:b/>
                <w:sz w:val="16"/>
                <w:u w:val="single"/>
              </w:rPr>
              <w:t>Additional</w:t>
            </w:r>
            <w:r>
              <w:rPr>
                <w:b/>
                <w:sz w:val="16"/>
              </w:rPr>
              <w:t xml:space="preserve"> procedures for audit depth “audit”:</w:t>
            </w:r>
          </w:p>
        </w:tc>
        <w:tc>
          <w:tcPr>
            <w:tcW w:w="3402" w:type="dxa"/>
            <w:shd w:val="clear" w:color="auto" w:fill="A6A6A6" w:themeFill="background1" w:themeFillShade="A6"/>
          </w:tcPr>
          <w:p w14:paraId="524AF790" w14:textId="77777777" w:rsidR="00E768A7" w:rsidRPr="00051CD5" w:rsidRDefault="00655431" w:rsidP="00A07C2C">
            <w:pPr>
              <w:spacing w:before="120" w:after="120" w:line="240" w:lineRule="auto"/>
              <w:rPr>
                <w:rFonts w:cs="Arial"/>
                <w:sz w:val="16"/>
                <w:szCs w:val="16"/>
              </w:rPr>
            </w:pPr>
            <w:r>
              <w:rPr>
                <w:b/>
                <w:sz w:val="16"/>
              </w:rPr>
              <w:t>Procedures performed/findings</w:t>
            </w:r>
          </w:p>
        </w:tc>
        <w:tc>
          <w:tcPr>
            <w:tcW w:w="992" w:type="dxa"/>
            <w:shd w:val="clear" w:color="auto" w:fill="A6A6A6" w:themeFill="background1" w:themeFillShade="A6"/>
          </w:tcPr>
          <w:p w14:paraId="210832F8" w14:textId="77777777" w:rsidR="00E768A7" w:rsidRDefault="00655431" w:rsidP="00A07C2C">
            <w:pPr>
              <w:spacing w:before="120" w:after="120" w:line="240" w:lineRule="auto"/>
            </w:pPr>
            <w:r>
              <w:rPr>
                <w:b/>
                <w:sz w:val="16"/>
              </w:rPr>
              <w:t>WP ref.:</w:t>
            </w:r>
          </w:p>
        </w:tc>
      </w:tr>
      <w:tr w:rsidR="00E768A7" w:rsidRPr="008B4EB5" w14:paraId="5BF8EEDA" w14:textId="77777777" w:rsidTr="00A07C2C">
        <w:tc>
          <w:tcPr>
            <w:tcW w:w="14691" w:type="dxa"/>
            <w:gridSpan w:val="7"/>
            <w:shd w:val="clear" w:color="auto" w:fill="D9D9D9" w:themeFill="background1" w:themeFillShade="D9"/>
          </w:tcPr>
          <w:p w14:paraId="30BFD72C" w14:textId="77777777" w:rsidR="00E768A7" w:rsidRPr="00791040" w:rsidRDefault="00E768A7" w:rsidP="00A07C2C">
            <w:pPr>
              <w:spacing w:before="120" w:after="120" w:line="240" w:lineRule="auto"/>
              <w:rPr>
                <w:rFonts w:cs="Arial"/>
                <w:i/>
                <w:sz w:val="16"/>
                <w:szCs w:val="16"/>
              </w:rPr>
            </w:pPr>
            <w:r>
              <w:rPr>
                <w:i/>
                <w:sz w:val="16"/>
                <w:szCs w:val="16"/>
              </w:rPr>
              <w:t>Confirmation that methods/processes for identification, measurement, management and monitoring of other risks in connection with compliance issues were adequate and, in case of the audit depth “audit”, were applied effectively.</w:t>
            </w:r>
          </w:p>
          <w:p w14:paraId="4AAE8BED" w14:textId="77777777" w:rsidR="00E768A7" w:rsidRPr="008B4EB5" w:rsidRDefault="00E768A7" w:rsidP="00A07C2C">
            <w:pPr>
              <w:spacing w:before="120" w:after="120" w:line="240" w:lineRule="auto"/>
              <w:rPr>
                <w:bCs/>
                <w:i/>
                <w:sz w:val="16"/>
                <w:szCs w:val="16"/>
                <w:lang w:val="de-CH"/>
              </w:rPr>
            </w:pPr>
            <w:r w:rsidRPr="008B4EB5">
              <w:rPr>
                <w:bCs/>
                <w:i/>
                <w:sz w:val="16"/>
                <w:szCs w:val="16"/>
                <w:lang w:val="de-CH"/>
              </w:rPr>
              <w:t>Bestätigung, dass die Methoden / Prozesse zur Identifikation, Messung, Bewirtschaftung und Überwachung von anderen Risiken im Zusammenhang mit Compliance-Fragen Risiken angemessen waren und im Falle der Prüftiefe „Prüfung“ effektiv angewendet wurden.</w:t>
            </w:r>
          </w:p>
          <w:p w14:paraId="253ACDE1" w14:textId="77777777" w:rsidR="00E768A7" w:rsidRPr="008B4EB5" w:rsidRDefault="00E768A7" w:rsidP="00A07C2C">
            <w:pPr>
              <w:spacing w:before="120" w:after="120" w:line="240" w:lineRule="auto"/>
              <w:rPr>
                <w:lang w:val="fr-CH"/>
              </w:rPr>
            </w:pPr>
            <w:r w:rsidRPr="008B4EB5">
              <w:rPr>
                <w:bCs/>
                <w:i/>
                <w:sz w:val="16"/>
                <w:szCs w:val="16"/>
                <w:lang w:val="fr-CH"/>
              </w:rPr>
              <w:t xml:space="preserve">Confirmation que les méthodes / processus relatifs à l’identification, la mesure, la gestion et la surveillance des autres risques en lien avec les questions de compliance ont été appropriés et en cas d’étendue d’audit « audit » ont été effectivement appliqués.  </w:t>
            </w:r>
          </w:p>
        </w:tc>
      </w:tr>
      <w:tr w:rsidR="00E768A7" w:rsidRPr="00B37516" w14:paraId="479AA15E" w14:textId="77777777" w:rsidTr="00A07C2C">
        <w:trPr>
          <w:gridAfter w:val="1"/>
          <w:wAfter w:w="34" w:type="dxa"/>
        </w:trPr>
        <w:tc>
          <w:tcPr>
            <w:tcW w:w="531" w:type="dxa"/>
            <w:shd w:val="clear" w:color="auto" w:fill="auto"/>
          </w:tcPr>
          <w:p w14:paraId="77F01149" w14:textId="77777777" w:rsidR="00E768A7" w:rsidRPr="00073DB3" w:rsidRDefault="00E768A7" w:rsidP="00A07C2C">
            <w:pPr>
              <w:spacing w:before="120" w:after="120" w:line="240" w:lineRule="auto"/>
              <w:rPr>
                <w:rFonts w:cs="Arial"/>
                <w:sz w:val="16"/>
                <w:szCs w:val="16"/>
                <w:lang w:val="fr-CH"/>
              </w:rPr>
            </w:pPr>
          </w:p>
        </w:tc>
        <w:tc>
          <w:tcPr>
            <w:tcW w:w="1766" w:type="dxa"/>
            <w:shd w:val="clear" w:color="auto" w:fill="auto"/>
          </w:tcPr>
          <w:p w14:paraId="4FD41388" w14:textId="77777777" w:rsidR="00E768A7" w:rsidRPr="00791040" w:rsidRDefault="00A26E0F" w:rsidP="00A07C2C">
            <w:pPr>
              <w:spacing w:before="120" w:after="120" w:line="240" w:lineRule="auto"/>
              <w:rPr>
                <w:rFonts w:cs="Arial"/>
                <w:b/>
                <w:sz w:val="16"/>
                <w:szCs w:val="16"/>
              </w:rPr>
            </w:pPr>
            <w:r>
              <w:rPr>
                <w:b/>
                <w:sz w:val="16"/>
                <w:szCs w:val="16"/>
              </w:rPr>
              <w:t>Compliance with FINMA Circular 17/6</w:t>
            </w:r>
          </w:p>
        </w:tc>
        <w:tc>
          <w:tcPr>
            <w:tcW w:w="4139" w:type="dxa"/>
            <w:shd w:val="clear" w:color="auto" w:fill="auto"/>
          </w:tcPr>
          <w:p w14:paraId="15FE258C" w14:textId="77777777" w:rsidR="00E768A7" w:rsidRPr="00791040" w:rsidRDefault="00A26E0F" w:rsidP="00A07C2C">
            <w:pPr>
              <w:pStyle w:val="Bullet"/>
              <w:numPr>
                <w:ilvl w:val="0"/>
                <w:numId w:val="0"/>
              </w:numPr>
              <w:spacing w:before="120" w:after="120"/>
              <w:rPr>
                <w:i/>
                <w:strike/>
                <w:highlight w:val="cyan"/>
              </w:rPr>
            </w:pPr>
            <w:r>
              <w:t>Assess the compliance with the requirement of the Circular, in the context of the transmission of information to foreign supervision authorities and other foreign entities responsible for supervision, specifically:</w:t>
            </w:r>
            <w:r>
              <w:rPr>
                <w:i/>
              </w:rPr>
              <w:t xml:space="preserve"> </w:t>
            </w:r>
          </w:p>
        </w:tc>
        <w:tc>
          <w:tcPr>
            <w:tcW w:w="3827" w:type="dxa"/>
            <w:shd w:val="clear" w:color="auto" w:fill="auto"/>
          </w:tcPr>
          <w:p w14:paraId="51F316DE" w14:textId="77777777" w:rsidR="00E768A7" w:rsidRPr="00791040" w:rsidRDefault="00E768A7" w:rsidP="00A07C2C">
            <w:pPr>
              <w:spacing w:before="120" w:after="120" w:line="240" w:lineRule="auto"/>
              <w:ind w:left="33"/>
              <w:rPr>
                <w:rFonts w:cs="Arial"/>
                <w:sz w:val="16"/>
                <w:szCs w:val="16"/>
                <w:highlight w:val="cyan"/>
              </w:rPr>
            </w:pPr>
          </w:p>
        </w:tc>
        <w:tc>
          <w:tcPr>
            <w:tcW w:w="3402" w:type="dxa"/>
            <w:shd w:val="clear" w:color="auto" w:fill="auto"/>
          </w:tcPr>
          <w:p w14:paraId="75C12686" w14:textId="77777777" w:rsidR="00E768A7" w:rsidRPr="00791040" w:rsidRDefault="00E768A7" w:rsidP="00A07C2C">
            <w:pPr>
              <w:spacing w:before="120" w:after="120" w:line="240" w:lineRule="auto"/>
              <w:rPr>
                <w:rFonts w:cs="Arial"/>
                <w:sz w:val="16"/>
                <w:szCs w:val="16"/>
              </w:rPr>
            </w:pPr>
          </w:p>
        </w:tc>
        <w:tc>
          <w:tcPr>
            <w:tcW w:w="992" w:type="dxa"/>
            <w:shd w:val="clear" w:color="auto" w:fill="auto"/>
          </w:tcPr>
          <w:p w14:paraId="0DEFE7C1" w14:textId="77777777" w:rsidR="00E768A7" w:rsidRPr="00791040" w:rsidRDefault="00E768A7" w:rsidP="00A07C2C">
            <w:pPr>
              <w:spacing w:before="120" w:after="120" w:line="240" w:lineRule="auto"/>
            </w:pPr>
          </w:p>
        </w:tc>
      </w:tr>
      <w:tr w:rsidR="00E768A7" w:rsidRPr="003249AE" w14:paraId="009D78EF" w14:textId="77777777" w:rsidTr="00A07C2C">
        <w:trPr>
          <w:gridAfter w:val="1"/>
          <w:wAfter w:w="34" w:type="dxa"/>
        </w:trPr>
        <w:tc>
          <w:tcPr>
            <w:tcW w:w="531" w:type="dxa"/>
            <w:shd w:val="clear" w:color="auto" w:fill="auto"/>
          </w:tcPr>
          <w:p w14:paraId="122D6D37" w14:textId="77777777" w:rsidR="00E768A7" w:rsidRPr="00791040" w:rsidRDefault="00E768A7" w:rsidP="00A07C2C">
            <w:pPr>
              <w:spacing w:before="120" w:after="120" w:line="240" w:lineRule="auto"/>
              <w:rPr>
                <w:rFonts w:cs="Arial"/>
                <w:sz w:val="16"/>
                <w:szCs w:val="16"/>
              </w:rPr>
            </w:pPr>
          </w:p>
        </w:tc>
        <w:tc>
          <w:tcPr>
            <w:tcW w:w="1766" w:type="dxa"/>
            <w:shd w:val="clear" w:color="auto" w:fill="auto"/>
          </w:tcPr>
          <w:p w14:paraId="73C39731" w14:textId="77777777" w:rsidR="00E768A7" w:rsidRPr="00791040" w:rsidRDefault="00E768A7" w:rsidP="00A07C2C">
            <w:pPr>
              <w:spacing w:before="120" w:after="120" w:line="240" w:lineRule="auto"/>
              <w:rPr>
                <w:rFonts w:cs="Arial"/>
                <w:b/>
                <w:sz w:val="16"/>
                <w:szCs w:val="16"/>
              </w:rPr>
            </w:pPr>
          </w:p>
        </w:tc>
        <w:tc>
          <w:tcPr>
            <w:tcW w:w="4139" w:type="dxa"/>
            <w:shd w:val="clear" w:color="auto" w:fill="auto"/>
          </w:tcPr>
          <w:p w14:paraId="318C2631" w14:textId="77777777" w:rsidR="00A26E0F" w:rsidRPr="00073DB3" w:rsidRDefault="00121FE4" w:rsidP="00A07C2C">
            <w:pPr>
              <w:pStyle w:val="Bullet"/>
              <w:numPr>
                <w:ilvl w:val="0"/>
                <w:numId w:val="0"/>
              </w:numPr>
              <w:spacing w:before="120" w:after="120"/>
            </w:pPr>
            <w:r>
              <w:t>Assess if the transmission of information is of little or no relevance for the institution.</w:t>
            </w:r>
          </w:p>
          <w:p w14:paraId="68A1F526" w14:textId="77777777" w:rsidR="00FD70E4" w:rsidRPr="00073DB3" w:rsidRDefault="002C3B33" w:rsidP="00A07C2C">
            <w:pPr>
              <w:pStyle w:val="Bullet"/>
              <w:numPr>
                <w:ilvl w:val="0"/>
                <w:numId w:val="0"/>
              </w:numPr>
              <w:spacing w:before="120" w:after="120"/>
            </w:pPr>
            <w:r>
              <w:t xml:space="preserve">If so, assess if the institution has implemented instructions for avoiding any transmission before escalation and issuance of instructions, internal guidelines and formalised procedures. </w:t>
            </w:r>
          </w:p>
          <w:p w14:paraId="28469A5B" w14:textId="7673D701" w:rsidR="00E768A7" w:rsidRPr="00791040" w:rsidRDefault="00FD70E4" w:rsidP="0083015B">
            <w:pPr>
              <w:pStyle w:val="Bullet"/>
              <w:numPr>
                <w:ilvl w:val="0"/>
                <w:numId w:val="0"/>
              </w:numPr>
              <w:spacing w:before="120" w:after="120"/>
              <w:rPr>
                <w:strike/>
                <w:highlight w:val="cyan"/>
              </w:rPr>
            </w:pPr>
            <w:r>
              <w:t xml:space="preserve">If not, assess the adequacy of the instructions respectively of the internal guidelines and formalised procedures dealing with the transmission of information to foreign supervision authorities and other foreign entities responsible for supervision. </w:t>
            </w:r>
          </w:p>
        </w:tc>
        <w:tc>
          <w:tcPr>
            <w:tcW w:w="3827" w:type="dxa"/>
            <w:shd w:val="clear" w:color="auto" w:fill="auto"/>
          </w:tcPr>
          <w:p w14:paraId="379C6FF3" w14:textId="77777777" w:rsidR="00E768A7" w:rsidRPr="00791040" w:rsidRDefault="00E768A7" w:rsidP="00A07C2C">
            <w:pPr>
              <w:spacing w:before="120" w:after="120" w:line="240" w:lineRule="auto"/>
              <w:ind w:left="33"/>
              <w:rPr>
                <w:rFonts w:cs="Arial"/>
                <w:sz w:val="16"/>
                <w:szCs w:val="16"/>
                <w:highlight w:val="cyan"/>
              </w:rPr>
            </w:pPr>
          </w:p>
        </w:tc>
        <w:tc>
          <w:tcPr>
            <w:tcW w:w="3402" w:type="dxa"/>
            <w:shd w:val="clear" w:color="auto" w:fill="auto"/>
          </w:tcPr>
          <w:p w14:paraId="077F7D6B" w14:textId="77777777" w:rsidR="00E768A7" w:rsidRPr="00791040" w:rsidRDefault="00E768A7" w:rsidP="00A07C2C">
            <w:pPr>
              <w:spacing w:before="120" w:after="120" w:line="240" w:lineRule="auto"/>
              <w:rPr>
                <w:rFonts w:cs="Arial"/>
                <w:sz w:val="16"/>
                <w:szCs w:val="16"/>
              </w:rPr>
            </w:pPr>
          </w:p>
        </w:tc>
        <w:tc>
          <w:tcPr>
            <w:tcW w:w="992" w:type="dxa"/>
            <w:shd w:val="clear" w:color="auto" w:fill="auto"/>
          </w:tcPr>
          <w:p w14:paraId="40FB37EE" w14:textId="77777777" w:rsidR="00E768A7" w:rsidRPr="00791040" w:rsidRDefault="00E768A7" w:rsidP="00A07C2C">
            <w:pPr>
              <w:spacing w:before="120" w:after="120" w:line="240" w:lineRule="auto"/>
            </w:pPr>
          </w:p>
        </w:tc>
      </w:tr>
      <w:tr w:rsidR="00E768A7" w:rsidRPr="00DE56E9" w14:paraId="25AFE03B" w14:textId="77777777" w:rsidTr="00A07C2C">
        <w:trPr>
          <w:gridAfter w:val="1"/>
          <w:wAfter w:w="34" w:type="dxa"/>
        </w:trPr>
        <w:tc>
          <w:tcPr>
            <w:tcW w:w="531" w:type="dxa"/>
            <w:shd w:val="clear" w:color="auto" w:fill="auto"/>
          </w:tcPr>
          <w:p w14:paraId="343529A3" w14:textId="77777777" w:rsidR="00E768A7" w:rsidRPr="00791040" w:rsidRDefault="00E768A7" w:rsidP="00A07C2C">
            <w:pPr>
              <w:spacing w:before="120" w:after="120" w:line="240" w:lineRule="auto"/>
              <w:rPr>
                <w:rFonts w:cs="Arial"/>
                <w:sz w:val="16"/>
                <w:szCs w:val="16"/>
              </w:rPr>
            </w:pPr>
          </w:p>
        </w:tc>
        <w:tc>
          <w:tcPr>
            <w:tcW w:w="1766" w:type="dxa"/>
            <w:shd w:val="clear" w:color="auto" w:fill="auto"/>
          </w:tcPr>
          <w:p w14:paraId="768B309F" w14:textId="77777777" w:rsidR="00E768A7" w:rsidRPr="00791040" w:rsidRDefault="00E768A7" w:rsidP="00A07C2C">
            <w:pPr>
              <w:spacing w:before="120" w:after="120" w:line="240" w:lineRule="auto"/>
              <w:rPr>
                <w:rFonts w:cs="Arial"/>
                <w:b/>
                <w:sz w:val="16"/>
                <w:szCs w:val="16"/>
              </w:rPr>
            </w:pPr>
          </w:p>
        </w:tc>
        <w:tc>
          <w:tcPr>
            <w:tcW w:w="4139" w:type="dxa"/>
            <w:shd w:val="clear" w:color="auto" w:fill="auto"/>
          </w:tcPr>
          <w:p w14:paraId="54D54A5F" w14:textId="77777777" w:rsidR="00E768A7" w:rsidRPr="00791040" w:rsidRDefault="009257B8" w:rsidP="00612A94">
            <w:pPr>
              <w:pStyle w:val="Bullet"/>
              <w:numPr>
                <w:ilvl w:val="0"/>
                <w:numId w:val="0"/>
              </w:numPr>
              <w:spacing w:before="120" w:after="120"/>
              <w:rPr>
                <w:strike/>
                <w:highlight w:val="cyan"/>
              </w:rPr>
            </w:pPr>
            <w:r>
              <w:t>Assess if the transmission of non-public information considered the precondition (margin no. 19 FINMA Circ. 17/6) or – if the relevant conditions have not been met from a requesting authority – the institution made additional clarifications (margin nos. 22-25 FINMA Circ. 17/6) and refused the transmission in case of doubts relating to the confidentiality and speciality (margin nos. 27-29 FINMA Circ. 17/6)</w:t>
            </w:r>
          </w:p>
        </w:tc>
        <w:tc>
          <w:tcPr>
            <w:tcW w:w="3827" w:type="dxa"/>
            <w:shd w:val="clear" w:color="auto" w:fill="auto"/>
          </w:tcPr>
          <w:p w14:paraId="1592F176" w14:textId="77777777" w:rsidR="00C8336A" w:rsidRPr="00791040" w:rsidRDefault="00C8336A" w:rsidP="00A07C2C">
            <w:pPr>
              <w:spacing w:before="120" w:after="120" w:line="240" w:lineRule="auto"/>
              <w:rPr>
                <w:rFonts w:cs="Arial"/>
                <w:sz w:val="16"/>
                <w:szCs w:val="16"/>
              </w:rPr>
            </w:pPr>
            <w:r>
              <w:rPr>
                <w:sz w:val="16"/>
                <w:szCs w:val="16"/>
              </w:rPr>
              <w:t>Test with a sample the adherence to the preconditions (margin no. 19 FINMA Circ. 17/6), the adequacy of required additional clarifications (margin nos. 22-25 FINMA Circ. 17/6) and thus the appropriateness of the transmission or non-transmission (margin nos. 27-29 FINMA Circ. 17/6).</w:t>
            </w:r>
          </w:p>
          <w:p w14:paraId="4145F244" w14:textId="77777777" w:rsidR="00E768A7" w:rsidRPr="00791040" w:rsidRDefault="00E768A7" w:rsidP="00A07C2C">
            <w:pPr>
              <w:spacing w:before="120" w:after="120" w:line="240" w:lineRule="auto"/>
              <w:rPr>
                <w:rFonts w:cs="Arial"/>
                <w:strike/>
                <w:sz w:val="16"/>
                <w:szCs w:val="16"/>
                <w:highlight w:val="cyan"/>
              </w:rPr>
            </w:pPr>
          </w:p>
        </w:tc>
        <w:tc>
          <w:tcPr>
            <w:tcW w:w="3402" w:type="dxa"/>
            <w:shd w:val="clear" w:color="auto" w:fill="auto"/>
          </w:tcPr>
          <w:p w14:paraId="336BEF99" w14:textId="77777777" w:rsidR="00E768A7" w:rsidRPr="00791040" w:rsidRDefault="00E768A7" w:rsidP="00A07C2C">
            <w:pPr>
              <w:spacing w:before="120" w:after="120" w:line="240" w:lineRule="auto"/>
              <w:rPr>
                <w:rFonts w:cs="Arial"/>
                <w:sz w:val="16"/>
                <w:szCs w:val="16"/>
              </w:rPr>
            </w:pPr>
          </w:p>
        </w:tc>
        <w:tc>
          <w:tcPr>
            <w:tcW w:w="992" w:type="dxa"/>
            <w:shd w:val="clear" w:color="auto" w:fill="auto"/>
          </w:tcPr>
          <w:p w14:paraId="4ED392B4" w14:textId="77777777" w:rsidR="00E768A7" w:rsidRPr="00791040" w:rsidRDefault="00E768A7" w:rsidP="00A07C2C">
            <w:pPr>
              <w:spacing w:before="120" w:after="120" w:line="240" w:lineRule="auto"/>
            </w:pPr>
          </w:p>
        </w:tc>
      </w:tr>
      <w:tr w:rsidR="00E768A7" w:rsidRPr="00194D84" w14:paraId="019B4CEA" w14:textId="77777777" w:rsidTr="00A07C2C">
        <w:trPr>
          <w:gridAfter w:val="1"/>
          <w:wAfter w:w="34" w:type="dxa"/>
        </w:trPr>
        <w:tc>
          <w:tcPr>
            <w:tcW w:w="531" w:type="dxa"/>
            <w:shd w:val="clear" w:color="auto" w:fill="auto"/>
          </w:tcPr>
          <w:p w14:paraId="6739ECEE" w14:textId="77777777" w:rsidR="00E768A7" w:rsidRPr="00791040" w:rsidRDefault="00E768A7" w:rsidP="00A07C2C">
            <w:pPr>
              <w:spacing w:before="120" w:after="120" w:line="240" w:lineRule="auto"/>
              <w:rPr>
                <w:rFonts w:cs="Arial"/>
                <w:sz w:val="16"/>
                <w:szCs w:val="16"/>
              </w:rPr>
            </w:pPr>
          </w:p>
        </w:tc>
        <w:tc>
          <w:tcPr>
            <w:tcW w:w="1766" w:type="dxa"/>
            <w:shd w:val="clear" w:color="auto" w:fill="auto"/>
          </w:tcPr>
          <w:p w14:paraId="34435AD3" w14:textId="77777777" w:rsidR="00E768A7" w:rsidRPr="00791040" w:rsidRDefault="00E768A7" w:rsidP="00A07C2C">
            <w:pPr>
              <w:spacing w:before="120" w:after="120" w:line="240" w:lineRule="auto"/>
              <w:rPr>
                <w:rFonts w:cs="Arial"/>
                <w:b/>
                <w:sz w:val="16"/>
                <w:szCs w:val="16"/>
              </w:rPr>
            </w:pPr>
          </w:p>
        </w:tc>
        <w:tc>
          <w:tcPr>
            <w:tcW w:w="4139" w:type="dxa"/>
            <w:shd w:val="clear" w:color="auto" w:fill="auto"/>
          </w:tcPr>
          <w:p w14:paraId="17002DDE" w14:textId="77777777" w:rsidR="00E768A7" w:rsidRPr="00791040" w:rsidRDefault="00C8336A" w:rsidP="00A07C2C">
            <w:pPr>
              <w:pStyle w:val="Bullet"/>
              <w:numPr>
                <w:ilvl w:val="0"/>
                <w:numId w:val="0"/>
              </w:numPr>
              <w:spacing w:before="120" w:after="120"/>
              <w:rPr>
                <w:strike/>
                <w:highlight w:val="cyan"/>
              </w:rPr>
            </w:pPr>
            <w:r>
              <w:t>Assess whether the institution adhered to the rules regarding preserving the rights of clients and third parties (margin nos. 30-31 FINMA Circ. 17/6)</w:t>
            </w:r>
          </w:p>
        </w:tc>
        <w:tc>
          <w:tcPr>
            <w:tcW w:w="3827" w:type="dxa"/>
            <w:shd w:val="clear" w:color="auto" w:fill="auto"/>
          </w:tcPr>
          <w:p w14:paraId="7CEC4F9F" w14:textId="77777777" w:rsidR="00E768A7" w:rsidRPr="00791040" w:rsidRDefault="00E768A7" w:rsidP="00A07C2C">
            <w:pPr>
              <w:spacing w:before="120" w:after="120" w:line="240" w:lineRule="auto"/>
              <w:ind w:left="33"/>
              <w:rPr>
                <w:rFonts w:cs="Arial"/>
                <w:sz w:val="16"/>
                <w:szCs w:val="16"/>
                <w:highlight w:val="cyan"/>
              </w:rPr>
            </w:pPr>
          </w:p>
        </w:tc>
        <w:tc>
          <w:tcPr>
            <w:tcW w:w="3402" w:type="dxa"/>
            <w:shd w:val="clear" w:color="auto" w:fill="auto"/>
          </w:tcPr>
          <w:p w14:paraId="10B78CE3" w14:textId="77777777" w:rsidR="00E768A7" w:rsidRPr="00791040" w:rsidRDefault="00E768A7" w:rsidP="00A07C2C">
            <w:pPr>
              <w:spacing w:before="120" w:after="120" w:line="240" w:lineRule="auto"/>
              <w:rPr>
                <w:rFonts w:cs="Arial"/>
                <w:sz w:val="16"/>
                <w:szCs w:val="16"/>
              </w:rPr>
            </w:pPr>
          </w:p>
        </w:tc>
        <w:tc>
          <w:tcPr>
            <w:tcW w:w="992" w:type="dxa"/>
            <w:shd w:val="clear" w:color="auto" w:fill="auto"/>
          </w:tcPr>
          <w:p w14:paraId="6CA49955" w14:textId="77777777" w:rsidR="00E768A7" w:rsidRPr="00791040" w:rsidRDefault="00E768A7" w:rsidP="00A07C2C">
            <w:pPr>
              <w:spacing w:before="120" w:after="120" w:line="240" w:lineRule="auto"/>
            </w:pPr>
          </w:p>
        </w:tc>
      </w:tr>
      <w:tr w:rsidR="00E768A7" w:rsidRPr="00194D84" w14:paraId="5C7E61FB" w14:textId="77777777" w:rsidTr="00A07C2C">
        <w:trPr>
          <w:gridAfter w:val="1"/>
          <w:wAfter w:w="34" w:type="dxa"/>
        </w:trPr>
        <w:tc>
          <w:tcPr>
            <w:tcW w:w="531" w:type="dxa"/>
            <w:shd w:val="clear" w:color="auto" w:fill="auto"/>
          </w:tcPr>
          <w:p w14:paraId="3DE26A60" w14:textId="77777777" w:rsidR="00E768A7" w:rsidRPr="00791040" w:rsidRDefault="00E768A7" w:rsidP="00A07C2C">
            <w:pPr>
              <w:spacing w:before="120" w:after="120" w:line="240" w:lineRule="auto"/>
              <w:rPr>
                <w:rFonts w:cs="Arial"/>
                <w:sz w:val="16"/>
                <w:szCs w:val="16"/>
              </w:rPr>
            </w:pPr>
          </w:p>
        </w:tc>
        <w:tc>
          <w:tcPr>
            <w:tcW w:w="1766" w:type="dxa"/>
            <w:shd w:val="clear" w:color="auto" w:fill="auto"/>
          </w:tcPr>
          <w:p w14:paraId="3217B5A6" w14:textId="77777777" w:rsidR="00E768A7" w:rsidRPr="00791040" w:rsidRDefault="00E768A7" w:rsidP="00A07C2C">
            <w:pPr>
              <w:spacing w:before="120" w:after="120" w:line="240" w:lineRule="auto"/>
              <w:rPr>
                <w:rFonts w:cs="Arial"/>
                <w:b/>
                <w:sz w:val="16"/>
                <w:szCs w:val="16"/>
              </w:rPr>
            </w:pPr>
          </w:p>
        </w:tc>
        <w:tc>
          <w:tcPr>
            <w:tcW w:w="4139" w:type="dxa"/>
            <w:shd w:val="clear" w:color="auto" w:fill="auto"/>
          </w:tcPr>
          <w:p w14:paraId="52A07F44" w14:textId="77777777" w:rsidR="00E768A7" w:rsidRPr="00791040" w:rsidRDefault="00C8336A" w:rsidP="00A07C2C">
            <w:pPr>
              <w:pStyle w:val="Bullet"/>
              <w:numPr>
                <w:ilvl w:val="0"/>
                <w:numId w:val="0"/>
              </w:numPr>
              <w:spacing w:before="120" w:after="120"/>
              <w:rPr>
                <w:strike/>
                <w:highlight w:val="cyan"/>
              </w:rPr>
            </w:pPr>
            <w:r>
              <w:t>Assess whether the transmission of information is only related to the business activities of clients and supervised parties (in application of Art. 42c para. 2 FINMASA; margin nos. 39-41 FINMA Circ. 17/6)</w:t>
            </w:r>
          </w:p>
        </w:tc>
        <w:tc>
          <w:tcPr>
            <w:tcW w:w="3827" w:type="dxa"/>
            <w:shd w:val="clear" w:color="auto" w:fill="auto"/>
          </w:tcPr>
          <w:p w14:paraId="723F24FF" w14:textId="77777777" w:rsidR="00197D0E" w:rsidRPr="00791040" w:rsidRDefault="00197D0E" w:rsidP="00A07C2C">
            <w:pPr>
              <w:spacing w:before="120" w:after="120" w:line="240" w:lineRule="auto"/>
              <w:ind w:left="33"/>
              <w:rPr>
                <w:rFonts w:cs="Arial"/>
                <w:sz w:val="16"/>
                <w:szCs w:val="16"/>
              </w:rPr>
            </w:pPr>
            <w:r>
              <w:rPr>
                <w:sz w:val="16"/>
                <w:szCs w:val="16"/>
              </w:rPr>
              <w:t>Test with a sample the compliance with the rules regarding the transmission of information (margin nos. 39-41 FINMA Circ. 17/6)</w:t>
            </w:r>
          </w:p>
          <w:p w14:paraId="7B7B4DE8" w14:textId="77777777" w:rsidR="00E768A7" w:rsidRPr="00791040" w:rsidRDefault="00E768A7" w:rsidP="00791040">
            <w:pPr>
              <w:spacing w:before="120" w:after="120" w:line="240" w:lineRule="auto"/>
              <w:rPr>
                <w:rFonts w:cs="Arial"/>
                <w:strike/>
                <w:sz w:val="16"/>
                <w:szCs w:val="16"/>
                <w:highlight w:val="cyan"/>
              </w:rPr>
            </w:pPr>
          </w:p>
        </w:tc>
        <w:tc>
          <w:tcPr>
            <w:tcW w:w="3402" w:type="dxa"/>
            <w:shd w:val="clear" w:color="auto" w:fill="auto"/>
          </w:tcPr>
          <w:p w14:paraId="4468C67A" w14:textId="77777777" w:rsidR="00E768A7" w:rsidRPr="00791040" w:rsidRDefault="00E768A7" w:rsidP="00A07C2C">
            <w:pPr>
              <w:spacing w:before="120" w:after="120" w:line="240" w:lineRule="auto"/>
              <w:rPr>
                <w:rFonts w:cs="Arial"/>
                <w:sz w:val="16"/>
                <w:szCs w:val="16"/>
              </w:rPr>
            </w:pPr>
          </w:p>
        </w:tc>
        <w:tc>
          <w:tcPr>
            <w:tcW w:w="992" w:type="dxa"/>
            <w:shd w:val="clear" w:color="auto" w:fill="auto"/>
          </w:tcPr>
          <w:p w14:paraId="02930047" w14:textId="77777777" w:rsidR="00E768A7" w:rsidRPr="00791040" w:rsidRDefault="00E768A7" w:rsidP="00A07C2C">
            <w:pPr>
              <w:spacing w:before="120" w:after="120" w:line="240" w:lineRule="auto"/>
            </w:pPr>
          </w:p>
        </w:tc>
      </w:tr>
      <w:tr w:rsidR="00E768A7" w:rsidRPr="00194D84" w14:paraId="63C32CA9" w14:textId="77777777" w:rsidTr="00A07C2C">
        <w:trPr>
          <w:gridAfter w:val="1"/>
          <w:wAfter w:w="34" w:type="dxa"/>
        </w:trPr>
        <w:tc>
          <w:tcPr>
            <w:tcW w:w="531" w:type="dxa"/>
            <w:shd w:val="clear" w:color="auto" w:fill="auto"/>
          </w:tcPr>
          <w:p w14:paraId="7781D13E" w14:textId="77777777" w:rsidR="00E768A7" w:rsidRPr="00791040" w:rsidRDefault="00E768A7" w:rsidP="00A07C2C">
            <w:pPr>
              <w:spacing w:before="120" w:after="120" w:line="240" w:lineRule="auto"/>
              <w:rPr>
                <w:rFonts w:cs="Arial"/>
                <w:sz w:val="16"/>
                <w:szCs w:val="16"/>
              </w:rPr>
            </w:pPr>
          </w:p>
        </w:tc>
        <w:tc>
          <w:tcPr>
            <w:tcW w:w="1766" w:type="dxa"/>
            <w:shd w:val="clear" w:color="auto" w:fill="auto"/>
          </w:tcPr>
          <w:p w14:paraId="4A45406B" w14:textId="77777777" w:rsidR="00E768A7" w:rsidRPr="00791040" w:rsidRDefault="00E768A7" w:rsidP="00A07C2C">
            <w:pPr>
              <w:spacing w:before="120" w:after="120" w:line="240" w:lineRule="auto"/>
              <w:rPr>
                <w:rFonts w:cs="Arial"/>
                <w:b/>
                <w:sz w:val="16"/>
                <w:szCs w:val="16"/>
              </w:rPr>
            </w:pPr>
          </w:p>
        </w:tc>
        <w:tc>
          <w:tcPr>
            <w:tcW w:w="4139" w:type="dxa"/>
            <w:shd w:val="clear" w:color="auto" w:fill="auto"/>
          </w:tcPr>
          <w:p w14:paraId="5DC51D50" w14:textId="77777777" w:rsidR="00E768A7" w:rsidRPr="00791040" w:rsidRDefault="00197D0E" w:rsidP="00A07C2C">
            <w:pPr>
              <w:pStyle w:val="Bullet"/>
              <w:numPr>
                <w:ilvl w:val="0"/>
                <w:numId w:val="0"/>
              </w:numPr>
              <w:spacing w:before="120" w:after="120"/>
              <w:rPr>
                <w:strike/>
                <w:highlight w:val="cyan"/>
              </w:rPr>
            </w:pPr>
            <w:r>
              <w:t>Assess whether the institution complied with its information and reporting duties in favour of FINMA (margin nos. 43-57 FINMA Circ. 17/6)</w:t>
            </w:r>
          </w:p>
        </w:tc>
        <w:tc>
          <w:tcPr>
            <w:tcW w:w="3827" w:type="dxa"/>
            <w:shd w:val="clear" w:color="auto" w:fill="auto"/>
          </w:tcPr>
          <w:p w14:paraId="6E027B19" w14:textId="77777777" w:rsidR="00E768A7" w:rsidRPr="00435240" w:rsidRDefault="00197D0E" w:rsidP="00435240">
            <w:pPr>
              <w:spacing w:before="120" w:after="120" w:line="240" w:lineRule="auto"/>
              <w:ind w:left="33"/>
              <w:rPr>
                <w:rFonts w:cs="Arial"/>
                <w:sz w:val="16"/>
                <w:szCs w:val="16"/>
              </w:rPr>
            </w:pPr>
            <w:r>
              <w:rPr>
                <w:sz w:val="16"/>
                <w:szCs w:val="16"/>
              </w:rPr>
              <w:t xml:space="preserve">Test with a sample the compliance with the information and reporting duties in favour of FINMA (margin nos. 43-57 FINMA Circ. 17/6) </w:t>
            </w:r>
          </w:p>
        </w:tc>
        <w:tc>
          <w:tcPr>
            <w:tcW w:w="3402" w:type="dxa"/>
            <w:shd w:val="clear" w:color="auto" w:fill="auto"/>
          </w:tcPr>
          <w:p w14:paraId="703963A4" w14:textId="77777777" w:rsidR="00E768A7" w:rsidRPr="00791040" w:rsidRDefault="00E768A7" w:rsidP="00A07C2C">
            <w:pPr>
              <w:spacing w:before="120" w:after="120" w:line="240" w:lineRule="auto"/>
              <w:rPr>
                <w:rFonts w:cs="Arial"/>
                <w:sz w:val="16"/>
                <w:szCs w:val="16"/>
              </w:rPr>
            </w:pPr>
          </w:p>
        </w:tc>
        <w:tc>
          <w:tcPr>
            <w:tcW w:w="992" w:type="dxa"/>
            <w:shd w:val="clear" w:color="auto" w:fill="auto"/>
          </w:tcPr>
          <w:p w14:paraId="64B08AA1" w14:textId="77777777" w:rsidR="00E768A7" w:rsidRPr="00791040" w:rsidRDefault="00E768A7" w:rsidP="00A07C2C">
            <w:pPr>
              <w:spacing w:before="120" w:after="120" w:line="240" w:lineRule="auto"/>
            </w:pPr>
          </w:p>
        </w:tc>
      </w:tr>
    </w:tbl>
    <w:p w14:paraId="6491FAFD" w14:textId="0E4DB561" w:rsidR="00501862" w:rsidRDefault="00501862" w:rsidP="008362E0">
      <w:pPr>
        <w:spacing w:before="120" w:after="120" w:line="240" w:lineRule="auto"/>
        <w:rPr>
          <w:rFonts w:ascii="EYInterstate Light" w:hAnsi="EYInterstate Light"/>
        </w:rPr>
      </w:pPr>
    </w:p>
    <w:p w14:paraId="0C00CE8D" w14:textId="77777777" w:rsidR="00461856" w:rsidRPr="00791040" w:rsidRDefault="00461856" w:rsidP="008362E0">
      <w:pPr>
        <w:spacing w:before="120" w:after="120" w:line="240" w:lineRule="auto"/>
        <w:rPr>
          <w:rFonts w:ascii="EYInterstate Light" w:hAnsi="EYInterstate Light"/>
        </w:rPr>
      </w:pPr>
    </w:p>
    <w:p w14:paraId="4F56B571" w14:textId="77777777" w:rsidR="00501862" w:rsidRDefault="00501862" w:rsidP="008362E0">
      <w:pPr>
        <w:spacing w:before="120" w:after="120" w:line="240" w:lineRule="auto"/>
        <w:jc w:val="center"/>
        <w:rPr>
          <w:rFonts w:cs="Arial"/>
        </w:rPr>
      </w:pPr>
      <w:r>
        <w:t>*********************************</w:t>
      </w:r>
    </w:p>
    <w:bookmarkEnd w:id="0"/>
    <w:p w14:paraId="4C7BA1B7" w14:textId="77777777" w:rsidR="002A48CF" w:rsidRPr="00AF6AA5" w:rsidRDefault="002A48CF" w:rsidP="00AF6AA5">
      <w:pPr>
        <w:spacing w:line="240" w:lineRule="auto"/>
        <w:rPr>
          <w:sz w:val="2"/>
        </w:rPr>
      </w:pPr>
    </w:p>
    <w:sectPr w:rsidR="002A48CF" w:rsidRPr="00AF6AA5" w:rsidSect="00E043D1">
      <w:headerReference w:type="even" r:id="rId19"/>
      <w:headerReference w:type="default" r:id="rId20"/>
      <w:footerReference w:type="even" r:id="rId21"/>
      <w:footerReference w:type="default" r:id="rId22"/>
      <w:headerReference w:type="first" r:id="rId23"/>
      <w:footerReference w:type="first" r:id="rId24"/>
      <w:type w:val="continuous"/>
      <w:pgSz w:w="16838" w:h="11906" w:orient="landscape" w:code="9"/>
      <w:pgMar w:top="1701" w:right="1418" w:bottom="1134" w:left="1134" w:header="425" w:footer="48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F7052" w14:textId="77777777" w:rsidR="00E043D1" w:rsidRDefault="00E043D1">
      <w:r>
        <w:separator/>
      </w:r>
    </w:p>
  </w:endnote>
  <w:endnote w:type="continuationSeparator" w:id="0">
    <w:p w14:paraId="2B154639" w14:textId="77777777" w:rsidR="00E043D1" w:rsidRDefault="00E043D1">
      <w:r>
        <w:continuationSeparator/>
      </w:r>
    </w:p>
  </w:endnote>
  <w:endnote w:type="continuationNotice" w:id="1">
    <w:p w14:paraId="60328143" w14:textId="77777777" w:rsidR="00E043D1" w:rsidRDefault="00E043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EYInterstate Light">
    <w:altName w:val="Arial Narrow"/>
    <w:charset w:val="00"/>
    <w:family w:val="auto"/>
    <w:pitch w:val="variable"/>
    <w:sig w:usb0="A00002AF" w:usb1="5000206A" w:usb2="00000000" w:usb3="00000000" w:csb0="0000009F" w:csb1="00000000"/>
  </w:font>
  <w:font w:name="Calibri">
    <w:panose1 w:val="020F0502020204030204"/>
    <w:charset w:val="00"/>
    <w:family w:val="swiss"/>
    <w:pitch w:val="variable"/>
    <w:sig w:usb0="E0002EFF" w:usb1="C000247B" w:usb2="00000009" w:usb3="00000000" w:csb0="000001FF" w:csb1="00000000"/>
  </w:font>
  <w:font w:name="EYInterstate">
    <w:altName w:val="Times New Roman"/>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208E" w14:textId="77777777" w:rsidR="00E043D1" w:rsidRDefault="00E04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72" w:type="pct"/>
      <w:tblCellMar>
        <w:right w:w="0" w:type="dxa"/>
      </w:tblCellMar>
      <w:tblLook w:val="04A0" w:firstRow="1" w:lastRow="0" w:firstColumn="1" w:lastColumn="0" w:noHBand="0" w:noVBand="1"/>
    </w:tblPr>
    <w:tblGrid>
      <w:gridCol w:w="14461"/>
      <w:gridCol w:w="8008"/>
      <w:gridCol w:w="2309"/>
    </w:tblGrid>
    <w:tr w:rsidR="00A14843" w14:paraId="06B9F3B0" w14:textId="77777777" w:rsidTr="00791040">
      <w:trPr>
        <w:trHeight w:val="851"/>
      </w:trPr>
      <w:tc>
        <w:tcPr>
          <w:tcW w:w="2918" w:type="pct"/>
          <w:tcMar>
            <w:left w:w="0" w:type="dxa"/>
          </w:tcMar>
        </w:tcPr>
        <w:p w14:paraId="2E97D3AD" w14:textId="48B7864B" w:rsidR="00A14843" w:rsidRDefault="00A14843" w:rsidP="005131A0">
          <w:pPr>
            <w:pStyle w:val="Footer"/>
          </w:pPr>
          <w:r>
            <w:t xml:space="preserve">Procedures applicable to the audit field “Business risks – risk management / Other risks in connection with compliance issues” </w:t>
          </w:r>
        </w:p>
        <w:p w14:paraId="502FE68B" w14:textId="1F2682A6" w:rsidR="00A14843" w:rsidRPr="001A2BD4" w:rsidRDefault="00A14843" w:rsidP="002B5D89">
          <w:pPr>
            <w:pStyle w:val="Footer"/>
            <w:tabs>
              <w:tab w:val="right" w:pos="14460"/>
            </w:tabs>
            <w:rPr>
              <w:szCs w:val="16"/>
            </w:rPr>
          </w:pPr>
          <w:r>
            <w:t xml:space="preserve">Version of </w:t>
          </w:r>
          <w:proofErr w:type="spellStart"/>
          <w:r>
            <w:t>xxxx</w:t>
          </w:r>
          <w:proofErr w:type="spellEnd"/>
          <w:r>
            <w:t xml:space="preserve"> 2020, applicable since the audit period2020 (audit year beginning 1 Jan. 2020 or later)</w:t>
          </w:r>
          <w:r>
            <w:tab/>
          </w:r>
          <w:sdt>
            <w:sdtPr>
              <w:id w:val="131833022"/>
              <w:docPartObj>
                <w:docPartGallery w:val="Page Numbers (Bottom of Page)"/>
                <w:docPartUnique/>
              </w:docPartObj>
            </w:sdtPr>
            <w:sdtEndPr>
              <w:rPr>
                <w:noProof/>
                <w:szCs w:val="16"/>
              </w:rPr>
            </w:sdtEndPr>
            <w:sdtContent>
              <w:r>
                <w:t xml:space="preserve">Page </w:t>
              </w:r>
              <w:r w:rsidRPr="00163FB7">
                <w:rPr>
                  <w:szCs w:val="16"/>
                </w:rPr>
                <w:fldChar w:fldCharType="begin"/>
              </w:r>
              <w:r w:rsidRPr="005D5015">
                <w:rPr>
                  <w:szCs w:val="16"/>
                </w:rPr>
                <w:instrText xml:space="preserve"> PAGE   \* MERGEFORMAT </w:instrText>
              </w:r>
              <w:r w:rsidRPr="00163FB7">
                <w:rPr>
                  <w:szCs w:val="16"/>
                </w:rPr>
                <w:fldChar w:fldCharType="separate"/>
              </w:r>
              <w:r w:rsidR="007513CE">
                <w:rPr>
                  <w:noProof/>
                  <w:szCs w:val="16"/>
                </w:rPr>
                <w:t>15</w:t>
              </w:r>
              <w:r w:rsidRPr="00163FB7">
                <w:rPr>
                  <w:szCs w:val="16"/>
                </w:rPr>
                <w:fldChar w:fldCharType="end"/>
              </w:r>
            </w:sdtContent>
          </w:sdt>
        </w:p>
      </w:tc>
      <w:tc>
        <w:tcPr>
          <w:tcW w:w="1616" w:type="pct"/>
          <w:tcMar>
            <w:left w:w="0" w:type="dxa"/>
          </w:tcMar>
        </w:tcPr>
        <w:p w14:paraId="58AC43AD" w14:textId="77777777" w:rsidR="00A14843" w:rsidRPr="005131A0" w:rsidRDefault="00A14843" w:rsidP="00455E44">
          <w:pPr>
            <w:pStyle w:val="Footer"/>
            <w:tabs>
              <w:tab w:val="clear" w:pos="8618"/>
            </w:tabs>
          </w:pPr>
        </w:p>
      </w:tc>
      <w:tc>
        <w:tcPr>
          <w:tcW w:w="466" w:type="pct"/>
          <w:tcMar>
            <w:left w:w="0" w:type="dxa"/>
          </w:tcMar>
        </w:tcPr>
        <w:p w14:paraId="63AD343D" w14:textId="6E4065F2" w:rsidR="00A14843" w:rsidRPr="00D81961" w:rsidRDefault="00A14843" w:rsidP="00D81961">
          <w:pPr>
            <w:pStyle w:val="Footer"/>
            <w:tabs>
              <w:tab w:val="clear" w:pos="8618"/>
              <w:tab w:val="left" w:pos="1473"/>
            </w:tabs>
            <w:ind w:right="29"/>
            <w:rPr>
              <w:sz w:val="15"/>
              <w:szCs w:val="15"/>
            </w:rPr>
          </w:pPr>
          <w:r w:rsidRPr="00D81961">
            <w:rPr>
              <w:sz w:val="15"/>
              <w:szCs w:val="15"/>
            </w:rPr>
            <w:fldChar w:fldCharType="begin"/>
          </w:r>
          <w:r w:rsidRPr="00D81961">
            <w:rPr>
              <w:sz w:val="15"/>
              <w:szCs w:val="15"/>
            </w:rPr>
            <w:instrText xml:space="preserve"> PAGE </w:instrText>
          </w:r>
          <w:r w:rsidRPr="00D81961">
            <w:rPr>
              <w:sz w:val="15"/>
              <w:szCs w:val="15"/>
            </w:rPr>
            <w:fldChar w:fldCharType="separate"/>
          </w:r>
          <w:r w:rsidR="007513CE">
            <w:rPr>
              <w:noProof/>
              <w:sz w:val="15"/>
              <w:szCs w:val="15"/>
            </w:rPr>
            <w:t>15</w:t>
          </w:r>
          <w:r w:rsidRPr="00D81961">
            <w:rPr>
              <w:sz w:val="15"/>
              <w:szCs w:val="15"/>
            </w:rPr>
            <w:fldChar w:fldCharType="end"/>
          </w:r>
          <w:r>
            <w:rPr>
              <w:sz w:val="15"/>
            </w:rPr>
            <w:t>/</w:t>
          </w:r>
          <w:r w:rsidRPr="00D81961">
            <w:rPr>
              <w:sz w:val="15"/>
              <w:szCs w:val="15"/>
            </w:rPr>
            <w:fldChar w:fldCharType="begin"/>
          </w:r>
          <w:r w:rsidRPr="00D81961">
            <w:rPr>
              <w:sz w:val="15"/>
              <w:szCs w:val="15"/>
            </w:rPr>
            <w:instrText xml:space="preserve"> NUMPAGES </w:instrText>
          </w:r>
          <w:r w:rsidRPr="00D81961">
            <w:rPr>
              <w:sz w:val="15"/>
              <w:szCs w:val="15"/>
            </w:rPr>
            <w:fldChar w:fldCharType="separate"/>
          </w:r>
          <w:r w:rsidR="007513CE">
            <w:rPr>
              <w:noProof/>
              <w:sz w:val="15"/>
              <w:szCs w:val="15"/>
            </w:rPr>
            <w:t>15</w:t>
          </w:r>
          <w:r w:rsidRPr="00D81961">
            <w:rPr>
              <w:sz w:val="15"/>
              <w:szCs w:val="15"/>
            </w:rPr>
            <w:fldChar w:fldCharType="end"/>
          </w:r>
        </w:p>
      </w:tc>
    </w:tr>
  </w:tbl>
  <w:p w14:paraId="26C64D27" w14:textId="77777777" w:rsidR="00A14843" w:rsidRDefault="00A14843" w:rsidP="001A2BD4">
    <w:pPr>
      <w:pStyle w:val="Footer"/>
      <w:tabs>
        <w:tab w:val="clear" w:pos="8618"/>
        <w:tab w:val="right" w:pos="146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4"/>
    </w:tblGrid>
    <w:tr w:rsidR="008B4EB5" w:rsidRPr="00680FFB" w14:paraId="06B5F878" w14:textId="77777777" w:rsidTr="008A7D9D">
      <w:tc>
        <w:tcPr>
          <w:tcW w:w="14175" w:type="dxa"/>
        </w:tcPr>
        <w:p w14:paraId="4A24F41E" w14:textId="77777777" w:rsidR="008B4EB5" w:rsidRPr="00680FFB" w:rsidRDefault="008B4EB5" w:rsidP="001A2BD4">
          <w:pPr>
            <w:pStyle w:val="Footer"/>
            <w:ind w:left="-109"/>
          </w:pPr>
          <w:bookmarkStart w:id="2" w:name="BkmBarcode01" w:colFirst="1" w:colLast="1"/>
          <w:r>
            <w:t>Procedures applicable to the audit field “Business risks – risk management / Other risks in connection with compliance issues”</w:t>
          </w:r>
        </w:p>
      </w:tc>
    </w:tr>
    <w:tr w:rsidR="008B4EB5" w:rsidRPr="00680FFB" w14:paraId="06047BFB" w14:textId="77777777" w:rsidTr="00DD07C3">
      <w:tc>
        <w:tcPr>
          <w:tcW w:w="14175" w:type="dxa"/>
        </w:tcPr>
        <w:p w14:paraId="79B8FCB2" w14:textId="3BEBCE55" w:rsidR="008B4EB5" w:rsidRDefault="008B4EB5" w:rsidP="001A2BD4">
          <w:pPr>
            <w:pStyle w:val="Footer"/>
            <w:tabs>
              <w:tab w:val="right" w:pos="13925"/>
            </w:tabs>
            <w:ind w:left="-109"/>
            <w:rPr>
              <w:szCs w:val="16"/>
            </w:rPr>
          </w:pPr>
          <w:r>
            <w:t xml:space="preserve">Version of </w:t>
          </w:r>
          <w:proofErr w:type="spellStart"/>
          <w:r>
            <w:t>xxxx</w:t>
          </w:r>
          <w:proofErr w:type="spellEnd"/>
          <w:r>
            <w:t xml:space="preserve"> 2020, applicable since audit period 2020 (audit year beginning 1 Jan. 2020 or later)</w:t>
          </w:r>
          <w:r>
            <w:tab/>
          </w:r>
          <w:sdt>
            <w:sdtPr>
              <w:id w:val="1645000466"/>
              <w:docPartObj>
                <w:docPartGallery w:val="Page Numbers (Bottom of Page)"/>
                <w:docPartUnique/>
              </w:docPartObj>
            </w:sdtPr>
            <w:sdtEndPr>
              <w:rPr>
                <w:noProof/>
                <w:szCs w:val="16"/>
              </w:rPr>
            </w:sdtEndPr>
            <w:sdtContent>
              <w:r>
                <w:t xml:space="preserve">Page </w:t>
              </w:r>
              <w:r w:rsidRPr="00163FB7">
                <w:rPr>
                  <w:szCs w:val="16"/>
                </w:rPr>
                <w:fldChar w:fldCharType="begin"/>
              </w:r>
              <w:r w:rsidRPr="005D5015">
                <w:rPr>
                  <w:szCs w:val="16"/>
                </w:rPr>
                <w:instrText xml:space="preserve"> PAGE   \* MERGEFORMAT </w:instrText>
              </w:r>
              <w:r w:rsidRPr="00163FB7">
                <w:rPr>
                  <w:szCs w:val="16"/>
                </w:rPr>
                <w:fldChar w:fldCharType="separate"/>
              </w:r>
              <w:r w:rsidR="007513CE">
                <w:rPr>
                  <w:noProof/>
                  <w:szCs w:val="16"/>
                </w:rPr>
                <w:t>1</w:t>
              </w:r>
              <w:r w:rsidRPr="00163FB7">
                <w:rPr>
                  <w:szCs w:val="16"/>
                </w:rPr>
                <w:fldChar w:fldCharType="end"/>
              </w:r>
            </w:sdtContent>
          </w:sdt>
        </w:p>
        <w:p w14:paraId="48C34395" w14:textId="77777777" w:rsidR="008B4EB5" w:rsidRPr="00465386" w:rsidRDefault="008B4EB5" w:rsidP="003E3A99">
          <w:pPr>
            <w:pStyle w:val="Footer"/>
            <w:tabs>
              <w:tab w:val="right" w:pos="14287"/>
            </w:tabs>
            <w:ind w:left="-365"/>
          </w:pPr>
        </w:p>
      </w:tc>
    </w:tr>
    <w:tr w:rsidR="008B4EB5" w:rsidRPr="00680FFB" w14:paraId="788D1BB0" w14:textId="77777777" w:rsidTr="00FE3339">
      <w:tc>
        <w:tcPr>
          <w:tcW w:w="14175" w:type="dxa"/>
        </w:tcPr>
        <w:p w14:paraId="7007DBEE" w14:textId="77777777" w:rsidR="008B4EB5" w:rsidRPr="003D22FB" w:rsidRDefault="008B4EB5" w:rsidP="003E3A99">
          <w:pPr>
            <w:pStyle w:val="Footer"/>
            <w:ind w:left="-365"/>
            <w:rPr>
              <w:szCs w:val="16"/>
            </w:rPr>
          </w:pPr>
        </w:p>
      </w:tc>
    </w:tr>
  </w:tbl>
  <w:bookmarkEnd w:id="2"/>
  <w:p w14:paraId="5834B0BB" w14:textId="6E55FEFB" w:rsidR="00A14843" w:rsidRPr="00F768F1" w:rsidRDefault="00E043D1" w:rsidP="003E3A99">
    <w:pPr>
      <w:pStyle w:val="Footer"/>
      <w:spacing w:line="240" w:lineRule="auto"/>
      <w:rPr>
        <w:sz w:val="2"/>
        <w:szCs w:val="2"/>
      </w:rPr>
    </w:pPr>
    <w:proofErr w:type="spellStart"/>
    <w:r>
      <w:rPr>
        <w:sz w:val="2"/>
        <w:szCs w:val="2"/>
      </w:rPr>
      <w:t>asdflkjsdfkljasd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C2AD4" w14:textId="77777777" w:rsidR="00E043D1" w:rsidRDefault="00E043D1">
      <w:r>
        <w:separator/>
      </w:r>
    </w:p>
  </w:footnote>
  <w:footnote w:type="continuationSeparator" w:id="0">
    <w:p w14:paraId="3FEC49C1" w14:textId="77777777" w:rsidR="00E043D1" w:rsidRDefault="00E043D1">
      <w:r>
        <w:continuationSeparator/>
      </w:r>
    </w:p>
  </w:footnote>
  <w:footnote w:type="continuationNotice" w:id="1">
    <w:p w14:paraId="45066FD3" w14:textId="77777777" w:rsidR="00E043D1" w:rsidRDefault="00E043D1">
      <w:pPr>
        <w:spacing w:line="240" w:lineRule="auto"/>
      </w:pPr>
    </w:p>
  </w:footnote>
  <w:footnote w:id="2">
    <w:p w14:paraId="7921A7DD" w14:textId="7ACE153B" w:rsidR="002A25BF" w:rsidRPr="008B4EB5" w:rsidRDefault="002A25BF" w:rsidP="002A25BF">
      <w:pPr>
        <w:pStyle w:val="FootnoteText"/>
        <w:rPr>
          <w:sz w:val="16"/>
          <w:szCs w:val="16"/>
        </w:rPr>
      </w:pPr>
      <w:r>
        <w:rPr>
          <w:rStyle w:val="FootnoteReference"/>
        </w:rPr>
        <w:footnoteRef/>
      </w:r>
      <w:r>
        <w:t xml:space="preserve"> </w:t>
      </w:r>
      <w:r w:rsidRPr="008B4EB5">
        <w:rPr>
          <w:sz w:val="16"/>
          <w:szCs w:val="16"/>
        </w:rPr>
        <w:t>Margin nos. 33 and 34 FINMA Circ. 13/3.</w:t>
      </w:r>
    </w:p>
  </w:footnote>
  <w:footnote w:id="3">
    <w:p w14:paraId="0AC05FFF" w14:textId="3200D4BA" w:rsidR="00A14843" w:rsidRPr="00F61ADA" w:rsidRDefault="00A14843">
      <w:pPr>
        <w:pStyle w:val="FootnoteText"/>
        <w:rPr>
          <w:sz w:val="16"/>
        </w:rPr>
      </w:pPr>
      <w:r>
        <w:rPr>
          <w:rStyle w:val="FootnoteReference"/>
          <w:sz w:val="16"/>
        </w:rPr>
        <w:footnoteRef/>
      </w:r>
      <w:r>
        <w:rPr>
          <w:sz w:val="16"/>
        </w:rPr>
        <w:t xml:space="preserve"> This audit involves ensuring that the institution or a third party has set up a framework for monitoring the legal and regulatory changes in Switzerland and abroad relevant and significant for the activities of the audited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6F7C2" w14:textId="77777777" w:rsidR="00E043D1" w:rsidRDefault="00E04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gridCol w:w="5528"/>
    </w:tblGrid>
    <w:tr w:rsidR="00A14843" w:rsidRPr="00AF6AA5" w14:paraId="546C976F" w14:textId="77777777" w:rsidTr="00F72EE5">
      <w:trPr>
        <w:trHeight w:val="901"/>
      </w:trPr>
      <w:tc>
        <w:tcPr>
          <w:tcW w:w="9498" w:type="dxa"/>
          <w:tcBorders>
            <w:top w:val="nil"/>
            <w:left w:val="nil"/>
            <w:bottom w:val="nil"/>
            <w:right w:val="nil"/>
          </w:tcBorders>
          <w:vAlign w:val="bottom"/>
        </w:tcPr>
        <w:p w14:paraId="73BAE64E" w14:textId="5CBB035A" w:rsidR="00F72EE5" w:rsidRDefault="00D5658F" w:rsidP="00F72EE5">
          <w:pPr>
            <w:pStyle w:val="Header"/>
            <w:tabs>
              <w:tab w:val="clear" w:pos="4536"/>
              <w:tab w:val="clear" w:pos="9072"/>
              <w:tab w:val="left" w:pos="4290"/>
              <w:tab w:val="right" w:pos="14317"/>
            </w:tabs>
            <w:rPr>
              <w:rFonts w:cs="Arial"/>
              <w:sz w:val="16"/>
              <w:szCs w:val="16"/>
            </w:rPr>
          </w:pPr>
          <w:r>
            <w:rPr>
              <w:b/>
              <w:sz w:val="16"/>
              <w:highlight w:val="yellow"/>
            </w:rPr>
            <w:t>[Institution XY]</w:t>
          </w:r>
          <w:r w:rsidR="00F72EE5">
            <w:rPr>
              <w:sz w:val="16"/>
            </w:rPr>
            <w:tab/>
            <w:t xml:space="preserve">Reference: </w:t>
          </w:r>
          <w:r w:rsidR="00F72EE5">
            <w:rPr>
              <w:sz w:val="16"/>
              <w:highlight w:val="yellow"/>
            </w:rPr>
            <w:t>[add reference]</w:t>
          </w:r>
        </w:p>
        <w:p w14:paraId="09D1B80F" w14:textId="77777777" w:rsidR="00F72EE5" w:rsidRPr="00F72EE5" w:rsidRDefault="00A14843" w:rsidP="00F72EE5">
          <w:pPr>
            <w:tabs>
              <w:tab w:val="left" w:pos="4290"/>
            </w:tabs>
            <w:rPr>
              <w:rFonts w:cs="Arial"/>
              <w:sz w:val="12"/>
              <w:szCs w:val="16"/>
            </w:rPr>
          </w:pPr>
          <w:r>
            <w:rPr>
              <w:sz w:val="16"/>
            </w:rPr>
            <w:t xml:space="preserve">Audit period </w:t>
          </w:r>
          <w:r>
            <w:rPr>
              <w:sz w:val="16"/>
              <w:highlight w:val="yellow"/>
            </w:rPr>
            <w:t>20XX</w:t>
          </w:r>
          <w:r>
            <w:rPr>
              <w:b/>
              <w:sz w:val="32"/>
            </w:rPr>
            <w:tab/>
          </w:r>
          <w:r>
            <w:rPr>
              <w:b/>
              <w:sz w:val="16"/>
            </w:rPr>
            <w:t>Other risks in connection with compliance issues</w:t>
          </w:r>
        </w:p>
        <w:p w14:paraId="59BB3670" w14:textId="7C42515E" w:rsidR="00A14843" w:rsidRPr="00501862" w:rsidRDefault="00A14843" w:rsidP="00501862">
          <w:pPr>
            <w:tabs>
              <w:tab w:val="left" w:pos="1800"/>
            </w:tabs>
          </w:pPr>
        </w:p>
      </w:tc>
      <w:tc>
        <w:tcPr>
          <w:tcW w:w="5528" w:type="dxa"/>
          <w:tcBorders>
            <w:top w:val="nil"/>
            <w:left w:val="nil"/>
            <w:bottom w:val="nil"/>
            <w:right w:val="nil"/>
          </w:tcBorders>
        </w:tcPr>
        <w:p w14:paraId="7E245F65" w14:textId="1A5723CE" w:rsidR="00A14843" w:rsidRPr="00501862" w:rsidRDefault="00D5658F" w:rsidP="00F05C8A">
          <w:pPr>
            <w:tabs>
              <w:tab w:val="right" w:pos="9360"/>
            </w:tabs>
            <w:ind w:right="40"/>
          </w:pPr>
          <w:r>
            <w:rPr>
              <w:noProof/>
              <w:lang w:val="de-CH" w:bidi="ar-SA"/>
            </w:rPr>
            <w:drawing>
              <wp:anchor distT="0" distB="0" distL="114300" distR="114300" simplePos="0" relativeHeight="251660289" behindDoc="0" locked="0" layoutInCell="1" allowOverlap="1" wp14:anchorId="0DC1BF47" wp14:editId="534239D5">
                <wp:simplePos x="0" y="0"/>
                <wp:positionH relativeFrom="column">
                  <wp:posOffset>1191260</wp:posOffset>
                </wp:positionH>
                <wp:positionV relativeFrom="paragraph">
                  <wp:posOffset>4445</wp:posOffset>
                </wp:positionV>
                <wp:extent cx="1799590" cy="791845"/>
                <wp:effectExtent l="0" t="0" r="0" b="8255"/>
                <wp:wrapNone/>
                <wp:docPr id="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des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791845"/>
                        </a:xfrm>
                        <a:prstGeom prst="rect">
                          <a:avLst/>
                        </a:prstGeom>
                      </pic:spPr>
                    </pic:pic>
                  </a:graphicData>
                </a:graphic>
                <wp14:sizeRelH relativeFrom="page">
                  <wp14:pctWidth>0</wp14:pctWidth>
                </wp14:sizeRelH>
                <wp14:sizeRelV relativeFrom="page">
                  <wp14:pctHeight>0</wp14:pctHeight>
                </wp14:sizeRelV>
              </wp:anchor>
            </w:drawing>
          </w:r>
        </w:p>
      </w:tc>
    </w:tr>
  </w:tbl>
  <w:p w14:paraId="64FA4CF9" w14:textId="1BC65806" w:rsidR="00A14843" w:rsidRPr="00110559" w:rsidRDefault="00A14843" w:rsidP="00F05C8A">
    <w:pPr>
      <w:spacing w:after="120" w:line="240" w:lineRule="auto"/>
      <w:ind w:right="11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06" w:type="dxa"/>
      <w:tblLook w:val="01E0" w:firstRow="1" w:lastRow="1" w:firstColumn="1" w:lastColumn="1" w:noHBand="0" w:noVBand="0"/>
    </w:tblPr>
    <w:tblGrid>
      <w:gridCol w:w="9117"/>
      <w:gridCol w:w="5189"/>
    </w:tblGrid>
    <w:tr w:rsidR="00A14843" w:rsidRPr="00AF6AA5" w14:paraId="6F60C7B9" w14:textId="77777777" w:rsidTr="00F72EE5">
      <w:trPr>
        <w:trHeight w:val="1046"/>
      </w:trPr>
      <w:tc>
        <w:tcPr>
          <w:tcW w:w="9117" w:type="dxa"/>
        </w:tcPr>
        <w:p w14:paraId="63BDF67C" w14:textId="39AD80C7" w:rsidR="00F72EE5" w:rsidRDefault="00D5658F" w:rsidP="00F72EE5">
          <w:pPr>
            <w:pStyle w:val="Header"/>
            <w:tabs>
              <w:tab w:val="clear" w:pos="4536"/>
              <w:tab w:val="clear" w:pos="9072"/>
              <w:tab w:val="left" w:pos="4290"/>
              <w:tab w:val="right" w:pos="14317"/>
            </w:tabs>
            <w:rPr>
              <w:rFonts w:cs="Arial"/>
              <w:sz w:val="16"/>
              <w:szCs w:val="16"/>
            </w:rPr>
          </w:pPr>
          <w:r>
            <w:rPr>
              <w:b/>
              <w:sz w:val="16"/>
              <w:highlight w:val="yellow"/>
            </w:rPr>
            <w:t>[Institution XY]</w:t>
          </w:r>
          <w:r w:rsidR="00F72EE5">
            <w:rPr>
              <w:sz w:val="16"/>
            </w:rPr>
            <w:tab/>
            <w:t xml:space="preserve">Reference: </w:t>
          </w:r>
          <w:r w:rsidR="00F72EE5">
            <w:rPr>
              <w:sz w:val="16"/>
              <w:highlight w:val="yellow"/>
            </w:rPr>
            <w:t>[add reference]</w:t>
          </w:r>
        </w:p>
        <w:p w14:paraId="00B89575" w14:textId="07C30D44" w:rsidR="00A14843" w:rsidRPr="00F72EE5" w:rsidRDefault="00A14843" w:rsidP="00F72EE5">
          <w:pPr>
            <w:tabs>
              <w:tab w:val="left" w:pos="4290"/>
            </w:tabs>
            <w:rPr>
              <w:rFonts w:cs="Arial"/>
              <w:sz w:val="12"/>
              <w:szCs w:val="16"/>
            </w:rPr>
          </w:pPr>
          <w:r>
            <w:rPr>
              <w:sz w:val="16"/>
            </w:rPr>
            <w:t xml:space="preserve">Audit period </w:t>
          </w:r>
          <w:r>
            <w:rPr>
              <w:sz w:val="16"/>
              <w:highlight w:val="yellow"/>
            </w:rPr>
            <w:t>20XX</w:t>
          </w:r>
          <w:r>
            <w:rPr>
              <w:b/>
              <w:sz w:val="32"/>
            </w:rPr>
            <w:tab/>
          </w:r>
          <w:r>
            <w:rPr>
              <w:b/>
              <w:sz w:val="16"/>
            </w:rPr>
            <w:t>Other risks in connection with compliance issues</w:t>
          </w:r>
        </w:p>
        <w:p w14:paraId="3CBB4A29" w14:textId="577E8093" w:rsidR="00A14843" w:rsidRPr="00501862" w:rsidRDefault="00A14843" w:rsidP="003E3A99">
          <w:pPr>
            <w:rPr>
              <w:b/>
              <w:sz w:val="32"/>
              <w:szCs w:val="32"/>
            </w:rPr>
          </w:pPr>
          <w:r w:rsidRPr="008E3C27">
            <w:rPr>
              <w:b/>
              <w:sz w:val="32"/>
              <w:szCs w:val="32"/>
            </w:rPr>
            <w:fldChar w:fldCharType="begin"/>
          </w:r>
          <w:r w:rsidRPr="00501862">
            <w:rPr>
              <w:b/>
              <w:sz w:val="32"/>
              <w:szCs w:val="32"/>
            </w:rPr>
            <w:instrText xml:space="preserve"> IF "</w:instrText>
          </w:r>
          <w:r w:rsidRPr="008E3C27">
            <w:rPr>
              <w:b/>
              <w:sz w:val="32"/>
              <w:szCs w:val="32"/>
            </w:rPr>
            <w:fldChar w:fldCharType="begin"/>
          </w:r>
          <w:r w:rsidRPr="00501862">
            <w:rPr>
              <w:b/>
              <w:sz w:val="32"/>
              <w:szCs w:val="32"/>
            </w:rPr>
            <w:instrText xml:space="preserve"> DOCPROPERTY "feld_vertraulich" </w:instrText>
          </w:r>
          <w:r w:rsidRPr="008E3C27">
            <w:rPr>
              <w:b/>
              <w:sz w:val="32"/>
              <w:szCs w:val="32"/>
            </w:rPr>
            <w:fldChar w:fldCharType="separate"/>
          </w:r>
          <w:r w:rsidR="008B4EB5">
            <w:rPr>
              <w:bCs/>
              <w:sz w:val="32"/>
              <w:szCs w:val="32"/>
              <w:lang w:val="en-US"/>
            </w:rPr>
            <w:instrText>Error! Unknown document property name.</w:instrText>
          </w:r>
          <w:r w:rsidRPr="008E3C27">
            <w:rPr>
              <w:b/>
              <w:bCs/>
              <w:sz w:val="32"/>
              <w:szCs w:val="32"/>
            </w:rPr>
            <w:fldChar w:fldCharType="end"/>
          </w:r>
          <w:r w:rsidRPr="00501862">
            <w:rPr>
              <w:b/>
              <w:sz w:val="32"/>
              <w:szCs w:val="32"/>
            </w:rPr>
            <w:instrText xml:space="preserve">"="Ja" "VERTRAULICH" "" </w:instrText>
          </w:r>
          <w:r w:rsidRPr="008E3C27">
            <w:rPr>
              <w:b/>
              <w:sz w:val="32"/>
              <w:szCs w:val="32"/>
            </w:rPr>
            <w:fldChar w:fldCharType="end"/>
          </w:r>
        </w:p>
      </w:tc>
      <w:tc>
        <w:tcPr>
          <w:tcW w:w="5189" w:type="dxa"/>
        </w:tcPr>
        <w:p w14:paraId="7818ED9E" w14:textId="7D2AA071" w:rsidR="00A14843" w:rsidRPr="00501862" w:rsidRDefault="00D5658F" w:rsidP="00455E44">
          <w:r>
            <w:rPr>
              <w:noProof/>
              <w:lang w:val="de-CH" w:bidi="ar-SA"/>
            </w:rPr>
            <w:drawing>
              <wp:anchor distT="0" distB="0" distL="114300" distR="114300" simplePos="0" relativeHeight="251658240" behindDoc="0" locked="0" layoutInCell="1" allowOverlap="1" wp14:anchorId="43C8B939" wp14:editId="14CC1DBB">
                <wp:simplePos x="0" y="0"/>
                <wp:positionH relativeFrom="column">
                  <wp:posOffset>1383030</wp:posOffset>
                </wp:positionH>
                <wp:positionV relativeFrom="paragraph">
                  <wp:posOffset>-11430</wp:posOffset>
                </wp:positionV>
                <wp:extent cx="1799590" cy="791845"/>
                <wp:effectExtent l="0" t="0" r="0" b="8255"/>
                <wp:wrapNone/>
                <wp:docPr id="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des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791845"/>
                        </a:xfrm>
                        <a:prstGeom prst="rect">
                          <a:avLst/>
                        </a:prstGeom>
                      </pic:spPr>
                    </pic:pic>
                  </a:graphicData>
                </a:graphic>
                <wp14:sizeRelH relativeFrom="page">
                  <wp14:pctWidth>0</wp14:pctWidth>
                </wp14:sizeRelH>
                <wp14:sizeRelV relativeFrom="page">
                  <wp14:pctHeight>0</wp14:pctHeight>
                </wp14:sizeRelV>
              </wp:anchor>
            </w:drawing>
          </w:r>
        </w:p>
      </w:tc>
    </w:tr>
  </w:tbl>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7"/>
      <w:gridCol w:w="7017"/>
    </w:tblGrid>
    <w:tr w:rsidR="00A14843" w:rsidRPr="00680FFB" w14:paraId="6ED1E090" w14:textId="77777777" w:rsidTr="00F72EE5">
      <w:trPr>
        <w:trHeight w:val="156"/>
      </w:trPr>
      <w:tc>
        <w:tcPr>
          <w:tcW w:w="6951" w:type="dxa"/>
        </w:tcPr>
        <w:p w14:paraId="388EE2B9" w14:textId="77777777" w:rsidR="005D4968" w:rsidRPr="003D22FB" w:rsidRDefault="005D4968" w:rsidP="001A2BD4">
          <w:pPr>
            <w:spacing w:line="240" w:lineRule="auto"/>
            <w:rPr>
              <w:szCs w:val="16"/>
            </w:rPr>
          </w:pPr>
        </w:p>
      </w:tc>
      <w:tc>
        <w:tcPr>
          <w:tcW w:w="6951" w:type="dxa"/>
        </w:tcPr>
        <w:p w14:paraId="4F89A6D4" w14:textId="77777777" w:rsidR="00A14843" w:rsidRPr="003D22FB" w:rsidRDefault="00A14843" w:rsidP="001A2BD4">
          <w:pPr>
            <w:spacing w:line="240" w:lineRule="auto"/>
            <w:rPr>
              <w:szCs w:val="16"/>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827"/>
    <w:multiLevelType w:val="multilevel"/>
    <w:tmpl w:val="9DDA428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15:restartNumberingAfterBreak="0">
    <w:nsid w:val="0C235ACF"/>
    <w:multiLevelType w:val="hybridMultilevel"/>
    <w:tmpl w:val="A1606C3E"/>
    <w:lvl w:ilvl="0" w:tplc="FCC4893A">
      <w:start w:val="1"/>
      <w:numFmt w:val="bullet"/>
      <w:lvlText w:val=""/>
      <w:lvlJc w:val="left"/>
      <w:pPr>
        <w:ind w:left="766" w:hanging="360"/>
      </w:pPr>
      <w:rPr>
        <w:rFonts w:ascii="Symbol" w:hAnsi="Symbol" w:hint="default"/>
        <w:lang w:val="en-US"/>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18680276"/>
    <w:multiLevelType w:val="multilevel"/>
    <w:tmpl w:val="545A961C"/>
    <w:styleLink w:val="ListePP"/>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4" w15:restartNumberingAfterBreak="0">
    <w:nsid w:val="203E20BD"/>
    <w:multiLevelType w:val="multilevel"/>
    <w:tmpl w:val="545A961C"/>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5"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2CC3091"/>
    <w:multiLevelType w:val="hybridMultilevel"/>
    <w:tmpl w:val="BFA8245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15:restartNumberingAfterBreak="0">
    <w:nsid w:val="295F682E"/>
    <w:multiLevelType w:val="hybridMultilevel"/>
    <w:tmpl w:val="DA3CB030"/>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C0CD6"/>
    <w:multiLevelType w:val="hybridMultilevel"/>
    <w:tmpl w:val="5B84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C68B1"/>
    <w:multiLevelType w:val="hybridMultilevel"/>
    <w:tmpl w:val="198E9BD8"/>
    <w:lvl w:ilvl="0" w:tplc="FCC4893A">
      <w:start w:val="1"/>
      <w:numFmt w:val="bullet"/>
      <w:lvlText w:val=""/>
      <w:lvlJc w:val="left"/>
      <w:pPr>
        <w:ind w:left="766"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1"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2"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3" w15:restartNumberingAfterBreak="0">
    <w:nsid w:val="592C3600"/>
    <w:multiLevelType w:val="hybridMultilevel"/>
    <w:tmpl w:val="BFB6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5" w15:restartNumberingAfterBreak="0">
    <w:nsid w:val="65B109EC"/>
    <w:multiLevelType w:val="hybridMultilevel"/>
    <w:tmpl w:val="CA46856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67C65345"/>
    <w:multiLevelType w:val="hybridMultilevel"/>
    <w:tmpl w:val="81029E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D367457"/>
    <w:multiLevelType w:val="hybridMultilevel"/>
    <w:tmpl w:val="C666CB00"/>
    <w:lvl w:ilvl="0" w:tplc="3F5AAEA6">
      <w:numFmt w:val="bullet"/>
      <w:lvlText w:val=""/>
      <w:lvlJc w:val="left"/>
      <w:pPr>
        <w:ind w:left="720" w:hanging="360"/>
      </w:pPr>
      <w:rPr>
        <w:rFonts w:ascii="Wingdings" w:eastAsia="Arial Unicode MS" w:hAnsi="Wingdings"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69FE97AE">
      <w:start w:val="1"/>
      <w:numFmt w:val="bullet"/>
      <w:lvlText w:val=""/>
      <w:lvlJc w:val="left"/>
      <w:pPr>
        <w:ind w:left="2880" w:hanging="360"/>
      </w:pPr>
      <w:rPr>
        <w:rFonts w:ascii="Symbol" w:hAnsi="Symbol" w:hint="default"/>
        <w:lang w:val="en-US"/>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77D38F8"/>
    <w:multiLevelType w:val="hybridMultilevel"/>
    <w:tmpl w:val="E8A0E66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8B50ED1"/>
    <w:multiLevelType w:val="hybridMultilevel"/>
    <w:tmpl w:val="2092F4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790D382B"/>
    <w:multiLevelType w:val="hybridMultilevel"/>
    <w:tmpl w:val="2516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0"/>
  </w:num>
  <w:num w:numId="5">
    <w:abstractNumId w:val="5"/>
  </w:num>
  <w:num w:numId="6">
    <w:abstractNumId w:val="0"/>
  </w:num>
  <w:num w:numId="7">
    <w:abstractNumId w:val="12"/>
  </w:num>
  <w:num w:numId="8">
    <w:abstractNumId w:val="18"/>
  </w:num>
  <w:num w:numId="9">
    <w:abstractNumId w:val="7"/>
  </w:num>
  <w:num w:numId="10">
    <w:abstractNumId w:val="8"/>
  </w:num>
  <w:num w:numId="11">
    <w:abstractNumId w:val="21"/>
  </w:num>
  <w:num w:numId="12">
    <w:abstractNumId w:val="15"/>
  </w:num>
  <w:num w:numId="13">
    <w:abstractNumId w:val="6"/>
  </w:num>
  <w:num w:numId="14">
    <w:abstractNumId w:val="2"/>
  </w:num>
  <w:num w:numId="15">
    <w:abstractNumId w:val="9"/>
  </w:num>
  <w:num w:numId="16">
    <w:abstractNumId w:val="17"/>
  </w:num>
  <w:num w:numId="17">
    <w:abstractNumId w:val="13"/>
  </w:num>
  <w:num w:numId="18">
    <w:abstractNumId w:val="16"/>
  </w:num>
  <w:num w:numId="19">
    <w:abstractNumId w:val="20"/>
  </w:num>
  <w:num w:numId="20">
    <w:abstractNumId w:val="3"/>
  </w:num>
  <w:num w:numId="21">
    <w:abstractNumId w:val="4"/>
    <w:lvlOverride w:ilvl="0">
      <w:lvl w:ilvl="0">
        <w:start w:val="1"/>
        <w:numFmt w:val="upperLetter"/>
        <w:lvlText w:val="%1"/>
        <w:lvlJc w:val="left"/>
        <w:pPr>
          <w:ind w:left="357" w:hanging="357"/>
        </w:pPr>
        <w:rPr>
          <w:rFonts w:hint="default"/>
        </w:rPr>
      </w:lvl>
    </w:lvlOverride>
    <w:lvlOverride w:ilvl="1">
      <w:lvl w:ilvl="1">
        <w:start w:val="1"/>
        <w:numFmt w:val="decimal"/>
        <w:suff w:val="nothing"/>
        <w:lvlText w:val="%1.%2"/>
        <w:lvlJc w:val="left"/>
        <w:pPr>
          <w:ind w:left="357" w:hanging="357"/>
        </w:pPr>
        <w:rPr>
          <w:rFonts w:ascii="EYInterstate" w:hAnsi="EYInterstate"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en-CA" w:vendorID="64" w:dllVersion="131078" w:nlCheck="1" w:checkStyle="0"/>
  <w:proofState w:spelling="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9"/>
  <w:hyphenationZone w:val="425"/>
  <w:doNotHyphenateCaps/>
  <w:drawingGridHorizontalSpacing w:val="11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doclanguage=&quot;Deutsch&quot; id=&quot;&quot; workflowdocumentid=&quot;b7c2dd74-0f88-4c30-8b29-6656f247378d&quot;&gt;&lt;docproperties&gt;&lt;saveaslocation&gt;https://org.finma.ch/sites/8010-T/Dossiers/Suitability/Neue Prüfprogramme Suitability&lt;/saveaslocation&gt;&lt;dossier_id&gt;8010-T-2-9515&lt;/dossier_id&gt;&lt;dossier_titel&gt;Suitability&lt;/dossier_titel&gt;&lt;dossier_aktenzeichen&gt;8010-T-2-9515 - 00 Allgemeines&lt;/dossier_aktenzeichen&gt;&lt;dossier_osp_nr&gt;00&lt;/dossier_osp_nr&gt;&lt;dossier_kategorie&gt;&lt;/dossier_kategorie&gt;&lt;geschaeft_id&gt;&lt;/geschaeft_id&gt;&lt;geschaeft_federfuehrende_oe&gt;M-GWS&lt;/geschaeft_federfuehrende_oe&gt;&lt;geschaeft_datum_eroeffnen&gt;&lt;/geschaeft_datum_eroeffnen&gt;&lt;aktionsname /&gt;&lt;aktionswert /&gt;&lt;addresses /&gt;&lt;/docproperties&gt;&lt;/template&gt;&lt;/docugate&gt;"/>
  </w:docVars>
  <w:rsids>
    <w:rsidRoot w:val="00DF574D"/>
    <w:rsid w:val="00001DEA"/>
    <w:rsid w:val="0001718E"/>
    <w:rsid w:val="00017F57"/>
    <w:rsid w:val="000239AE"/>
    <w:rsid w:val="00023A18"/>
    <w:rsid w:val="00024D4C"/>
    <w:rsid w:val="000259BF"/>
    <w:rsid w:val="00026FDE"/>
    <w:rsid w:val="00032DC8"/>
    <w:rsid w:val="00033575"/>
    <w:rsid w:val="000339C7"/>
    <w:rsid w:val="0003730B"/>
    <w:rsid w:val="0003734C"/>
    <w:rsid w:val="00044074"/>
    <w:rsid w:val="0004532E"/>
    <w:rsid w:val="00054651"/>
    <w:rsid w:val="000550D5"/>
    <w:rsid w:val="000572FE"/>
    <w:rsid w:val="000632D8"/>
    <w:rsid w:val="00065608"/>
    <w:rsid w:val="000671E1"/>
    <w:rsid w:val="00070974"/>
    <w:rsid w:val="00070A8C"/>
    <w:rsid w:val="00073DB3"/>
    <w:rsid w:val="00075CE8"/>
    <w:rsid w:val="00077666"/>
    <w:rsid w:val="00081DBD"/>
    <w:rsid w:val="000822DF"/>
    <w:rsid w:val="000837C2"/>
    <w:rsid w:val="000904A3"/>
    <w:rsid w:val="00093EB8"/>
    <w:rsid w:val="00094E88"/>
    <w:rsid w:val="000A2EA6"/>
    <w:rsid w:val="000A3D9D"/>
    <w:rsid w:val="000A436A"/>
    <w:rsid w:val="000A4F31"/>
    <w:rsid w:val="000B4554"/>
    <w:rsid w:val="000B5284"/>
    <w:rsid w:val="000B71E3"/>
    <w:rsid w:val="000C264E"/>
    <w:rsid w:val="000C2E06"/>
    <w:rsid w:val="000C34D0"/>
    <w:rsid w:val="000C66F6"/>
    <w:rsid w:val="000D0062"/>
    <w:rsid w:val="000D10F4"/>
    <w:rsid w:val="000D337E"/>
    <w:rsid w:val="000D6C35"/>
    <w:rsid w:val="000D7764"/>
    <w:rsid w:val="000E2666"/>
    <w:rsid w:val="000E40E6"/>
    <w:rsid w:val="000E612D"/>
    <w:rsid w:val="000F2A96"/>
    <w:rsid w:val="00107A92"/>
    <w:rsid w:val="00110559"/>
    <w:rsid w:val="00115168"/>
    <w:rsid w:val="00116222"/>
    <w:rsid w:val="00121FE4"/>
    <w:rsid w:val="00122506"/>
    <w:rsid w:val="00122BE1"/>
    <w:rsid w:val="00130AD3"/>
    <w:rsid w:val="00133196"/>
    <w:rsid w:val="001332DB"/>
    <w:rsid w:val="00133B04"/>
    <w:rsid w:val="0013549E"/>
    <w:rsid w:val="0014461A"/>
    <w:rsid w:val="001479FA"/>
    <w:rsid w:val="00150782"/>
    <w:rsid w:val="00150E8B"/>
    <w:rsid w:val="00153D9E"/>
    <w:rsid w:val="001645CA"/>
    <w:rsid w:val="00164BF6"/>
    <w:rsid w:val="001656C2"/>
    <w:rsid w:val="00167182"/>
    <w:rsid w:val="0017124A"/>
    <w:rsid w:val="001749D6"/>
    <w:rsid w:val="0018253F"/>
    <w:rsid w:val="0018719C"/>
    <w:rsid w:val="00190B35"/>
    <w:rsid w:val="00190D92"/>
    <w:rsid w:val="001926B2"/>
    <w:rsid w:val="00194D84"/>
    <w:rsid w:val="001966E2"/>
    <w:rsid w:val="00197D0E"/>
    <w:rsid w:val="001A0D35"/>
    <w:rsid w:val="001A2BD4"/>
    <w:rsid w:val="001A758E"/>
    <w:rsid w:val="001B0BA4"/>
    <w:rsid w:val="001B2832"/>
    <w:rsid w:val="001B4054"/>
    <w:rsid w:val="001B64CA"/>
    <w:rsid w:val="001B76E5"/>
    <w:rsid w:val="001C25B1"/>
    <w:rsid w:val="001C2ADC"/>
    <w:rsid w:val="001C303F"/>
    <w:rsid w:val="001C5E3A"/>
    <w:rsid w:val="001C7E1D"/>
    <w:rsid w:val="001E73CB"/>
    <w:rsid w:val="001E78B6"/>
    <w:rsid w:val="001F0673"/>
    <w:rsid w:val="001F0E1C"/>
    <w:rsid w:val="001F2706"/>
    <w:rsid w:val="001F485C"/>
    <w:rsid w:val="001F5F4A"/>
    <w:rsid w:val="001F6403"/>
    <w:rsid w:val="001F7678"/>
    <w:rsid w:val="002040C6"/>
    <w:rsid w:val="00204B23"/>
    <w:rsid w:val="002120F6"/>
    <w:rsid w:val="0021274A"/>
    <w:rsid w:val="00217AA6"/>
    <w:rsid w:val="00221F14"/>
    <w:rsid w:val="0022346A"/>
    <w:rsid w:val="00227FBC"/>
    <w:rsid w:val="00231C9C"/>
    <w:rsid w:val="0023359A"/>
    <w:rsid w:val="002436E4"/>
    <w:rsid w:val="00243A74"/>
    <w:rsid w:val="0024441B"/>
    <w:rsid w:val="00245584"/>
    <w:rsid w:val="0024574E"/>
    <w:rsid w:val="00245CAC"/>
    <w:rsid w:val="00246290"/>
    <w:rsid w:val="002476AC"/>
    <w:rsid w:val="00250C91"/>
    <w:rsid w:val="0025298C"/>
    <w:rsid w:val="00256539"/>
    <w:rsid w:val="00256FE8"/>
    <w:rsid w:val="00257088"/>
    <w:rsid w:val="00257442"/>
    <w:rsid w:val="00264805"/>
    <w:rsid w:val="00265230"/>
    <w:rsid w:val="00270112"/>
    <w:rsid w:val="00273925"/>
    <w:rsid w:val="002762D3"/>
    <w:rsid w:val="00282904"/>
    <w:rsid w:val="00282AA1"/>
    <w:rsid w:val="00283AA5"/>
    <w:rsid w:val="0028473F"/>
    <w:rsid w:val="00284BA0"/>
    <w:rsid w:val="00284C59"/>
    <w:rsid w:val="002851F7"/>
    <w:rsid w:val="00286E08"/>
    <w:rsid w:val="00294A59"/>
    <w:rsid w:val="00297AFE"/>
    <w:rsid w:val="002A0835"/>
    <w:rsid w:val="002A1D62"/>
    <w:rsid w:val="002A25BF"/>
    <w:rsid w:val="002A48CF"/>
    <w:rsid w:val="002B0C66"/>
    <w:rsid w:val="002B137C"/>
    <w:rsid w:val="002B20EB"/>
    <w:rsid w:val="002B490E"/>
    <w:rsid w:val="002B4D96"/>
    <w:rsid w:val="002B5D89"/>
    <w:rsid w:val="002B6FB1"/>
    <w:rsid w:val="002B7513"/>
    <w:rsid w:val="002C2BEB"/>
    <w:rsid w:val="002C3059"/>
    <w:rsid w:val="002C32AE"/>
    <w:rsid w:val="002C3B33"/>
    <w:rsid w:val="002C5C51"/>
    <w:rsid w:val="002D075F"/>
    <w:rsid w:val="002D18CA"/>
    <w:rsid w:val="002D5975"/>
    <w:rsid w:val="002D5C66"/>
    <w:rsid w:val="002E20C7"/>
    <w:rsid w:val="002E2B5D"/>
    <w:rsid w:val="002E4B22"/>
    <w:rsid w:val="002E6021"/>
    <w:rsid w:val="002E6B63"/>
    <w:rsid w:val="002F1A39"/>
    <w:rsid w:val="002F1A9A"/>
    <w:rsid w:val="002F73B7"/>
    <w:rsid w:val="003009BB"/>
    <w:rsid w:val="0030110D"/>
    <w:rsid w:val="003051D1"/>
    <w:rsid w:val="00311926"/>
    <w:rsid w:val="0031363D"/>
    <w:rsid w:val="00313B60"/>
    <w:rsid w:val="00316E19"/>
    <w:rsid w:val="003249AE"/>
    <w:rsid w:val="00330C32"/>
    <w:rsid w:val="003324BE"/>
    <w:rsid w:val="0033442E"/>
    <w:rsid w:val="00336E1C"/>
    <w:rsid w:val="00346326"/>
    <w:rsid w:val="00346735"/>
    <w:rsid w:val="003517D4"/>
    <w:rsid w:val="00351A36"/>
    <w:rsid w:val="003527A1"/>
    <w:rsid w:val="003530ED"/>
    <w:rsid w:val="00354A21"/>
    <w:rsid w:val="00355146"/>
    <w:rsid w:val="00361AD1"/>
    <w:rsid w:val="0037152B"/>
    <w:rsid w:val="00377341"/>
    <w:rsid w:val="0039072C"/>
    <w:rsid w:val="0039235E"/>
    <w:rsid w:val="00392743"/>
    <w:rsid w:val="003979F8"/>
    <w:rsid w:val="003A64A5"/>
    <w:rsid w:val="003A7B8B"/>
    <w:rsid w:val="003B08C0"/>
    <w:rsid w:val="003B702C"/>
    <w:rsid w:val="003C2978"/>
    <w:rsid w:val="003C377B"/>
    <w:rsid w:val="003C79A3"/>
    <w:rsid w:val="003D247A"/>
    <w:rsid w:val="003D2F24"/>
    <w:rsid w:val="003D3866"/>
    <w:rsid w:val="003D4AA3"/>
    <w:rsid w:val="003D69A0"/>
    <w:rsid w:val="003D7D00"/>
    <w:rsid w:val="003E231A"/>
    <w:rsid w:val="003E2424"/>
    <w:rsid w:val="003E3A99"/>
    <w:rsid w:val="003E3CDF"/>
    <w:rsid w:val="003E495A"/>
    <w:rsid w:val="003E5765"/>
    <w:rsid w:val="003E7854"/>
    <w:rsid w:val="003F0C61"/>
    <w:rsid w:val="003F2BD8"/>
    <w:rsid w:val="003F3EA9"/>
    <w:rsid w:val="00403658"/>
    <w:rsid w:val="004040EA"/>
    <w:rsid w:val="004118FB"/>
    <w:rsid w:val="00413781"/>
    <w:rsid w:val="00413E4A"/>
    <w:rsid w:val="00423BE3"/>
    <w:rsid w:val="00425308"/>
    <w:rsid w:val="00426ED1"/>
    <w:rsid w:val="00433182"/>
    <w:rsid w:val="00434D41"/>
    <w:rsid w:val="00434E66"/>
    <w:rsid w:val="00435240"/>
    <w:rsid w:val="00437412"/>
    <w:rsid w:val="00437BEE"/>
    <w:rsid w:val="00446819"/>
    <w:rsid w:val="00452D93"/>
    <w:rsid w:val="00455E44"/>
    <w:rsid w:val="004576AD"/>
    <w:rsid w:val="00461856"/>
    <w:rsid w:val="004622A6"/>
    <w:rsid w:val="0046398F"/>
    <w:rsid w:val="00463E70"/>
    <w:rsid w:val="00463F41"/>
    <w:rsid w:val="004653AF"/>
    <w:rsid w:val="00470038"/>
    <w:rsid w:val="00476137"/>
    <w:rsid w:val="00481503"/>
    <w:rsid w:val="00483662"/>
    <w:rsid w:val="00484979"/>
    <w:rsid w:val="00490141"/>
    <w:rsid w:val="00490FFE"/>
    <w:rsid w:val="0049200F"/>
    <w:rsid w:val="00493367"/>
    <w:rsid w:val="00496E97"/>
    <w:rsid w:val="004A1FC2"/>
    <w:rsid w:val="004A246D"/>
    <w:rsid w:val="004A2ED8"/>
    <w:rsid w:val="004A419A"/>
    <w:rsid w:val="004A5915"/>
    <w:rsid w:val="004A5CA4"/>
    <w:rsid w:val="004A60F3"/>
    <w:rsid w:val="004A6911"/>
    <w:rsid w:val="004A6E1E"/>
    <w:rsid w:val="004A7D92"/>
    <w:rsid w:val="004B2A5D"/>
    <w:rsid w:val="004B5991"/>
    <w:rsid w:val="004C742C"/>
    <w:rsid w:val="004E0524"/>
    <w:rsid w:val="004E0892"/>
    <w:rsid w:val="004E1F00"/>
    <w:rsid w:val="004E607E"/>
    <w:rsid w:val="004E7721"/>
    <w:rsid w:val="004F0AAC"/>
    <w:rsid w:val="004F28D7"/>
    <w:rsid w:val="00500041"/>
    <w:rsid w:val="00501862"/>
    <w:rsid w:val="00506263"/>
    <w:rsid w:val="005129AF"/>
    <w:rsid w:val="005131A0"/>
    <w:rsid w:val="00522BD0"/>
    <w:rsid w:val="00524470"/>
    <w:rsid w:val="00525E6E"/>
    <w:rsid w:val="005270D9"/>
    <w:rsid w:val="0053429C"/>
    <w:rsid w:val="00542E41"/>
    <w:rsid w:val="00554FD7"/>
    <w:rsid w:val="005557E8"/>
    <w:rsid w:val="005564E9"/>
    <w:rsid w:val="00560231"/>
    <w:rsid w:val="00562E3C"/>
    <w:rsid w:val="00563F1C"/>
    <w:rsid w:val="00564295"/>
    <w:rsid w:val="00567EEC"/>
    <w:rsid w:val="00577C59"/>
    <w:rsid w:val="00580691"/>
    <w:rsid w:val="00584D32"/>
    <w:rsid w:val="0058559D"/>
    <w:rsid w:val="00586141"/>
    <w:rsid w:val="00591720"/>
    <w:rsid w:val="00591E6F"/>
    <w:rsid w:val="0059311E"/>
    <w:rsid w:val="00593545"/>
    <w:rsid w:val="0059704C"/>
    <w:rsid w:val="005A7056"/>
    <w:rsid w:val="005A7B6B"/>
    <w:rsid w:val="005A7EA1"/>
    <w:rsid w:val="005B0AFF"/>
    <w:rsid w:val="005B0D0B"/>
    <w:rsid w:val="005B17C7"/>
    <w:rsid w:val="005B6531"/>
    <w:rsid w:val="005B7F47"/>
    <w:rsid w:val="005C139D"/>
    <w:rsid w:val="005C16E0"/>
    <w:rsid w:val="005D254C"/>
    <w:rsid w:val="005D4968"/>
    <w:rsid w:val="005D5B0E"/>
    <w:rsid w:val="005D6470"/>
    <w:rsid w:val="005D6615"/>
    <w:rsid w:val="005D6D65"/>
    <w:rsid w:val="005E0046"/>
    <w:rsid w:val="005E051F"/>
    <w:rsid w:val="005E54C6"/>
    <w:rsid w:val="005E5983"/>
    <w:rsid w:val="005E5E1B"/>
    <w:rsid w:val="005E60B5"/>
    <w:rsid w:val="005E7938"/>
    <w:rsid w:val="005F134B"/>
    <w:rsid w:val="00601BCA"/>
    <w:rsid w:val="00604F75"/>
    <w:rsid w:val="00610E88"/>
    <w:rsid w:val="00611174"/>
    <w:rsid w:val="00612A94"/>
    <w:rsid w:val="00612B14"/>
    <w:rsid w:val="00615BBC"/>
    <w:rsid w:val="00620145"/>
    <w:rsid w:val="00623792"/>
    <w:rsid w:val="006304CC"/>
    <w:rsid w:val="00634B72"/>
    <w:rsid w:val="006357F7"/>
    <w:rsid w:val="0063696E"/>
    <w:rsid w:val="006403E1"/>
    <w:rsid w:val="0064776F"/>
    <w:rsid w:val="00650307"/>
    <w:rsid w:val="00655431"/>
    <w:rsid w:val="00662B25"/>
    <w:rsid w:val="00663F13"/>
    <w:rsid w:val="006643B1"/>
    <w:rsid w:val="00666DEC"/>
    <w:rsid w:val="00670D9D"/>
    <w:rsid w:val="0067305E"/>
    <w:rsid w:val="0067414F"/>
    <w:rsid w:val="00674664"/>
    <w:rsid w:val="00680573"/>
    <w:rsid w:val="00680FFB"/>
    <w:rsid w:val="00681A03"/>
    <w:rsid w:val="0068364B"/>
    <w:rsid w:val="00690971"/>
    <w:rsid w:val="0069568B"/>
    <w:rsid w:val="0069682B"/>
    <w:rsid w:val="006B79C7"/>
    <w:rsid w:val="006C19F9"/>
    <w:rsid w:val="006C475D"/>
    <w:rsid w:val="006D2EED"/>
    <w:rsid w:val="006D316A"/>
    <w:rsid w:val="006D6960"/>
    <w:rsid w:val="006E437D"/>
    <w:rsid w:val="00702BE5"/>
    <w:rsid w:val="00704500"/>
    <w:rsid w:val="00704539"/>
    <w:rsid w:val="00713930"/>
    <w:rsid w:val="007143F3"/>
    <w:rsid w:val="00717ED2"/>
    <w:rsid w:val="00724C15"/>
    <w:rsid w:val="00726BF6"/>
    <w:rsid w:val="00727808"/>
    <w:rsid w:val="007316EE"/>
    <w:rsid w:val="00734124"/>
    <w:rsid w:val="0073499A"/>
    <w:rsid w:val="00735F1E"/>
    <w:rsid w:val="0073630D"/>
    <w:rsid w:val="00737AE2"/>
    <w:rsid w:val="00742C27"/>
    <w:rsid w:val="00743E6C"/>
    <w:rsid w:val="00746B4B"/>
    <w:rsid w:val="00747CB6"/>
    <w:rsid w:val="007500D4"/>
    <w:rsid w:val="00751132"/>
    <w:rsid w:val="007513CE"/>
    <w:rsid w:val="007521AF"/>
    <w:rsid w:val="00753103"/>
    <w:rsid w:val="0075484F"/>
    <w:rsid w:val="007573D2"/>
    <w:rsid w:val="007616DB"/>
    <w:rsid w:val="00763A1C"/>
    <w:rsid w:val="00770DD1"/>
    <w:rsid w:val="00771B14"/>
    <w:rsid w:val="00771D86"/>
    <w:rsid w:val="0078347C"/>
    <w:rsid w:val="00791040"/>
    <w:rsid w:val="00792048"/>
    <w:rsid w:val="00793A68"/>
    <w:rsid w:val="0079494B"/>
    <w:rsid w:val="007959C0"/>
    <w:rsid w:val="007962A1"/>
    <w:rsid w:val="0079791A"/>
    <w:rsid w:val="007A5256"/>
    <w:rsid w:val="007B01B5"/>
    <w:rsid w:val="007B2738"/>
    <w:rsid w:val="007B685F"/>
    <w:rsid w:val="007D125C"/>
    <w:rsid w:val="007D5890"/>
    <w:rsid w:val="007E2334"/>
    <w:rsid w:val="007E6551"/>
    <w:rsid w:val="007E67C6"/>
    <w:rsid w:val="007F3A3E"/>
    <w:rsid w:val="007F726C"/>
    <w:rsid w:val="00800A3D"/>
    <w:rsid w:val="00803CC0"/>
    <w:rsid w:val="0080672E"/>
    <w:rsid w:val="00810864"/>
    <w:rsid w:val="00811A09"/>
    <w:rsid w:val="00812FAF"/>
    <w:rsid w:val="00812FC1"/>
    <w:rsid w:val="0081331F"/>
    <w:rsid w:val="008134A1"/>
    <w:rsid w:val="00816E00"/>
    <w:rsid w:val="00821DC3"/>
    <w:rsid w:val="00822FD8"/>
    <w:rsid w:val="008249F2"/>
    <w:rsid w:val="0083015B"/>
    <w:rsid w:val="00833A93"/>
    <w:rsid w:val="008340E6"/>
    <w:rsid w:val="008362E0"/>
    <w:rsid w:val="00836E5F"/>
    <w:rsid w:val="00837421"/>
    <w:rsid w:val="008407CC"/>
    <w:rsid w:val="00841CE7"/>
    <w:rsid w:val="00843230"/>
    <w:rsid w:val="008513BA"/>
    <w:rsid w:val="00852539"/>
    <w:rsid w:val="00852DEC"/>
    <w:rsid w:val="00853200"/>
    <w:rsid w:val="008532AA"/>
    <w:rsid w:val="00855D58"/>
    <w:rsid w:val="0085740B"/>
    <w:rsid w:val="008620D4"/>
    <w:rsid w:val="008632F6"/>
    <w:rsid w:val="0086473A"/>
    <w:rsid w:val="00865782"/>
    <w:rsid w:val="0086701C"/>
    <w:rsid w:val="0086720C"/>
    <w:rsid w:val="0087033B"/>
    <w:rsid w:val="00873B13"/>
    <w:rsid w:val="00880A2C"/>
    <w:rsid w:val="008867F6"/>
    <w:rsid w:val="00890536"/>
    <w:rsid w:val="00890BCB"/>
    <w:rsid w:val="008929EC"/>
    <w:rsid w:val="008B4EB5"/>
    <w:rsid w:val="008C2DC7"/>
    <w:rsid w:val="008D051F"/>
    <w:rsid w:val="008D1152"/>
    <w:rsid w:val="008D5F59"/>
    <w:rsid w:val="008D7B74"/>
    <w:rsid w:val="008E0A38"/>
    <w:rsid w:val="008E1FE5"/>
    <w:rsid w:val="008E2747"/>
    <w:rsid w:val="008E3C27"/>
    <w:rsid w:val="00902740"/>
    <w:rsid w:val="0090322B"/>
    <w:rsid w:val="0090503F"/>
    <w:rsid w:val="009127DB"/>
    <w:rsid w:val="0091575C"/>
    <w:rsid w:val="009165C7"/>
    <w:rsid w:val="00925785"/>
    <w:rsid w:val="009257B8"/>
    <w:rsid w:val="00931AA4"/>
    <w:rsid w:val="0093350E"/>
    <w:rsid w:val="009448DA"/>
    <w:rsid w:val="00947854"/>
    <w:rsid w:val="0095032D"/>
    <w:rsid w:val="009529F5"/>
    <w:rsid w:val="0095322B"/>
    <w:rsid w:val="009549EA"/>
    <w:rsid w:val="00960614"/>
    <w:rsid w:val="00965E4E"/>
    <w:rsid w:val="00966ABD"/>
    <w:rsid w:val="0097124B"/>
    <w:rsid w:val="00973CB9"/>
    <w:rsid w:val="00973D5B"/>
    <w:rsid w:val="00974C5A"/>
    <w:rsid w:val="00975547"/>
    <w:rsid w:val="0097739A"/>
    <w:rsid w:val="0097764B"/>
    <w:rsid w:val="009809D7"/>
    <w:rsid w:val="0098479B"/>
    <w:rsid w:val="00986438"/>
    <w:rsid w:val="009867E7"/>
    <w:rsid w:val="009922AF"/>
    <w:rsid w:val="00995791"/>
    <w:rsid w:val="00995A1B"/>
    <w:rsid w:val="0099609A"/>
    <w:rsid w:val="009A248F"/>
    <w:rsid w:val="009C519A"/>
    <w:rsid w:val="009D04F8"/>
    <w:rsid w:val="009D4673"/>
    <w:rsid w:val="009F7A84"/>
    <w:rsid w:val="00A00EE2"/>
    <w:rsid w:val="00A030F9"/>
    <w:rsid w:val="00A05608"/>
    <w:rsid w:val="00A0740A"/>
    <w:rsid w:val="00A07C2C"/>
    <w:rsid w:val="00A14843"/>
    <w:rsid w:val="00A203E7"/>
    <w:rsid w:val="00A26E0F"/>
    <w:rsid w:val="00A30EB8"/>
    <w:rsid w:val="00A31916"/>
    <w:rsid w:val="00A344F4"/>
    <w:rsid w:val="00A359AF"/>
    <w:rsid w:val="00A42E51"/>
    <w:rsid w:val="00A45466"/>
    <w:rsid w:val="00A57519"/>
    <w:rsid w:val="00A57F87"/>
    <w:rsid w:val="00A61F4F"/>
    <w:rsid w:val="00A66BB2"/>
    <w:rsid w:val="00A67C00"/>
    <w:rsid w:val="00A739E8"/>
    <w:rsid w:val="00A7532F"/>
    <w:rsid w:val="00A75767"/>
    <w:rsid w:val="00A77C9B"/>
    <w:rsid w:val="00A809F2"/>
    <w:rsid w:val="00A81D10"/>
    <w:rsid w:val="00A83D42"/>
    <w:rsid w:val="00A939FA"/>
    <w:rsid w:val="00AA710D"/>
    <w:rsid w:val="00AB3066"/>
    <w:rsid w:val="00AB4C14"/>
    <w:rsid w:val="00AB7B8E"/>
    <w:rsid w:val="00AB7BC8"/>
    <w:rsid w:val="00AC243C"/>
    <w:rsid w:val="00AC2A3B"/>
    <w:rsid w:val="00AC4CA5"/>
    <w:rsid w:val="00AD0E41"/>
    <w:rsid w:val="00AD31A1"/>
    <w:rsid w:val="00AD76C4"/>
    <w:rsid w:val="00AE3F6D"/>
    <w:rsid w:val="00AE5E7B"/>
    <w:rsid w:val="00AF10E0"/>
    <w:rsid w:val="00AF4DE5"/>
    <w:rsid w:val="00AF6669"/>
    <w:rsid w:val="00AF6AA5"/>
    <w:rsid w:val="00B20EB1"/>
    <w:rsid w:val="00B22A8E"/>
    <w:rsid w:val="00B25686"/>
    <w:rsid w:val="00B307D3"/>
    <w:rsid w:val="00B32F56"/>
    <w:rsid w:val="00B33285"/>
    <w:rsid w:val="00B3689B"/>
    <w:rsid w:val="00B36C2C"/>
    <w:rsid w:val="00B37516"/>
    <w:rsid w:val="00B37B16"/>
    <w:rsid w:val="00B406E3"/>
    <w:rsid w:val="00B43287"/>
    <w:rsid w:val="00B43C54"/>
    <w:rsid w:val="00B454D1"/>
    <w:rsid w:val="00B53E9E"/>
    <w:rsid w:val="00B53F2A"/>
    <w:rsid w:val="00B621F6"/>
    <w:rsid w:val="00B661BE"/>
    <w:rsid w:val="00B67966"/>
    <w:rsid w:val="00B7608D"/>
    <w:rsid w:val="00B8153D"/>
    <w:rsid w:val="00B820E5"/>
    <w:rsid w:val="00B8748E"/>
    <w:rsid w:val="00B87DEA"/>
    <w:rsid w:val="00BA17F9"/>
    <w:rsid w:val="00BA1EE6"/>
    <w:rsid w:val="00BB2556"/>
    <w:rsid w:val="00BB402D"/>
    <w:rsid w:val="00BB4DD3"/>
    <w:rsid w:val="00BB5999"/>
    <w:rsid w:val="00BB6FAF"/>
    <w:rsid w:val="00BB73D3"/>
    <w:rsid w:val="00BB7A46"/>
    <w:rsid w:val="00BC1A89"/>
    <w:rsid w:val="00BC5D49"/>
    <w:rsid w:val="00BE0523"/>
    <w:rsid w:val="00BE1352"/>
    <w:rsid w:val="00BE14DD"/>
    <w:rsid w:val="00BE1601"/>
    <w:rsid w:val="00BE3929"/>
    <w:rsid w:val="00BE6BDC"/>
    <w:rsid w:val="00BF1681"/>
    <w:rsid w:val="00BF426A"/>
    <w:rsid w:val="00BF6BEF"/>
    <w:rsid w:val="00C008CD"/>
    <w:rsid w:val="00C027CB"/>
    <w:rsid w:val="00C03B9A"/>
    <w:rsid w:val="00C109AC"/>
    <w:rsid w:val="00C11981"/>
    <w:rsid w:val="00C12AEB"/>
    <w:rsid w:val="00C24659"/>
    <w:rsid w:val="00C24948"/>
    <w:rsid w:val="00C405EB"/>
    <w:rsid w:val="00C40E27"/>
    <w:rsid w:val="00C50442"/>
    <w:rsid w:val="00C51944"/>
    <w:rsid w:val="00C56743"/>
    <w:rsid w:val="00C5701C"/>
    <w:rsid w:val="00C57E63"/>
    <w:rsid w:val="00C61473"/>
    <w:rsid w:val="00C63247"/>
    <w:rsid w:val="00C6374C"/>
    <w:rsid w:val="00C67FD9"/>
    <w:rsid w:val="00C70711"/>
    <w:rsid w:val="00C76617"/>
    <w:rsid w:val="00C80A75"/>
    <w:rsid w:val="00C82116"/>
    <w:rsid w:val="00C82807"/>
    <w:rsid w:val="00C8336A"/>
    <w:rsid w:val="00C84EF2"/>
    <w:rsid w:val="00C97F05"/>
    <w:rsid w:val="00CA3978"/>
    <w:rsid w:val="00CA4DC9"/>
    <w:rsid w:val="00CA6AD9"/>
    <w:rsid w:val="00CA6C7F"/>
    <w:rsid w:val="00CB0863"/>
    <w:rsid w:val="00CB1301"/>
    <w:rsid w:val="00CB1977"/>
    <w:rsid w:val="00CB3426"/>
    <w:rsid w:val="00CB349B"/>
    <w:rsid w:val="00CB49B0"/>
    <w:rsid w:val="00CC1787"/>
    <w:rsid w:val="00CC3C9E"/>
    <w:rsid w:val="00CC3EC5"/>
    <w:rsid w:val="00CC3F01"/>
    <w:rsid w:val="00CC4905"/>
    <w:rsid w:val="00CD2D3D"/>
    <w:rsid w:val="00CD54EF"/>
    <w:rsid w:val="00CD55EB"/>
    <w:rsid w:val="00CD56D7"/>
    <w:rsid w:val="00CD6272"/>
    <w:rsid w:val="00CE1FE0"/>
    <w:rsid w:val="00CE31DA"/>
    <w:rsid w:val="00CE4AC6"/>
    <w:rsid w:val="00CE6751"/>
    <w:rsid w:val="00CE7FE9"/>
    <w:rsid w:val="00CF64F8"/>
    <w:rsid w:val="00D07B62"/>
    <w:rsid w:val="00D155A8"/>
    <w:rsid w:val="00D17B95"/>
    <w:rsid w:val="00D21CCD"/>
    <w:rsid w:val="00D23A8C"/>
    <w:rsid w:val="00D27630"/>
    <w:rsid w:val="00D31885"/>
    <w:rsid w:val="00D35610"/>
    <w:rsid w:val="00D35EE7"/>
    <w:rsid w:val="00D373FA"/>
    <w:rsid w:val="00D40DE0"/>
    <w:rsid w:val="00D464C3"/>
    <w:rsid w:val="00D46B6D"/>
    <w:rsid w:val="00D55D16"/>
    <w:rsid w:val="00D5658F"/>
    <w:rsid w:val="00D62382"/>
    <w:rsid w:val="00D64927"/>
    <w:rsid w:val="00D708F5"/>
    <w:rsid w:val="00D718A8"/>
    <w:rsid w:val="00D71E08"/>
    <w:rsid w:val="00D720D7"/>
    <w:rsid w:val="00D75780"/>
    <w:rsid w:val="00D81961"/>
    <w:rsid w:val="00D87DBC"/>
    <w:rsid w:val="00D91816"/>
    <w:rsid w:val="00D923FD"/>
    <w:rsid w:val="00D96B77"/>
    <w:rsid w:val="00DA3493"/>
    <w:rsid w:val="00DA53FB"/>
    <w:rsid w:val="00DA715C"/>
    <w:rsid w:val="00DB273B"/>
    <w:rsid w:val="00DC0310"/>
    <w:rsid w:val="00DC7FE0"/>
    <w:rsid w:val="00DD0494"/>
    <w:rsid w:val="00DD2F77"/>
    <w:rsid w:val="00DD323B"/>
    <w:rsid w:val="00DD40FF"/>
    <w:rsid w:val="00DD7DAA"/>
    <w:rsid w:val="00DF0C3B"/>
    <w:rsid w:val="00DF37EB"/>
    <w:rsid w:val="00DF3B47"/>
    <w:rsid w:val="00DF495F"/>
    <w:rsid w:val="00DF574D"/>
    <w:rsid w:val="00E012B3"/>
    <w:rsid w:val="00E0267C"/>
    <w:rsid w:val="00E043D1"/>
    <w:rsid w:val="00E10219"/>
    <w:rsid w:val="00E159AC"/>
    <w:rsid w:val="00E23797"/>
    <w:rsid w:val="00E240DA"/>
    <w:rsid w:val="00E2573D"/>
    <w:rsid w:val="00E2741C"/>
    <w:rsid w:val="00E34E0D"/>
    <w:rsid w:val="00E41223"/>
    <w:rsid w:val="00E41B7A"/>
    <w:rsid w:val="00E64FFD"/>
    <w:rsid w:val="00E7089C"/>
    <w:rsid w:val="00E71FC5"/>
    <w:rsid w:val="00E76066"/>
    <w:rsid w:val="00E768A7"/>
    <w:rsid w:val="00E77764"/>
    <w:rsid w:val="00E86E5D"/>
    <w:rsid w:val="00E870F8"/>
    <w:rsid w:val="00E904AF"/>
    <w:rsid w:val="00EA0923"/>
    <w:rsid w:val="00EA1DB8"/>
    <w:rsid w:val="00EB2F65"/>
    <w:rsid w:val="00EC6C49"/>
    <w:rsid w:val="00ED79E4"/>
    <w:rsid w:val="00ED7C06"/>
    <w:rsid w:val="00EE1D59"/>
    <w:rsid w:val="00EF259F"/>
    <w:rsid w:val="00EF73D2"/>
    <w:rsid w:val="00F018A5"/>
    <w:rsid w:val="00F03866"/>
    <w:rsid w:val="00F05C8A"/>
    <w:rsid w:val="00F0628B"/>
    <w:rsid w:val="00F06510"/>
    <w:rsid w:val="00F0695B"/>
    <w:rsid w:val="00F0725C"/>
    <w:rsid w:val="00F07E62"/>
    <w:rsid w:val="00F13366"/>
    <w:rsid w:val="00F24906"/>
    <w:rsid w:val="00F27732"/>
    <w:rsid w:val="00F31890"/>
    <w:rsid w:val="00F322E1"/>
    <w:rsid w:val="00F32C28"/>
    <w:rsid w:val="00F3344A"/>
    <w:rsid w:val="00F37A04"/>
    <w:rsid w:val="00F43A28"/>
    <w:rsid w:val="00F444DA"/>
    <w:rsid w:val="00F5588E"/>
    <w:rsid w:val="00F56F44"/>
    <w:rsid w:val="00F61ADA"/>
    <w:rsid w:val="00F655EE"/>
    <w:rsid w:val="00F7199A"/>
    <w:rsid w:val="00F72EE5"/>
    <w:rsid w:val="00F73EFE"/>
    <w:rsid w:val="00F75CB4"/>
    <w:rsid w:val="00F76057"/>
    <w:rsid w:val="00F768F1"/>
    <w:rsid w:val="00F80CCC"/>
    <w:rsid w:val="00F831B9"/>
    <w:rsid w:val="00F8430C"/>
    <w:rsid w:val="00F905EB"/>
    <w:rsid w:val="00F96472"/>
    <w:rsid w:val="00F968B0"/>
    <w:rsid w:val="00F9773B"/>
    <w:rsid w:val="00FA142A"/>
    <w:rsid w:val="00FA3148"/>
    <w:rsid w:val="00FA4CB4"/>
    <w:rsid w:val="00FA4FC1"/>
    <w:rsid w:val="00FA75CC"/>
    <w:rsid w:val="00FB12A7"/>
    <w:rsid w:val="00FB1AAC"/>
    <w:rsid w:val="00FB2DC8"/>
    <w:rsid w:val="00FB4118"/>
    <w:rsid w:val="00FB7ED5"/>
    <w:rsid w:val="00FC26D9"/>
    <w:rsid w:val="00FC2C37"/>
    <w:rsid w:val="00FC34F9"/>
    <w:rsid w:val="00FC59FA"/>
    <w:rsid w:val="00FD61B3"/>
    <w:rsid w:val="00FD70E4"/>
    <w:rsid w:val="00FD7B4C"/>
    <w:rsid w:val="00FE3758"/>
    <w:rsid w:val="00FE522D"/>
    <w:rsid w:val="00FF0E7D"/>
    <w:rsid w:val="00FF5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4D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CH" w:bidi="de-CH"/>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INMA Standard"/>
    <w:rsid w:val="00316E19"/>
    <w:pPr>
      <w:spacing w:line="260" w:lineRule="atLeast"/>
    </w:pPr>
    <w:rPr>
      <w:rFonts w:ascii="Arial" w:hAnsi="Arial"/>
    </w:rPr>
  </w:style>
  <w:style w:type="paragraph" w:styleId="Heading1">
    <w:name w:val="heading 1"/>
    <w:aliases w:val="FINMA Überschrift 1"/>
    <w:basedOn w:val="Normal"/>
    <w:next w:val="Normal"/>
    <w:qFormat/>
    <w:rsid w:val="00D87DBC"/>
    <w:pPr>
      <w:keepNext/>
      <w:numPr>
        <w:numId w:val="6"/>
      </w:numPr>
      <w:spacing w:before="600" w:after="480"/>
      <w:outlineLvl w:val="0"/>
    </w:pPr>
    <w:rPr>
      <w:rFonts w:cs="Arial"/>
      <w:b/>
      <w:bCs/>
      <w:kern w:val="32"/>
      <w:sz w:val="24"/>
      <w:szCs w:val="24"/>
    </w:rPr>
  </w:style>
  <w:style w:type="paragraph" w:styleId="Heading2">
    <w:name w:val="heading 2"/>
    <w:aliases w:val="FINMA Überschrift 2"/>
    <w:basedOn w:val="Normal"/>
    <w:next w:val="Normal"/>
    <w:qFormat/>
    <w:rsid w:val="00D87DBC"/>
    <w:pPr>
      <w:keepNext/>
      <w:numPr>
        <w:ilvl w:val="1"/>
        <w:numId w:val="6"/>
      </w:numPr>
      <w:spacing w:before="360" w:after="240"/>
      <w:ind w:right="-23"/>
      <w:outlineLvl w:val="1"/>
    </w:pPr>
    <w:rPr>
      <w:rFonts w:cs="Arial"/>
      <w:sz w:val="24"/>
    </w:rPr>
  </w:style>
  <w:style w:type="paragraph" w:styleId="Heading3">
    <w:name w:val="heading 3"/>
    <w:aliases w:val="FINMA Überschrift 3"/>
    <w:basedOn w:val="Normal"/>
    <w:next w:val="Normal"/>
    <w:uiPriority w:val="9"/>
    <w:qFormat/>
    <w:rsid w:val="00D87DBC"/>
    <w:pPr>
      <w:keepNext/>
      <w:numPr>
        <w:ilvl w:val="2"/>
        <w:numId w:val="6"/>
      </w:numPr>
      <w:spacing w:before="360" w:after="240"/>
      <w:outlineLvl w:val="2"/>
    </w:pPr>
    <w:rPr>
      <w:rFonts w:cs="Arial"/>
      <w:b/>
      <w:bCs/>
      <w:szCs w:val="26"/>
    </w:rPr>
  </w:style>
  <w:style w:type="paragraph" w:styleId="Heading4">
    <w:name w:val="heading 4"/>
    <w:aliases w:val="FINMA Überschrift 4"/>
    <w:basedOn w:val="Normal"/>
    <w:next w:val="Normal"/>
    <w:qFormat/>
    <w:rsid w:val="00D87DBC"/>
    <w:pPr>
      <w:keepNext/>
      <w:numPr>
        <w:ilvl w:val="3"/>
        <w:numId w:val="6"/>
      </w:numPr>
      <w:spacing w:before="360" w:after="240"/>
      <w:outlineLvl w:val="3"/>
    </w:pPr>
    <w:rPr>
      <w:rFonts w:cs="Arial"/>
      <w:bCs/>
      <w:szCs w:val="28"/>
    </w:rPr>
  </w:style>
  <w:style w:type="paragraph" w:styleId="Heading5">
    <w:name w:val="heading 5"/>
    <w:aliases w:val="FINMA Überschrift 5"/>
    <w:basedOn w:val="Normal"/>
    <w:next w:val="Normal"/>
    <w:qFormat/>
    <w:rsid w:val="00D87DBC"/>
    <w:pPr>
      <w:numPr>
        <w:ilvl w:val="4"/>
        <w:numId w:val="6"/>
      </w:numPr>
      <w:spacing w:before="360" w:after="240"/>
      <w:outlineLvl w:val="4"/>
    </w:pPr>
    <w:rPr>
      <w:bCs/>
      <w:szCs w:val="26"/>
    </w:rPr>
  </w:style>
  <w:style w:type="paragraph" w:styleId="Heading6">
    <w:name w:val="heading 6"/>
    <w:aliases w:val="FINMA Überschrift 6"/>
    <w:basedOn w:val="Normal"/>
    <w:next w:val="Normal"/>
    <w:qFormat/>
    <w:rsid w:val="00D87DBC"/>
    <w:pPr>
      <w:numPr>
        <w:ilvl w:val="5"/>
        <w:numId w:val="6"/>
      </w:numPr>
      <w:spacing w:before="360" w:after="240"/>
      <w:outlineLvl w:val="5"/>
    </w:pPr>
    <w:rPr>
      <w:rFonts w:cs="Arial"/>
      <w:bCs/>
    </w:rPr>
  </w:style>
  <w:style w:type="paragraph" w:styleId="Heading7">
    <w:name w:val="heading 7"/>
    <w:aliases w:val="FINMA Überschrift 7"/>
    <w:basedOn w:val="Normal"/>
    <w:next w:val="Normal"/>
    <w:qFormat/>
    <w:rsid w:val="00D87DBC"/>
    <w:pPr>
      <w:numPr>
        <w:ilvl w:val="6"/>
        <w:numId w:val="6"/>
      </w:numPr>
      <w:spacing w:before="360" w:after="240"/>
      <w:outlineLvl w:val="6"/>
    </w:pPr>
    <w:rPr>
      <w:rFonts w:cs="Arial"/>
      <w:bCs/>
      <w:szCs w:val="24"/>
    </w:rPr>
  </w:style>
  <w:style w:type="paragraph" w:styleId="Heading8">
    <w:name w:val="heading 8"/>
    <w:aliases w:val="FINMA Überschrift 8"/>
    <w:basedOn w:val="Normal"/>
    <w:next w:val="Normal"/>
    <w:qFormat/>
    <w:rsid w:val="00D87DBC"/>
    <w:pPr>
      <w:numPr>
        <w:ilvl w:val="7"/>
        <w:numId w:val="6"/>
      </w:numPr>
      <w:spacing w:before="360" w:after="240"/>
      <w:outlineLvl w:val="7"/>
    </w:pPr>
    <w:rPr>
      <w:rFonts w:cs="Arial"/>
      <w:bCs/>
      <w:szCs w:val="24"/>
    </w:rPr>
  </w:style>
  <w:style w:type="paragraph" w:styleId="Heading9">
    <w:name w:val="heading 9"/>
    <w:aliases w:val="FINMA Überschrift 9"/>
    <w:basedOn w:val="Normal"/>
    <w:next w:val="Normal"/>
    <w:qFormat/>
    <w:rsid w:val="00D87DBC"/>
    <w:pPr>
      <w:numPr>
        <w:ilvl w:val="8"/>
        <w:numId w:val="6"/>
      </w:numPr>
      <w:spacing w:before="360" w:after="240"/>
      <w:outlineLvl w:val="8"/>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aliases w:val="FINMA Anrede"/>
    <w:basedOn w:val="Normal"/>
    <w:next w:val="Normal"/>
    <w:link w:val="SalutationChar"/>
    <w:rsid w:val="00D87DBC"/>
    <w:pPr>
      <w:spacing w:before="260" w:after="260"/>
    </w:pPr>
    <w:rPr>
      <w:noProof/>
    </w:rPr>
  </w:style>
  <w:style w:type="character" w:customStyle="1" w:styleId="SalutationChar">
    <w:name w:val="Salutation Char"/>
    <w:aliases w:val="FINMA Anrede Char"/>
    <w:basedOn w:val="DefaultParagraphFont"/>
    <w:link w:val="Salutation"/>
    <w:rsid w:val="00D87DBC"/>
    <w:rPr>
      <w:rFonts w:ascii="Arial" w:hAnsi="Arial"/>
      <w:noProof/>
      <w:lang w:eastAsia="de-CH"/>
    </w:rPr>
  </w:style>
  <w:style w:type="paragraph" w:customStyle="1" w:styleId="FINMAAufzhlungEbene1">
    <w:name w:val="FINMA Aufzählung Ebene 1"/>
    <w:basedOn w:val="Normal"/>
    <w:qFormat/>
    <w:rsid w:val="00483662"/>
    <w:pPr>
      <w:numPr>
        <w:numId w:val="1"/>
      </w:numPr>
      <w:spacing w:after="80"/>
    </w:pPr>
  </w:style>
  <w:style w:type="paragraph" w:customStyle="1" w:styleId="FINMAAufzhlungEbene2">
    <w:name w:val="FINMA Aufzählung Ebene 2"/>
    <w:basedOn w:val="Normal"/>
    <w:qFormat/>
    <w:rsid w:val="00483662"/>
    <w:pPr>
      <w:numPr>
        <w:numId w:val="2"/>
      </w:numPr>
      <w:tabs>
        <w:tab w:val="left" w:pos="312"/>
      </w:tabs>
      <w:spacing w:after="80"/>
      <w:ind w:left="765" w:hanging="357"/>
    </w:pPr>
  </w:style>
  <w:style w:type="paragraph" w:customStyle="1" w:styleId="FINMAAufzhlungEbene3">
    <w:name w:val="FINMA Aufzählung Ebene 3"/>
    <w:basedOn w:val="Normal"/>
    <w:qFormat/>
    <w:rsid w:val="00483662"/>
    <w:pPr>
      <w:numPr>
        <w:numId w:val="3"/>
      </w:numPr>
      <w:tabs>
        <w:tab w:val="left" w:pos="1038"/>
      </w:tabs>
      <w:spacing w:after="80"/>
      <w:ind w:left="1077" w:hanging="357"/>
    </w:pPr>
  </w:style>
  <w:style w:type="paragraph" w:customStyle="1" w:styleId="FINMAAufzhlungEbene4">
    <w:name w:val="FINMA Aufzählung Ebene 4"/>
    <w:basedOn w:val="FINMAAufzhlungEbene3"/>
    <w:rsid w:val="003051D1"/>
    <w:pPr>
      <w:numPr>
        <w:numId w:val="4"/>
      </w:numPr>
      <w:tabs>
        <w:tab w:val="clear" w:pos="1038"/>
        <w:tab w:val="left" w:pos="1315"/>
      </w:tabs>
      <w:ind w:left="1406" w:hanging="357"/>
    </w:pPr>
  </w:style>
  <w:style w:type="paragraph" w:customStyle="1" w:styleId="FINMABeilagen">
    <w:name w:val="FINMA Beilagen"/>
    <w:basedOn w:val="Normal"/>
    <w:next w:val="Normal"/>
    <w:rsid w:val="00D87DBC"/>
    <w:pPr>
      <w:tabs>
        <w:tab w:val="left" w:pos="1260"/>
      </w:tabs>
      <w:spacing w:before="840" w:after="260"/>
      <w:ind w:left="1259" w:hanging="1259"/>
    </w:pPr>
    <w:rPr>
      <w:szCs w:val="22"/>
    </w:rPr>
  </w:style>
  <w:style w:type="paragraph" w:customStyle="1" w:styleId="FINMABetreff">
    <w:name w:val="FINMA Betreff"/>
    <w:basedOn w:val="Normal"/>
    <w:rsid w:val="00D87DBC"/>
    <w:pPr>
      <w:spacing w:before="360"/>
    </w:pPr>
    <w:rPr>
      <w:rFonts w:cs="Arial"/>
      <w:b/>
      <w:szCs w:val="22"/>
    </w:rPr>
  </w:style>
  <w:style w:type="paragraph" w:customStyle="1" w:styleId="FINMAStandardAbsatz">
    <w:name w:val="FINMA Standard Absatz"/>
    <w:basedOn w:val="Normal"/>
    <w:qFormat/>
    <w:rsid w:val="00483662"/>
    <w:pPr>
      <w:spacing w:before="260" w:after="260"/>
    </w:pPr>
  </w:style>
  <w:style w:type="paragraph" w:customStyle="1" w:styleId="FINMAGeheim">
    <w:name w:val="FINMA Geheim"/>
    <w:basedOn w:val="FINMAStandardAbsatz"/>
    <w:next w:val="FINMAStandardAbsatz"/>
    <w:rsid w:val="00D87DBC"/>
    <w:pPr>
      <w:spacing w:after="0"/>
    </w:pPr>
    <w:rPr>
      <w:b/>
    </w:rPr>
  </w:style>
  <w:style w:type="paragraph" w:customStyle="1" w:styleId="FINMAGliederungEbene1">
    <w:name w:val="FINMA Gliederung Ebene 1"/>
    <w:basedOn w:val="Normal"/>
    <w:qFormat/>
    <w:rsid w:val="00483662"/>
    <w:pPr>
      <w:numPr>
        <w:numId w:val="5"/>
      </w:numPr>
      <w:spacing w:after="80"/>
    </w:pPr>
    <w:rPr>
      <w:rFonts w:cs="Arial"/>
      <w:szCs w:val="22"/>
    </w:rPr>
  </w:style>
  <w:style w:type="paragraph" w:customStyle="1" w:styleId="FINMAGliederungEbene2">
    <w:name w:val="FINMA Gliederung Ebene 2"/>
    <w:basedOn w:val="Normal"/>
    <w:qFormat/>
    <w:rsid w:val="00483662"/>
    <w:pPr>
      <w:numPr>
        <w:ilvl w:val="1"/>
        <w:numId w:val="5"/>
      </w:numPr>
      <w:spacing w:after="80"/>
    </w:pPr>
    <w:rPr>
      <w:rFonts w:cs="Arial"/>
      <w:szCs w:val="22"/>
    </w:rPr>
  </w:style>
  <w:style w:type="paragraph" w:customStyle="1" w:styleId="FINMAGliederungEbene3">
    <w:name w:val="FINMA Gliederung Ebene 3"/>
    <w:basedOn w:val="Normal"/>
    <w:qFormat/>
    <w:rsid w:val="00483662"/>
    <w:pPr>
      <w:numPr>
        <w:ilvl w:val="2"/>
        <w:numId w:val="5"/>
      </w:numPr>
      <w:spacing w:after="80"/>
    </w:pPr>
    <w:rPr>
      <w:rFonts w:cs="Arial"/>
      <w:szCs w:val="22"/>
    </w:rPr>
  </w:style>
  <w:style w:type="paragraph" w:customStyle="1" w:styleId="FINMAGliederungEbene4">
    <w:name w:val="FINMA Gliederung Ebene 4"/>
    <w:basedOn w:val="Normal"/>
    <w:rsid w:val="00483662"/>
    <w:pPr>
      <w:numPr>
        <w:ilvl w:val="3"/>
        <w:numId w:val="5"/>
      </w:numPr>
      <w:spacing w:after="80"/>
    </w:pPr>
    <w:rPr>
      <w:rFonts w:cs="Arial"/>
      <w:szCs w:val="22"/>
    </w:rPr>
  </w:style>
  <w:style w:type="paragraph" w:customStyle="1" w:styleId="FINMAGrussformelFINMA">
    <w:name w:val="FINMA Grussformel FINMA"/>
    <w:basedOn w:val="Normal"/>
    <w:next w:val="FINMABeilagen"/>
    <w:rsid w:val="00D87DBC"/>
    <w:pPr>
      <w:tabs>
        <w:tab w:val="left" w:pos="5400"/>
      </w:tabs>
      <w:spacing w:before="520"/>
    </w:pPr>
    <w:rPr>
      <w:rFonts w:cs="Arial"/>
      <w:szCs w:val="22"/>
    </w:rPr>
  </w:style>
  <w:style w:type="paragraph" w:customStyle="1" w:styleId="FINMAKopie">
    <w:name w:val="FINMA Kopie"/>
    <w:basedOn w:val="FINMAStandardAbsatz"/>
    <w:next w:val="Normal"/>
    <w:rsid w:val="00D87DBC"/>
    <w:pPr>
      <w:tabs>
        <w:tab w:val="left" w:pos="1260"/>
      </w:tabs>
      <w:spacing w:after="0"/>
      <w:ind w:left="1259" w:hanging="1259"/>
    </w:pPr>
  </w:style>
  <w:style w:type="paragraph" w:customStyle="1" w:styleId="FINMANameundFunktion">
    <w:name w:val="FINMA Name und Funktion"/>
    <w:basedOn w:val="Normal"/>
    <w:rsid w:val="00D87DBC"/>
  </w:style>
  <w:style w:type="paragraph" w:customStyle="1" w:styleId="FINMAReferenuValue">
    <w:name w:val="FINMA ReferenuValue"/>
    <w:basedOn w:val="Normal"/>
    <w:rsid w:val="00D87DBC"/>
    <w:rPr>
      <w:sz w:val="16"/>
    </w:rPr>
  </w:style>
  <w:style w:type="paragraph" w:customStyle="1" w:styleId="FINMAReferenz">
    <w:name w:val="FINMA Referenz"/>
    <w:basedOn w:val="Normal"/>
    <w:rsid w:val="00D87DBC"/>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Normal"/>
    <w:rsid w:val="00D87DBC"/>
    <w:pPr>
      <w:framePr w:wrap="around"/>
    </w:pPr>
  </w:style>
  <w:style w:type="character" w:customStyle="1" w:styleId="FINMARf-AktnrZchn">
    <w:name w:val="FINMA Rf-Akt.nr. Zchn"/>
    <w:basedOn w:val="DefaultParagraphFont"/>
    <w:rsid w:val="00D87DBC"/>
    <w:rPr>
      <w:rFonts w:ascii="Arial" w:hAnsi="Arial"/>
      <w:sz w:val="16"/>
      <w:szCs w:val="16"/>
      <w:lang w:val="en-GB" w:eastAsia="de-CH" w:bidi="de-CH"/>
    </w:rPr>
  </w:style>
  <w:style w:type="paragraph" w:customStyle="1" w:styleId="FINMAStandardAbsatznachAufzzeichen">
    <w:name w:val="FINMA Standard Absatz nach Aufz.zeichen"/>
    <w:basedOn w:val="FINMAStandardAbsatz"/>
    <w:next w:val="FINMAStandardAbsatz"/>
    <w:rsid w:val="00D87DBC"/>
  </w:style>
  <w:style w:type="paragraph" w:customStyle="1" w:styleId="FINMATabellemitAufzzeichen">
    <w:name w:val="FINMA Tabelle mit Aufz.zeichen"/>
    <w:basedOn w:val="Normal"/>
    <w:rsid w:val="00D87DBC"/>
    <w:pPr>
      <w:tabs>
        <w:tab w:val="num" w:pos="360"/>
      </w:tabs>
      <w:spacing w:before="60" w:after="60"/>
      <w:ind w:left="360" w:hanging="360"/>
    </w:pPr>
    <w:rPr>
      <w:rFonts w:cs="Arial"/>
      <w:szCs w:val="24"/>
    </w:rPr>
  </w:style>
  <w:style w:type="paragraph" w:customStyle="1" w:styleId="FINMATabelleohneAufzzeichen">
    <w:name w:val="FINMA Tabelle ohne Aufz.zeichen"/>
    <w:basedOn w:val="Normal"/>
    <w:rsid w:val="00D87DBC"/>
    <w:pPr>
      <w:widowControl w:val="0"/>
      <w:spacing w:before="60" w:after="60"/>
    </w:pPr>
    <w:rPr>
      <w:rFonts w:cs="Arial"/>
    </w:rPr>
  </w:style>
  <w:style w:type="paragraph" w:customStyle="1" w:styleId="FINMATabelleTitel">
    <w:name w:val="FINMA Tabelle Titel"/>
    <w:basedOn w:val="Normal"/>
    <w:next w:val="FINMATabellemitAufzzeichen"/>
    <w:rsid w:val="00D87DBC"/>
    <w:pPr>
      <w:spacing w:before="60" w:after="60"/>
    </w:pPr>
    <w:rPr>
      <w:b/>
      <w:bCs/>
      <w:szCs w:val="24"/>
    </w:rPr>
  </w:style>
  <w:style w:type="paragraph" w:customStyle="1" w:styleId="FINMATitel">
    <w:name w:val="FINMA Titel"/>
    <w:basedOn w:val="FINMAStandardAbsatz"/>
    <w:rsid w:val="001749D6"/>
    <w:rPr>
      <w:sz w:val="40"/>
    </w:rPr>
  </w:style>
  <w:style w:type="paragraph" w:customStyle="1" w:styleId="FINMAUntertitel">
    <w:name w:val="FINMA Untertitel"/>
    <w:basedOn w:val="Salutation"/>
    <w:rsid w:val="003E231A"/>
    <w:rPr>
      <w:sz w:val="36"/>
    </w:rPr>
  </w:style>
  <w:style w:type="paragraph" w:customStyle="1" w:styleId="FINMAVertraulichkeitsvermerk">
    <w:name w:val="FINMA Vertraulichkeitsvermerk"/>
    <w:basedOn w:val="Normal"/>
    <w:qFormat/>
    <w:rsid w:val="00D87DBC"/>
    <w:rPr>
      <w:b/>
      <w:sz w:val="16"/>
    </w:rPr>
  </w:style>
  <w:style w:type="paragraph" w:styleId="Footer">
    <w:name w:val="footer"/>
    <w:aliases w:val="FINMA Fußzeile"/>
    <w:basedOn w:val="Normal"/>
    <w:link w:val="FooterChar"/>
    <w:uiPriority w:val="99"/>
    <w:rsid w:val="00D87DBC"/>
    <w:pPr>
      <w:tabs>
        <w:tab w:val="right" w:pos="8618"/>
      </w:tabs>
    </w:pPr>
    <w:rPr>
      <w:sz w:val="16"/>
    </w:rPr>
  </w:style>
  <w:style w:type="character" w:customStyle="1" w:styleId="FooterChar">
    <w:name w:val="Footer Char"/>
    <w:aliases w:val="FINMA Fußzeile Char"/>
    <w:basedOn w:val="DefaultParagraphFont"/>
    <w:link w:val="Footer"/>
    <w:uiPriority w:val="99"/>
    <w:rsid w:val="00D87DBC"/>
    <w:rPr>
      <w:rFonts w:ascii="Arial" w:hAnsi="Arial"/>
      <w:sz w:val="16"/>
      <w:lang w:eastAsia="de-CH"/>
    </w:rPr>
  </w:style>
  <w:style w:type="paragraph" w:styleId="Header">
    <w:name w:val="header"/>
    <w:aliases w:val="FINMA Kopfzeile"/>
    <w:basedOn w:val="Normal"/>
    <w:link w:val="HeaderChar"/>
    <w:uiPriority w:val="99"/>
    <w:rsid w:val="00D87DBC"/>
    <w:pPr>
      <w:tabs>
        <w:tab w:val="center" w:pos="4536"/>
        <w:tab w:val="right" w:pos="9072"/>
      </w:tabs>
    </w:pPr>
  </w:style>
  <w:style w:type="character" w:customStyle="1" w:styleId="HeaderChar">
    <w:name w:val="Header Char"/>
    <w:aliases w:val="FINMA Kopfzeile Char"/>
    <w:basedOn w:val="DefaultParagraphFont"/>
    <w:link w:val="Header"/>
    <w:uiPriority w:val="99"/>
    <w:rsid w:val="00D87DBC"/>
    <w:rPr>
      <w:rFonts w:ascii="Arial" w:hAnsi="Arial"/>
      <w:sz w:val="22"/>
      <w:lang w:eastAsia="de-CH"/>
    </w:rPr>
  </w:style>
  <w:style w:type="paragraph" w:styleId="TOC1">
    <w:name w:val="toc 1"/>
    <w:basedOn w:val="Normal"/>
    <w:next w:val="Normal"/>
    <w:autoRedefine/>
    <w:rsid w:val="00D87DBC"/>
    <w:pPr>
      <w:tabs>
        <w:tab w:val="left" w:pos="360"/>
        <w:tab w:val="right" w:leader="dot" w:pos="8280"/>
      </w:tabs>
      <w:spacing w:before="480" w:after="240"/>
      <w:ind w:left="357" w:right="822" w:hanging="357"/>
    </w:pPr>
    <w:rPr>
      <w:rFonts w:cs="Arial"/>
      <w:b/>
      <w:bCs/>
      <w:noProof/>
      <w:szCs w:val="22"/>
    </w:rPr>
  </w:style>
  <w:style w:type="paragraph" w:styleId="TOC2">
    <w:name w:val="toc 2"/>
    <w:basedOn w:val="Normal"/>
    <w:next w:val="FINMAStandardAbsatz"/>
    <w:autoRedefine/>
    <w:rsid w:val="00D87DBC"/>
    <w:pPr>
      <w:tabs>
        <w:tab w:val="left" w:pos="900"/>
        <w:tab w:val="right" w:leader="dot" w:pos="8278"/>
      </w:tabs>
      <w:spacing w:after="120"/>
      <w:ind w:left="896" w:right="822" w:hanging="561"/>
    </w:pPr>
    <w:rPr>
      <w:rFonts w:cs="Arial"/>
      <w:iCs/>
      <w:noProof/>
    </w:rPr>
  </w:style>
  <w:style w:type="paragraph" w:styleId="TOC3">
    <w:name w:val="toc 3"/>
    <w:basedOn w:val="Normal"/>
    <w:next w:val="FINMAStandardAbsatz"/>
    <w:autoRedefine/>
    <w:rsid w:val="00D87DBC"/>
    <w:pPr>
      <w:tabs>
        <w:tab w:val="left" w:pos="1980"/>
        <w:tab w:val="right" w:leader="dot" w:pos="8278"/>
      </w:tabs>
      <w:spacing w:after="120"/>
      <w:ind w:left="1979" w:right="822" w:hanging="1077"/>
    </w:pPr>
    <w:rPr>
      <w:rFonts w:cs="Arial"/>
    </w:rPr>
  </w:style>
  <w:style w:type="paragraph" w:styleId="TOC4">
    <w:name w:val="toc 4"/>
    <w:basedOn w:val="Normal"/>
    <w:next w:val="FINMAStandardAbsatz"/>
    <w:autoRedefine/>
    <w:rsid w:val="00D87DBC"/>
    <w:pPr>
      <w:tabs>
        <w:tab w:val="left" w:pos="1980"/>
        <w:tab w:val="right" w:leader="dot" w:pos="8278"/>
      </w:tabs>
      <w:spacing w:after="120"/>
      <w:ind w:left="1979" w:right="822" w:hanging="1077"/>
    </w:pPr>
    <w:rPr>
      <w:rFonts w:cs="Arial"/>
    </w:rPr>
  </w:style>
  <w:style w:type="paragraph" w:styleId="TOC5">
    <w:name w:val="toc 5"/>
    <w:basedOn w:val="Normal"/>
    <w:next w:val="FINMAStandardAbsatz"/>
    <w:autoRedefine/>
    <w:rsid w:val="00D87DBC"/>
    <w:pPr>
      <w:tabs>
        <w:tab w:val="left" w:pos="1980"/>
        <w:tab w:val="right" w:leader="dot" w:pos="8278"/>
      </w:tabs>
      <w:spacing w:after="120"/>
      <w:ind w:left="1979" w:right="822" w:hanging="1100"/>
    </w:pPr>
  </w:style>
  <w:style w:type="paragraph" w:styleId="TOC6">
    <w:name w:val="toc 6"/>
    <w:basedOn w:val="Normal"/>
    <w:next w:val="FINMAStandardAbsatz"/>
    <w:autoRedefine/>
    <w:rsid w:val="00D87DBC"/>
    <w:pPr>
      <w:tabs>
        <w:tab w:val="left" w:pos="1980"/>
        <w:tab w:val="right" w:leader="dot" w:pos="8273"/>
      </w:tabs>
      <w:spacing w:after="120"/>
      <w:ind w:left="1979" w:right="822" w:hanging="1072"/>
    </w:pPr>
    <w:rPr>
      <w:rFonts w:cs="Arial"/>
      <w:noProof/>
    </w:rPr>
  </w:style>
  <w:style w:type="paragraph" w:styleId="TOC7">
    <w:name w:val="toc 7"/>
    <w:basedOn w:val="Normal"/>
    <w:next w:val="FINMAStandardAbsatz"/>
    <w:autoRedefine/>
    <w:rsid w:val="00D87DBC"/>
    <w:pPr>
      <w:tabs>
        <w:tab w:val="left" w:pos="2520"/>
        <w:tab w:val="right" w:leader="dot" w:pos="8278"/>
      </w:tabs>
      <w:spacing w:after="120"/>
      <w:ind w:left="2524" w:right="822" w:hanging="1622"/>
    </w:pPr>
    <w:rPr>
      <w:rFonts w:cs="Arial"/>
    </w:rPr>
  </w:style>
  <w:style w:type="paragraph" w:styleId="TOC8">
    <w:name w:val="toc 8"/>
    <w:basedOn w:val="Normal"/>
    <w:next w:val="Normal"/>
    <w:autoRedefine/>
    <w:rsid w:val="00D87DBC"/>
    <w:pPr>
      <w:tabs>
        <w:tab w:val="left" w:pos="2520"/>
        <w:tab w:val="right" w:leader="dot" w:pos="8278"/>
      </w:tabs>
      <w:spacing w:after="120"/>
      <w:ind w:left="2524" w:right="822" w:hanging="1622"/>
    </w:pPr>
    <w:rPr>
      <w:rFonts w:cs="Arial"/>
    </w:rPr>
  </w:style>
  <w:style w:type="paragraph" w:styleId="TOC9">
    <w:name w:val="toc 9"/>
    <w:basedOn w:val="Normal"/>
    <w:next w:val="FINMAStandardAbsatz"/>
    <w:autoRedefine/>
    <w:rsid w:val="00D87DBC"/>
    <w:pPr>
      <w:tabs>
        <w:tab w:val="left" w:pos="2520"/>
        <w:tab w:val="right" w:leader="dot" w:pos="8278"/>
      </w:tabs>
      <w:spacing w:after="120"/>
      <w:ind w:left="2524" w:right="822" w:hanging="1622"/>
    </w:pPr>
    <w:rPr>
      <w:rFonts w:cs="Arial"/>
    </w:rPr>
  </w:style>
  <w:style w:type="paragraph" w:customStyle="1" w:styleId="FINMAGliederungEbene5">
    <w:name w:val="FINMA Gliederung Ebene 5"/>
    <w:basedOn w:val="Normal"/>
    <w:rsid w:val="00CC3C9E"/>
    <w:pPr>
      <w:numPr>
        <w:numId w:val="7"/>
      </w:numPr>
      <w:tabs>
        <w:tab w:val="left" w:pos="1004"/>
      </w:tabs>
      <w:spacing w:after="80" w:line="240" w:lineRule="auto"/>
      <w:outlineLvl w:val="4"/>
    </w:pPr>
    <w:rPr>
      <w:szCs w:val="16"/>
    </w:rPr>
  </w:style>
  <w:style w:type="paragraph" w:styleId="BalloonText">
    <w:name w:val="Balloon Text"/>
    <w:basedOn w:val="Normal"/>
    <w:link w:val="BalloonTextChar"/>
    <w:rsid w:val="00413E4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13E4A"/>
    <w:rPr>
      <w:rFonts w:ascii="Tahoma" w:hAnsi="Tahoma" w:cs="Tahoma"/>
      <w:sz w:val="16"/>
      <w:szCs w:val="16"/>
      <w:lang w:val="en-GB" w:eastAsia="de-CH"/>
    </w:rPr>
  </w:style>
  <w:style w:type="table" w:styleId="TableGrid">
    <w:name w:val="Table Grid"/>
    <w:basedOn w:val="TableNormal"/>
    <w:uiPriority w:val="59"/>
    <w:rsid w:val="008D11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NMAMarginalDocvalue">
    <w:name w:val="FINMA Marginal Docvalue"/>
    <w:basedOn w:val="Header"/>
    <w:rsid w:val="00D81961"/>
    <w:pPr>
      <w:framePr w:w="2835" w:wrap="around" w:vAnchor="page" w:hAnchor="page" w:xAlign="right" w:y="1419" w:anchorLock="1"/>
      <w:spacing w:after="120" w:line="180" w:lineRule="exact"/>
    </w:pPr>
    <w:rPr>
      <w:sz w:val="15"/>
    </w:rPr>
  </w:style>
  <w:style w:type="paragraph" w:styleId="ListParagraph">
    <w:name w:val="List Paragraph"/>
    <w:basedOn w:val="Normal"/>
    <w:uiPriority w:val="34"/>
    <w:qFormat/>
    <w:rsid w:val="00501862"/>
    <w:pPr>
      <w:spacing w:before="60" w:after="60" w:line="276" w:lineRule="auto"/>
      <w:ind w:left="720"/>
      <w:contextualSpacing/>
    </w:pPr>
    <w:rPr>
      <w:rFonts w:eastAsiaTheme="minorHAnsi" w:cstheme="minorBidi"/>
      <w:szCs w:val="22"/>
    </w:rPr>
  </w:style>
  <w:style w:type="paragraph" w:customStyle="1" w:styleId="Bullet">
    <w:name w:val="Bullet"/>
    <w:basedOn w:val="ListParagraph"/>
    <w:qFormat/>
    <w:rsid w:val="00501862"/>
    <w:pPr>
      <w:numPr>
        <w:numId w:val="8"/>
      </w:numPr>
      <w:spacing w:line="240" w:lineRule="auto"/>
      <w:contextualSpacing w:val="0"/>
    </w:pPr>
    <w:rPr>
      <w:rFonts w:cs="Arial"/>
      <w:sz w:val="16"/>
      <w:szCs w:val="16"/>
    </w:rPr>
  </w:style>
  <w:style w:type="paragraph" w:customStyle="1" w:styleId="EGABox1">
    <w:name w:val="EGA Box1"/>
    <w:basedOn w:val="Normal"/>
    <w:qFormat/>
    <w:rsid w:val="00501862"/>
    <w:pPr>
      <w:keepLines/>
      <w:tabs>
        <w:tab w:val="left" w:pos="27571"/>
        <w:tab w:val="left" w:pos="27996"/>
      </w:tabs>
      <w:autoSpaceDE w:val="0"/>
      <w:autoSpaceDN w:val="0"/>
      <w:adjustRightInd w:val="0"/>
      <w:spacing w:before="60" w:after="140" w:line="240" w:lineRule="atLeast"/>
      <w:ind w:left="357" w:hanging="357"/>
    </w:pPr>
    <w:rPr>
      <w:rFonts w:ascii="Georgia" w:eastAsia="Arial Unicode MS" w:hAnsi="Georgia" w:cs="Arial"/>
    </w:rPr>
  </w:style>
  <w:style w:type="numbering" w:customStyle="1" w:styleId="ListePP">
    <w:name w:val="Liste PP"/>
    <w:uiPriority w:val="99"/>
    <w:rsid w:val="005131A0"/>
    <w:pPr>
      <w:numPr>
        <w:numId w:val="20"/>
      </w:numPr>
    </w:pPr>
  </w:style>
  <w:style w:type="character" w:styleId="CommentReference">
    <w:name w:val="annotation reference"/>
    <w:basedOn w:val="DefaultParagraphFont"/>
    <w:uiPriority w:val="99"/>
    <w:semiHidden/>
    <w:unhideWhenUsed/>
    <w:rsid w:val="00DC0310"/>
    <w:rPr>
      <w:sz w:val="16"/>
      <w:szCs w:val="16"/>
    </w:rPr>
  </w:style>
  <w:style w:type="paragraph" w:styleId="CommentText">
    <w:name w:val="annotation text"/>
    <w:basedOn w:val="Normal"/>
    <w:link w:val="CommentTextChar"/>
    <w:uiPriority w:val="99"/>
    <w:semiHidden/>
    <w:unhideWhenUsed/>
    <w:rsid w:val="00DC0310"/>
    <w:pPr>
      <w:spacing w:line="240" w:lineRule="auto"/>
    </w:pPr>
  </w:style>
  <w:style w:type="character" w:customStyle="1" w:styleId="CommentTextChar">
    <w:name w:val="Comment Text Char"/>
    <w:basedOn w:val="DefaultParagraphFont"/>
    <w:link w:val="CommentText"/>
    <w:uiPriority w:val="99"/>
    <w:semiHidden/>
    <w:rsid w:val="00DC0310"/>
    <w:rPr>
      <w:rFonts w:ascii="Arial" w:hAnsi="Arial"/>
    </w:rPr>
  </w:style>
  <w:style w:type="paragraph" w:styleId="CommentSubject">
    <w:name w:val="annotation subject"/>
    <w:basedOn w:val="CommentText"/>
    <w:next w:val="CommentText"/>
    <w:link w:val="CommentSubjectChar"/>
    <w:semiHidden/>
    <w:unhideWhenUsed/>
    <w:rsid w:val="00DC0310"/>
    <w:rPr>
      <w:b/>
      <w:bCs/>
    </w:rPr>
  </w:style>
  <w:style w:type="character" w:customStyle="1" w:styleId="CommentSubjectChar">
    <w:name w:val="Comment Subject Char"/>
    <w:basedOn w:val="CommentTextChar"/>
    <w:link w:val="CommentSubject"/>
    <w:semiHidden/>
    <w:rsid w:val="00DC0310"/>
    <w:rPr>
      <w:rFonts w:ascii="Arial" w:hAnsi="Arial"/>
      <w:b/>
      <w:bCs/>
    </w:rPr>
  </w:style>
  <w:style w:type="paragraph" w:styleId="Revision">
    <w:name w:val="Revision"/>
    <w:hidden/>
    <w:uiPriority w:val="99"/>
    <w:semiHidden/>
    <w:rsid w:val="00931AA4"/>
    <w:rPr>
      <w:rFonts w:ascii="Arial" w:hAnsi="Arial"/>
    </w:rPr>
  </w:style>
  <w:style w:type="paragraph" w:styleId="BodyText">
    <w:name w:val="Body Text"/>
    <w:basedOn w:val="Normal"/>
    <w:link w:val="BodyTextChar"/>
    <w:unhideWhenUsed/>
    <w:qFormat/>
    <w:rsid w:val="00E768A7"/>
    <w:pPr>
      <w:spacing w:after="240" w:line="240" w:lineRule="atLeast"/>
    </w:pPr>
    <w:rPr>
      <w:rFonts w:ascii="Georgia" w:eastAsiaTheme="minorHAnsi" w:hAnsi="Georgia" w:cstheme="minorBidi"/>
      <w:lang w:eastAsia="en-US" w:bidi="ar-SA"/>
    </w:rPr>
  </w:style>
  <w:style w:type="character" w:customStyle="1" w:styleId="BodyTextChar">
    <w:name w:val="Body Text Char"/>
    <w:basedOn w:val="DefaultParagraphFont"/>
    <w:link w:val="BodyText"/>
    <w:rsid w:val="00E768A7"/>
    <w:rPr>
      <w:rFonts w:ascii="Georgia" w:eastAsiaTheme="minorHAnsi" w:hAnsi="Georgia" w:cstheme="minorBidi"/>
      <w:lang w:val="en-GB" w:eastAsia="en-US" w:bidi="ar-SA"/>
    </w:rPr>
  </w:style>
  <w:style w:type="paragraph" w:styleId="FootnoteText">
    <w:name w:val="footnote text"/>
    <w:basedOn w:val="Normal"/>
    <w:link w:val="FootnoteTextChar"/>
    <w:semiHidden/>
    <w:unhideWhenUsed/>
    <w:rsid w:val="00E768A7"/>
    <w:pPr>
      <w:spacing w:line="240" w:lineRule="auto"/>
    </w:pPr>
    <w:rPr>
      <w:lang w:eastAsia="de-DE" w:bidi="ar-SA"/>
    </w:rPr>
  </w:style>
  <w:style w:type="character" w:customStyle="1" w:styleId="FootnoteTextChar">
    <w:name w:val="Footnote Text Char"/>
    <w:basedOn w:val="DefaultParagraphFont"/>
    <w:link w:val="FootnoteText"/>
    <w:semiHidden/>
    <w:rsid w:val="00E768A7"/>
    <w:rPr>
      <w:rFonts w:ascii="Arial" w:hAnsi="Arial"/>
      <w:lang w:eastAsia="de-DE" w:bidi="ar-SA"/>
    </w:rPr>
  </w:style>
  <w:style w:type="character" w:styleId="FootnoteReference">
    <w:name w:val="footnote reference"/>
    <w:basedOn w:val="DefaultParagraphFont"/>
    <w:semiHidden/>
    <w:unhideWhenUsed/>
    <w:rsid w:val="00E76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97397">
      <w:bodyDiv w:val="1"/>
      <w:marLeft w:val="0"/>
      <w:marRight w:val="0"/>
      <w:marTop w:val="0"/>
      <w:marBottom w:val="0"/>
      <w:divBdr>
        <w:top w:val="none" w:sz="0" w:space="0" w:color="auto"/>
        <w:left w:val="none" w:sz="0" w:space="0" w:color="auto"/>
        <w:bottom w:val="none" w:sz="0" w:space="0" w:color="auto"/>
        <w:right w:val="none" w:sz="0" w:space="0" w:color="auto"/>
      </w:divBdr>
    </w:div>
    <w:div w:id="890074771">
      <w:bodyDiv w:val="1"/>
      <w:marLeft w:val="0"/>
      <w:marRight w:val="0"/>
      <w:marTop w:val="0"/>
      <w:marBottom w:val="0"/>
      <w:divBdr>
        <w:top w:val="none" w:sz="0" w:space="0" w:color="auto"/>
        <w:left w:val="none" w:sz="0" w:space="0" w:color="auto"/>
        <w:bottom w:val="none" w:sz="0" w:space="0" w:color="auto"/>
        <w:right w:val="none" w:sz="0" w:space="0" w:color="auto"/>
      </w:divBdr>
    </w:div>
    <w:div w:id="1082793423">
      <w:bodyDiv w:val="1"/>
      <w:marLeft w:val="0"/>
      <w:marRight w:val="0"/>
      <w:marTop w:val="0"/>
      <w:marBottom w:val="0"/>
      <w:divBdr>
        <w:top w:val="none" w:sz="0" w:space="0" w:color="auto"/>
        <w:left w:val="none" w:sz="0" w:space="0" w:color="auto"/>
        <w:bottom w:val="none" w:sz="0" w:space="0" w:color="auto"/>
        <w:right w:val="none" w:sz="0" w:space="0" w:color="auto"/>
      </w:divBdr>
    </w:div>
    <w:div w:id="1106925516">
      <w:bodyDiv w:val="1"/>
      <w:marLeft w:val="0"/>
      <w:marRight w:val="0"/>
      <w:marTop w:val="0"/>
      <w:marBottom w:val="0"/>
      <w:divBdr>
        <w:top w:val="none" w:sz="0" w:space="0" w:color="auto"/>
        <w:left w:val="none" w:sz="0" w:space="0" w:color="auto"/>
        <w:bottom w:val="none" w:sz="0" w:space="0" w:color="auto"/>
        <w:right w:val="none" w:sz="0" w:space="0" w:color="auto"/>
      </w:divBdr>
    </w:div>
    <w:div w:id="1128010273">
      <w:bodyDiv w:val="1"/>
      <w:marLeft w:val="0"/>
      <w:marRight w:val="0"/>
      <w:marTop w:val="0"/>
      <w:marBottom w:val="0"/>
      <w:divBdr>
        <w:top w:val="none" w:sz="0" w:space="0" w:color="auto"/>
        <w:left w:val="none" w:sz="0" w:space="0" w:color="auto"/>
        <w:bottom w:val="none" w:sz="0" w:space="0" w:color="auto"/>
        <w:right w:val="none" w:sz="0" w:space="0" w:color="auto"/>
      </w:divBdr>
    </w:div>
    <w:div w:id="1214082363">
      <w:bodyDiv w:val="1"/>
      <w:marLeft w:val="0"/>
      <w:marRight w:val="0"/>
      <w:marTop w:val="0"/>
      <w:marBottom w:val="0"/>
      <w:divBdr>
        <w:top w:val="none" w:sz="0" w:space="0" w:color="auto"/>
        <w:left w:val="none" w:sz="0" w:space="0" w:color="auto"/>
        <w:bottom w:val="none" w:sz="0" w:space="0" w:color="auto"/>
        <w:right w:val="none" w:sz="0" w:space="0" w:color="auto"/>
      </w:divBdr>
    </w:div>
    <w:div w:id="18318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GDok Document" ma:contentTypeID="0x0101003A499141982C43AFAF241BDE541C18D500F5B3EB93A2E6FC40BDA27E9A03F99C52" ma:contentTypeVersion="18" ma:contentTypeDescription="Create a new document." ma:contentTypeScope="" ma:versionID="04eebac017c0ff8e67ba2371f1f5ae67">
  <xsd:schema xmlns:xsd="http://www.w3.org/2001/XMLSchema" xmlns:xs="http://www.w3.org/2001/XMLSchema" xmlns:p="http://schemas.microsoft.com/office/2006/metadata/properties" xmlns:ns2="e41ec083-eb60-4400-a1ca-8b175769cd15" targetNamespace="http://schemas.microsoft.com/office/2006/metadata/properties" ma:root="true" ma:fieldsID="717c16d44b7eff26d5d25af0687c82f9" ns2:_="">
    <xsd:import namespace="e41ec083-eb60-4400-a1ca-8b175769cd15"/>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ec083-eb60-4400-a1ca-8b175769c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Verantwortliche Koordination Prüfwesen (G01009336)"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feb4887-3879-4340-9b30-50fa0091cdea}" ma:internalName="TaxCatchAll" ma:showField="CatchAllData"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feb4887-3879-4340-9b30-50fa0091cdea}" ma:internalName="TaxCatchAllLabel" ma:readOnly="true" ma:showField="CatchAllDataLabel"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009336"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007556a7-71c6-4a46-9c24-71f35aa16e93" ma:anchorId="fc6e2f94-ec5b-4b25-829d-c96b59440ef4" ma:open="tru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Eidgenössische Finanzmarktaufsicht FINMA (F00164912)" ma:internalName="FinmaObjectId">
      <xsd:simpleType>
        <xsd:restriction base="dms:Text">
          <xsd:maxLength value="255"/>
        </xsd:restriction>
      </xsd:simpleType>
    </xsd:element>
    <xsd:element name="FinmaObjectName" ma:index="29" nillable="true" ma:displayName="Finma Objekt Bezeichnung" ma:default="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FormUrls xmlns="http://schemas.microsoft.com/sharepoint/v3/contenttype/forms/url">
  <Edit>_layouts/finma.portal.dms/EditFinmaDocumentProperties.aspx</Edit>
</FormUrls>
</file>

<file path=customXml/item11.xml><?xml version="1.0" encoding="utf-8"?>
<p:properties xmlns:p="http://schemas.microsoft.com/office/2006/metadata/properties" xmlns:xsi="http://www.w3.org/2001/XMLSchema-instance" xmlns:pc="http://schemas.microsoft.com/office/infopath/2007/PartnerControls">
  <documentManagement>
    <TaxCatchAll xmlns="e41ec083-eb60-4400-a1ca-8b175769cd15">
      <Value>1</Value>
    </TaxCatchAll>
    <Aktionswert xmlns="e41ec083-eb60-4400-a1ca-8b175769cd15" xsi:nil="true"/>
    <_dlc_DocId xmlns="e41ec083-eb60-4400-a1ca-8b175769cd15">G01009336-001749</_dlc_DocId>
    <_dlc_DocIdUrl xmlns="e41ec083-eb60-4400-a1ca-8b175769cd15">
      <Url>https://gdok.finma.ch/container/217/_layouts/15/DocIdRedir.aspx?ID=G01009336-001749</Url>
      <Description>G01009336-001749</Description>
    </_dlc_DocIdUrl>
    <FinmaPasswordProtected xmlns="e41ec083-eb60-4400-a1ca-8b175769cd15">false</FinmaPasswordProtected>
    <f6ac7f7711e24d149a1ab98f6cfad432 xmlns="e41ec083-eb60-4400-a1ca-8b175769cd15">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FinmaValidationDate xmlns="e41ec083-eb60-4400-a1ca-8b175769cd15">2020-03-05T10:48:19+00:00</FinmaValidationDate>
    <FinmaDocumentDate xmlns="e41ec083-eb60-4400-a1ca-8b175769cd15">2020-03-05T10:48:19+00:00</FinmaDocumentDate>
    <FinmaValidationResult xmlns="e41ec083-eb60-4400-a1ca-8b175769cd15" xsi:nil="true"/>
    <FinmaObjectName xmlns="e41ec083-eb60-4400-a1ca-8b175769cd15">F00164912</FinmaObjectName>
    <h5452bf913d342ef967d06fb0970c0a5 xmlns="e41ec083-eb60-4400-a1ca-8b175769cd15">
      <Terms xmlns="http://schemas.microsoft.com/office/infopath/2007/PartnerControls"/>
    </h5452bf913d342ef967d06fb0970c0a5>
    <g1c9cab47ab34847b4ac830bba5063b0 xmlns="e41ec083-eb60-4400-a1ca-8b175769cd15">
      <Terms xmlns="http://schemas.microsoft.com/office/infopath/2007/PartnerControls"/>
    </g1c9cab47ab34847b4ac830bba5063b0>
    <FinmaCaseDescription xmlns="e41ec083-eb60-4400-a1ca-8b175769cd15">Verantwortliche Koordination Prüfwesen (G01009336)</FinmaCaseDescription>
    <FinmaCaseID xmlns="e41ec083-eb60-4400-a1ca-8b175769cd15">G01009336</FinmaCaseID>
    <n1f5c6536ac648a38ad663cdf8bd44e6 xmlns="e41ec083-eb60-4400-a1ca-8b175769cd15">
      <Terms xmlns="http://schemas.microsoft.com/office/infopath/2007/PartnerControls"/>
    </n1f5c6536ac648a38ad663cdf8bd44e6>
    <FinmaObjectId xmlns="e41ec083-eb60-4400-a1ca-8b175769cd15">Eidgenössische Finanzmarktaufsicht FINMA (F00164912)</FinmaObjectId>
  </documentManagement>
</p:properties>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EditFinmaDocumentProperties.aspx</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e41ec083-eb60-4400-a1ca-8b175769cd15">
      <Value>1</Value>
    </TaxCatchAll>
    <Aktionswert xmlns="e41ec083-eb60-4400-a1ca-8b175769cd15" xsi:nil="true"/>
    <_dlc_DocId xmlns="e41ec083-eb60-4400-a1ca-8b175769cd15">b164912-0059988</_dlc_DocId>
    <_dlc_DocIdUrl xmlns="e41ec083-eb60-4400-a1ca-8b175769cd15">
      <Url>https://gdok.finma.ch/container/217/_layouts/DocIdRedir.aspx?ID=b164912-0059988</Url>
      <Description>b164912-0059988</Description>
    </_dlc_DocIdUrl>
    <FinmaPasswordProtected xmlns="e41ec083-eb60-4400-a1ca-8b175769cd15">false</FinmaPasswordProtected>
    <f6ac7f7711e24d149a1ab98f6cfad432 xmlns="e41ec083-eb60-4400-a1ca-8b175769cd15">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FinmaValidationDate xmlns="e41ec083-eb60-4400-a1ca-8b175769cd15">2020-03-03T14:01:37+00:00</FinmaValidationDate>
    <FinmaDocumentDate xmlns="e41ec083-eb60-4400-a1ca-8b175769cd15">2019-10-21T09:41:59+00:00</FinmaDocumentDate>
    <FinmaValidationResult xmlns="e41ec083-eb60-4400-a1ca-8b175769cd15" xsi:nil="true"/>
    <FinmaObjectName xmlns="e41ec083-eb60-4400-a1ca-8b175769cd15">F00164912</FinmaObjectName>
    <h5452bf913d342ef967d06fb0970c0a5 xmlns="e41ec083-eb60-4400-a1ca-8b175769cd15">
      <Terms xmlns="http://schemas.microsoft.com/office/infopath/2007/PartnerControls"/>
    </h5452bf913d342ef967d06fb0970c0a5>
    <g1c9cab47ab34847b4ac830bba5063b0 xmlns="e41ec083-eb60-4400-a1ca-8b175769cd15">
      <Terms xmlns="http://schemas.microsoft.com/office/infopath/2007/PartnerControls"/>
    </g1c9cab47ab34847b4ac830bba5063b0>
    <FinmaCaseDescription xmlns="e41ec083-eb60-4400-a1ca-8b175769cd15">Verantwortliche Koordination Prüfwesen (G01009336)</FinmaCaseDescription>
    <FinmaCaseID xmlns="e41ec083-eb60-4400-a1ca-8b175769cd15">G01009336</FinmaCaseID>
    <n1f5c6536ac648a38ad663cdf8bd44e6 xmlns="e41ec083-eb60-4400-a1ca-8b175769cd15">
      <Terms xmlns="http://schemas.microsoft.com/office/infopath/2007/PartnerControls"/>
    </n1f5c6536ac648a38ad663cdf8bd44e6>
    <FinmaObjectId xmlns="e41ec083-eb60-4400-a1ca-8b175769cd15">Eidgenössische Finanzmarktaufsicht FINMA (F00164912)</FinmaObjectId>
  </documentManagement>
</p:properties>
</file>

<file path=customXml/item5.xml><?xml version="1.0" encoding="utf-8"?>
<document xmlns="http://www.docugate.com/2015/docugatedatastorexml">
  <snapins xmlns=""/>
</document>
</file>

<file path=customXml/item6.xml><?xml version="1.0" encoding="utf-8"?>
<?mso-contentType ?>
<SharedContentType xmlns="Microsoft.SharePoint.Taxonomy.ContentTypeSync" SourceId="b0c6d588-e963-47ff-a8de-5cb02962fb18" ContentTypeId="0x0101004F8CB72C5020684296180AE4B309ADAF"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docugate xmlns="http://www.docugate.com/2014/dgxml" ResetInterfaceCacheAfterDocCreation="false" FreeDocumentSelection="true">
  <template doclanguage="Deutsch" id="" workflowdocumentid="b7c2dd74-0f88-4c30-8b29-6656f247378d">
    <docproperties>
      <saveaslocation>https://org.finma.ch/sites/8010-T/Dossiers/Suitability/Neue Prüfprogramme Suitability</saveaslocation>
      <dossier_id>8010-T-2-9515</dossier_id>
      <dossier_titel>Suitability</dossier_titel>
      <dossier_aktenzeichen>8010-T-2-9515 - 00 Allgemeines</dossier_aktenzeichen>
      <dossier_osp_nr>00</dossier_osp_nr>
      <dossier_kategorie>
      </dossier_kategorie>
      <geschaeft_id>
      </geschaeft_id>
      <geschaeft_federfuehrende_oe>M-GWS</geschaeft_federfuehrende_oe>
      <geschaeft_datum_eroeffnen>
      </geschaeft_datum_eroeffnen>
      <aktionsname/>
      <aktionswert/>
      <addresses/>
    </docproperties>
  </template>
</docugate>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A4F34-35BB-490D-8C5E-0B8713762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ec083-eb60-4400-a1ca-8b175769c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8D3FAB69-EFC0-44FF-A227-2140A8814846}">
  <ds:schemaRefs>
    <ds:schemaRef ds:uri="http://schemas.microsoft.com/sharepoint/v3/contenttype/forms/url"/>
  </ds:schemaRefs>
</ds:datastoreItem>
</file>

<file path=customXml/itemProps11.xml><?xml version="1.0" encoding="utf-8"?>
<ds:datastoreItem xmlns:ds="http://schemas.openxmlformats.org/officeDocument/2006/customXml" ds:itemID="{1428BA03-51BF-4B29-A130-EFD7B0292768}">
  <ds:schemaRefs>
    <ds:schemaRef ds:uri="http://schemas.microsoft.com/office/2006/metadata/properties"/>
    <ds:schemaRef ds:uri="http://schemas.microsoft.com/office/infopath/2007/PartnerControls"/>
    <ds:schemaRef ds:uri="e41ec083-eb60-4400-a1ca-8b175769cd15"/>
  </ds:schemaRefs>
</ds:datastoreItem>
</file>

<file path=customXml/itemProps12.xml><?xml version="1.0" encoding="utf-8"?>
<ds:datastoreItem xmlns:ds="http://schemas.openxmlformats.org/officeDocument/2006/customXml" ds:itemID="{DDB45F97-171C-49C7-BFFE-3586969736BC}">
  <ds:schemaRefs>
    <ds:schemaRef ds:uri="http://schemas.openxmlformats.org/officeDocument/2006/bibliography"/>
  </ds:schemaRefs>
</ds:datastoreItem>
</file>

<file path=customXml/itemProps2.xml><?xml version="1.0" encoding="utf-8"?>
<ds:datastoreItem xmlns:ds="http://schemas.openxmlformats.org/officeDocument/2006/customXml" ds:itemID="{E0F9BE5B-2EB6-4615-98E7-D273BB5511E8}">
  <ds:schemaRefs>
    <ds:schemaRef ds:uri="http://schemas.microsoft.com/sharepoint/v3/contenttype/forms"/>
  </ds:schemaRefs>
</ds:datastoreItem>
</file>

<file path=customXml/itemProps3.xml><?xml version="1.0" encoding="utf-8"?>
<ds:datastoreItem xmlns:ds="http://schemas.openxmlformats.org/officeDocument/2006/customXml" ds:itemID="{428B7ED4-ED78-49B8-A752-26705A173749}">
  <ds:schemaRefs>
    <ds:schemaRef ds:uri="http://schemas.microsoft.com/sharepoint/events"/>
  </ds:schemaRefs>
</ds:datastoreItem>
</file>

<file path=customXml/itemProps4.xml><?xml version="1.0" encoding="utf-8"?>
<ds:datastoreItem xmlns:ds="http://schemas.openxmlformats.org/officeDocument/2006/customXml" ds:itemID="{D3A95F01-78AC-4A48-955B-0A14D9A2825B}">
  <ds:schemaRefs>
    <ds:schemaRef ds:uri="http://schemas.microsoft.com/office/2006/metadata/properties"/>
    <ds:schemaRef ds:uri="http://schemas.microsoft.com/office/infopath/2007/PartnerControls"/>
    <ds:schemaRef ds:uri="e41ec083-eb60-4400-a1ca-8b175769cd15"/>
  </ds:schemaRefs>
</ds:datastoreItem>
</file>

<file path=customXml/itemProps5.xml><?xml version="1.0" encoding="utf-8"?>
<ds:datastoreItem xmlns:ds="http://schemas.openxmlformats.org/officeDocument/2006/customXml" ds:itemID="{549F0439-3EAB-40D2-928F-4162FA4B562E}">
  <ds:schemaRefs>
    <ds:schemaRef ds:uri="http://www.docugate.com/2015/docugatedatastorexml"/>
    <ds:schemaRef ds:uri=""/>
  </ds:schemaRefs>
</ds:datastoreItem>
</file>

<file path=customXml/itemProps6.xml><?xml version="1.0" encoding="utf-8"?>
<ds:datastoreItem xmlns:ds="http://schemas.openxmlformats.org/officeDocument/2006/customXml" ds:itemID="{8626B3D7-C711-412C-A811-1D2CD20261DA}">
  <ds:schemaRefs>
    <ds:schemaRef ds:uri="Microsoft.SharePoint.Taxonomy.ContentTypeSync"/>
  </ds:schemaRefs>
</ds:datastoreItem>
</file>

<file path=customXml/itemProps7.xml><?xml version="1.0" encoding="utf-8"?>
<ds:datastoreItem xmlns:ds="http://schemas.openxmlformats.org/officeDocument/2006/customXml" ds:itemID="{E4A831A2-672D-46C7-A2EA-4DC35B7AF43C}">
  <ds:schemaRefs>
    <ds:schemaRef ds:uri="http://schemas.microsoft.com/sharepoint/events"/>
  </ds:schemaRefs>
</ds:datastoreItem>
</file>

<file path=customXml/itemProps8.xml><?xml version="1.0" encoding="utf-8"?>
<ds:datastoreItem xmlns:ds="http://schemas.openxmlformats.org/officeDocument/2006/customXml" ds:itemID="{6E662E59-6E23-4309-9696-D239F9E725C2}">
  <ds:schemaRefs>
    <ds:schemaRef ds:uri="http://www.docugate.com/2014/dgxml"/>
  </ds:schemaRefs>
</ds:datastoreItem>
</file>

<file path=customXml/itemProps9.xml><?xml version="1.0" encoding="utf-8"?>
<ds:datastoreItem xmlns:ds="http://schemas.openxmlformats.org/officeDocument/2006/customXml" ds:itemID="{2D78977F-0204-4763-9C2D-0EC7A0684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3316</Words>
  <Characters>20962</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2020-03-03T14:01:00Z</dcterms:created>
  <dcterms:modified xsi:type="dcterms:W3CDTF">2020-05-07T13:32:00Z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0x0101003A499141982C43AFAF241BDE541C18D500F5B3EB93A2E6FC40BDA27E9A03F99C52</vt:lpwstr>
  </property>
  <property fmtid="{D5CDD505-2E9C-101B-9397-08002B2CF9AE}" pid="3" name="Ordnungsposition">
    <vt:lpwstr>18</vt:lpwstr>
  </property>
  <property fmtid="{D5CDD505-2E9C-101B-9397-08002B2CF9AE}" pid="4" name="Schlagwort">
    <vt:lpwstr/>
  </property>
  <property fmtid="{D5CDD505-2E9C-101B-9397-08002B2CF9AE}" pid="5" name="_dlc_DocIdItemGuid">
    <vt:lpwstr>7eed4aaa-0fa2-4e70-b073-f930fd6ebfb6</vt:lpwstr>
  </property>
  <property fmtid="{D5CDD505-2E9C-101B-9397-08002B2CF9AE}" pid="6" name="Schlagwort KategorieTaxHTField0">
    <vt:lpwstr/>
  </property>
  <property fmtid="{D5CDD505-2E9C-101B-9397-08002B2CF9AE}" pid="7" name="FinmaReceiver">
    <vt:lpwstr/>
  </property>
  <property fmtid="{D5CDD505-2E9C-101B-9397-08002B2CF9AE}" pid="8" name="FinmaSender">
    <vt:lpwstr/>
  </property>
  <property fmtid="{D5CDD505-2E9C-101B-9397-08002B2CF9AE}" pid="9" name="FinmaCrmEntityIDs">
    <vt:lpwstr/>
  </property>
  <property fmtid="{D5CDD505-2E9C-101B-9397-08002B2CF9AE}" pid="10" name="Schlagwort Kategorie">
    <vt:lpwstr/>
  </property>
  <property fmtid="{D5CDD505-2E9C-101B-9397-08002B2CF9AE}" pid="11" name="FinmaCatchphrases">
    <vt:lpwstr/>
  </property>
  <property fmtid="{D5CDD505-2E9C-101B-9397-08002B2CF9AE}" pid="12" name="FinmaCaseStatus">
    <vt:lpwstr>1;#Aktiv|7439e81f-a110-4e88-a7af-acf8d4806223</vt:lpwstr>
  </property>
  <property fmtid="{D5CDD505-2E9C-101B-9397-08002B2CF9AE}" pid="13" name="FinmaCategory">
    <vt:lpwstr/>
  </property>
  <property fmtid="{D5CDD505-2E9C-101B-9397-08002B2CF9AE}" pid="14" name="Dossier Typ">
    <vt:lpwstr/>
  </property>
  <property fmtid="{D5CDD505-2E9C-101B-9397-08002B2CF9AE}" pid="15" name="Kategorie">
    <vt:lpwstr/>
  </property>
</Properties>
</file>