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85784" w14:textId="27ECB428" w:rsidR="00C61276" w:rsidRPr="004D0D5A" w:rsidRDefault="004D0D5A" w:rsidP="00B93868">
      <w:pPr>
        <w:spacing w:before="120" w:after="120" w:line="240" w:lineRule="auto"/>
        <w:rPr>
          <w:sz w:val="28"/>
        </w:rPr>
      </w:pPr>
      <w:bookmarkStart w:id="0" w:name="BkMod_000"/>
      <w:r w:rsidRPr="004D0D5A">
        <w:rPr>
          <w:b/>
          <w:sz w:val="28"/>
        </w:rPr>
        <w:t>Prüfpunkte zu den Verhaltensregeln gegenüber Kunden</w:t>
      </w:r>
    </w:p>
    <w:p w14:paraId="08406A6C" w14:textId="77777777" w:rsidR="004D0D5A" w:rsidRDefault="004D0D5A" w:rsidP="00B93868">
      <w:pPr>
        <w:spacing w:before="120" w:after="120" w:line="240" w:lineRule="auto"/>
        <w:rPr>
          <w:b/>
        </w:rPr>
      </w:pPr>
    </w:p>
    <w:p w14:paraId="540247BB" w14:textId="4E2F50ED" w:rsidR="00C61276" w:rsidRPr="00DB7CF3" w:rsidRDefault="00C61276" w:rsidP="00B93868">
      <w:pPr>
        <w:spacing w:before="120" w:after="120" w:line="240" w:lineRule="auto"/>
        <w:rPr>
          <w:rFonts w:cs="Arial"/>
          <w:b/>
        </w:rPr>
      </w:pPr>
      <w:r>
        <w:rPr>
          <w:b/>
        </w:rPr>
        <w:t>Übersicht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701"/>
      </w:tblGrid>
      <w:tr w:rsidR="00C61276" w:rsidRPr="00EB30C0" w14:paraId="28D42B10" w14:textId="77777777" w:rsidTr="004F21F9">
        <w:tc>
          <w:tcPr>
            <w:tcW w:w="2694" w:type="dxa"/>
            <w:shd w:val="pct10" w:color="auto" w:fill="auto"/>
          </w:tcPr>
          <w:p w14:paraId="7686B69C" w14:textId="77777777" w:rsidR="00C61276" w:rsidRPr="00EB30C0" w:rsidRDefault="00C61276" w:rsidP="008964A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b/>
                <w:szCs w:val="18"/>
              </w:rPr>
            </w:pPr>
            <w:r>
              <w:rPr>
                <w:b/>
              </w:rPr>
              <w:t>Prüfgebiet</w:t>
            </w:r>
          </w:p>
        </w:tc>
        <w:tc>
          <w:tcPr>
            <w:tcW w:w="11701" w:type="dxa"/>
            <w:shd w:val="pct10" w:color="auto" w:fill="auto"/>
          </w:tcPr>
          <w:p w14:paraId="327C8702" w14:textId="77777777" w:rsidR="00DD7EA1" w:rsidRDefault="00C61276" w:rsidP="00DD7EA1">
            <w:pPr>
              <w:tabs>
                <w:tab w:val="left" w:pos="1859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Geschäftsrisiken / Risikomanagement: Risiken aus indifferenten Geschäften / Ver</w:t>
            </w:r>
            <w:r w:rsidR="00DD7EA1">
              <w:rPr>
                <w:b/>
              </w:rPr>
              <w:t>haltensregeln gegenüber Kunden im Zusammenhang mit</w:t>
            </w:r>
          </w:p>
          <w:p w14:paraId="564D7205" w14:textId="47A7D00D" w:rsidR="00DD7EA1" w:rsidRDefault="00DD7EA1" w:rsidP="00DD7EA1">
            <w:pPr>
              <w:pStyle w:val="Listenabsatz"/>
              <w:numPr>
                <w:ilvl w:val="0"/>
                <w:numId w:val="13"/>
              </w:numPr>
              <w:tabs>
                <w:tab w:val="left" w:pos="1859"/>
              </w:tabs>
              <w:spacing w:before="120" w:after="12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Execution-only</w:t>
            </w:r>
          </w:p>
          <w:p w14:paraId="6BAFBCCB" w14:textId="12FFFAE5" w:rsidR="00DD7EA1" w:rsidRDefault="00DD7EA1" w:rsidP="00DD7EA1">
            <w:pPr>
              <w:pStyle w:val="Listenabsatz"/>
              <w:numPr>
                <w:ilvl w:val="0"/>
                <w:numId w:val="13"/>
              </w:numPr>
              <w:tabs>
                <w:tab w:val="left" w:pos="1859"/>
              </w:tabs>
              <w:spacing w:before="120" w:after="12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Anlageberatung</w:t>
            </w:r>
          </w:p>
          <w:p w14:paraId="0014D11B" w14:textId="1DDB745C" w:rsidR="00DD7EA1" w:rsidRDefault="00DD7EA1" w:rsidP="00DD7EA1">
            <w:pPr>
              <w:pStyle w:val="Listenabsatz"/>
              <w:numPr>
                <w:ilvl w:val="0"/>
                <w:numId w:val="13"/>
              </w:numPr>
              <w:tabs>
                <w:tab w:val="left" w:pos="1859"/>
              </w:tabs>
              <w:spacing w:before="120" w:after="12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Vermögensverwaltungsmandaten</w:t>
            </w:r>
          </w:p>
          <w:p w14:paraId="29186B2B" w14:textId="37928DC8" w:rsidR="00C61276" w:rsidRPr="00DD7EA1" w:rsidRDefault="00DD7EA1" w:rsidP="00DD7EA1">
            <w:pPr>
              <w:pStyle w:val="Listenabsatz"/>
              <w:numPr>
                <w:ilvl w:val="0"/>
                <w:numId w:val="13"/>
              </w:numPr>
              <w:tabs>
                <w:tab w:val="left" w:pos="1859"/>
              </w:tabs>
              <w:spacing w:before="120" w:after="12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dem Vertrieb von kollektiven Kapitalanlagen</w:t>
            </w:r>
          </w:p>
        </w:tc>
      </w:tr>
      <w:tr w:rsidR="00C61276" w:rsidRPr="00EB30C0" w14:paraId="0522C19B" w14:textId="77777777" w:rsidTr="004F21F9">
        <w:tc>
          <w:tcPr>
            <w:tcW w:w="2694" w:type="dxa"/>
            <w:shd w:val="pct10" w:color="auto" w:fill="auto"/>
          </w:tcPr>
          <w:p w14:paraId="6E84C180" w14:textId="77777777" w:rsidR="00C61276" w:rsidRPr="00EB30C0" w:rsidRDefault="00C61276" w:rsidP="00B9386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b/>
                <w:szCs w:val="18"/>
              </w:rPr>
            </w:pPr>
            <w:r>
              <w:rPr>
                <w:b/>
              </w:rPr>
              <w:t>Prüftiefe</w:t>
            </w:r>
          </w:p>
        </w:tc>
        <w:tc>
          <w:tcPr>
            <w:tcW w:w="11701" w:type="dxa"/>
            <w:shd w:val="pct10" w:color="auto" w:fill="auto"/>
          </w:tcPr>
          <w:p w14:paraId="760050A5" w14:textId="77777777" w:rsidR="00C61276" w:rsidRPr="00EB30C0" w:rsidRDefault="00C61276" w:rsidP="00B93868">
            <w:pPr>
              <w:tabs>
                <w:tab w:val="left" w:pos="1859"/>
              </w:tabs>
              <w:spacing w:before="120" w:after="120" w:line="240" w:lineRule="auto"/>
              <w:rPr>
                <w:rFonts w:cs="Arial"/>
                <w:szCs w:val="18"/>
              </w:rPr>
            </w:pPr>
            <w:r>
              <w:rPr>
                <w:highlight w:val="yellow"/>
              </w:rPr>
              <w:t>[Prüfung / kritische Beurteilung]</w:t>
            </w:r>
          </w:p>
        </w:tc>
      </w:tr>
      <w:tr w:rsidR="00C61276" w:rsidRPr="00573E72" w14:paraId="4AD4D56E" w14:textId="77777777" w:rsidTr="004F21F9">
        <w:tc>
          <w:tcPr>
            <w:tcW w:w="2694" w:type="dxa"/>
            <w:shd w:val="clear" w:color="auto" w:fill="auto"/>
          </w:tcPr>
          <w:p w14:paraId="216A0DEF" w14:textId="77777777" w:rsidR="00C61276" w:rsidRPr="00EB30C0" w:rsidRDefault="00C61276" w:rsidP="00B9386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b/>
              </w:rPr>
            </w:pPr>
            <w:r>
              <w:rPr>
                <w:b/>
              </w:rPr>
              <w:t>Vorschriften</w:t>
            </w:r>
          </w:p>
          <w:p w14:paraId="7CA54D42" w14:textId="77777777" w:rsidR="00C61276" w:rsidRPr="00EB30C0" w:rsidRDefault="00C61276" w:rsidP="00F2222B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</w:rPr>
            </w:pPr>
            <w:r>
              <w:t>(</w:t>
            </w:r>
            <w:r w:rsidR="00A4656F">
              <w:t>List</w:t>
            </w:r>
            <w:r w:rsidR="003344A8">
              <w:t>e</w:t>
            </w:r>
            <w:r w:rsidR="00A4656F">
              <w:t xml:space="preserve"> ist </w:t>
            </w:r>
            <w:r>
              <w:t>nicht</w:t>
            </w:r>
            <w:r w:rsidR="00A4656F">
              <w:t xml:space="preserve"> </w:t>
            </w:r>
            <w:r>
              <w:t>abschliesse</w:t>
            </w:r>
            <w:r w:rsidR="00A4656F">
              <w:t>n</w:t>
            </w:r>
            <w:r>
              <w:t>d)</w:t>
            </w:r>
          </w:p>
        </w:tc>
        <w:tc>
          <w:tcPr>
            <w:tcW w:w="11701" w:type="dxa"/>
            <w:shd w:val="clear" w:color="auto" w:fill="auto"/>
          </w:tcPr>
          <w:p w14:paraId="6C91C918" w14:textId="77777777" w:rsidR="00C61276" w:rsidRPr="00EB30C0" w:rsidRDefault="00C61276" w:rsidP="00B93868">
            <w:pPr>
              <w:pStyle w:val="Listenabsatz"/>
              <w:numPr>
                <w:ilvl w:val="0"/>
                <w:numId w:val="8"/>
              </w:numPr>
              <w:tabs>
                <w:tab w:val="left" w:pos="740"/>
              </w:tabs>
              <w:spacing w:before="120" w:after="120" w:line="240" w:lineRule="auto"/>
              <w:rPr>
                <w:rFonts w:cs="Arial"/>
                <w:szCs w:val="20"/>
              </w:rPr>
            </w:pPr>
            <w:r>
              <w:t>Art.</w:t>
            </w:r>
            <w:r w:rsidR="009656FF">
              <w:t> </w:t>
            </w:r>
            <w:r>
              <w:t xml:space="preserve">11 </w:t>
            </w:r>
            <w:r w:rsidR="009656FF">
              <w:t xml:space="preserve">Bundesgesetz </w:t>
            </w:r>
            <w:r>
              <w:t>über die Börsen und den Effektenhandel (</w:t>
            </w:r>
            <w:r w:rsidR="009656FF">
              <w:t>BEHG</w:t>
            </w:r>
            <w:r>
              <w:t>)</w:t>
            </w:r>
          </w:p>
          <w:p w14:paraId="2FDCA21E" w14:textId="77777777" w:rsidR="00C61276" w:rsidRPr="00EB30C0" w:rsidRDefault="00C61276" w:rsidP="00B93868">
            <w:pPr>
              <w:pStyle w:val="Listenabsatz"/>
              <w:numPr>
                <w:ilvl w:val="0"/>
                <w:numId w:val="8"/>
              </w:numPr>
              <w:tabs>
                <w:tab w:val="left" w:pos="740"/>
              </w:tabs>
              <w:spacing w:before="120" w:after="120" w:line="240" w:lineRule="auto"/>
              <w:rPr>
                <w:rFonts w:cs="Arial"/>
                <w:szCs w:val="20"/>
              </w:rPr>
            </w:pPr>
            <w:r>
              <w:t>Art.</w:t>
            </w:r>
            <w:r w:rsidR="009656FF">
              <w:t> </w:t>
            </w:r>
            <w:r>
              <w:t>5 Abs. 3 Bundesgesetz über die kollektiven Kapitalanlagen (KAG)</w:t>
            </w:r>
          </w:p>
          <w:p w14:paraId="3E44313D" w14:textId="77777777" w:rsidR="00C61276" w:rsidRPr="00EB30C0" w:rsidRDefault="00C61276" w:rsidP="00B93868">
            <w:pPr>
              <w:pStyle w:val="Listenabsatz"/>
              <w:numPr>
                <w:ilvl w:val="0"/>
                <w:numId w:val="8"/>
              </w:numPr>
              <w:tabs>
                <w:tab w:val="left" w:pos="740"/>
              </w:tabs>
              <w:spacing w:before="120" w:after="120" w:line="240" w:lineRule="auto"/>
              <w:rPr>
                <w:rFonts w:cs="Arial"/>
                <w:szCs w:val="20"/>
              </w:rPr>
            </w:pPr>
            <w:r>
              <w:t>Art.</w:t>
            </w:r>
            <w:r w:rsidR="009656FF">
              <w:t> </w:t>
            </w:r>
            <w:r>
              <w:t>24 Abs. 1 und 3 KAG</w:t>
            </w:r>
          </w:p>
          <w:p w14:paraId="5921D0EB" w14:textId="77777777" w:rsidR="00C61276" w:rsidRPr="00EB30C0" w:rsidRDefault="00C61276" w:rsidP="00B93868">
            <w:pPr>
              <w:pStyle w:val="Listenabsatz"/>
              <w:numPr>
                <w:ilvl w:val="0"/>
                <w:numId w:val="8"/>
              </w:numPr>
              <w:tabs>
                <w:tab w:val="left" w:pos="740"/>
              </w:tabs>
              <w:spacing w:before="120" w:after="120" w:line="240" w:lineRule="auto"/>
              <w:rPr>
                <w:rFonts w:cs="Arial"/>
                <w:szCs w:val="20"/>
              </w:rPr>
            </w:pPr>
            <w:r>
              <w:t>Art.</w:t>
            </w:r>
            <w:r w:rsidR="009656FF">
              <w:t> </w:t>
            </w:r>
            <w:r>
              <w:t xml:space="preserve">34a </w:t>
            </w:r>
            <w:r w:rsidR="009656FF">
              <w:t>Verordnung über die k</w:t>
            </w:r>
            <w:r>
              <w:t>ollektiv</w:t>
            </w:r>
            <w:r w:rsidR="009656FF">
              <w:t>en A</w:t>
            </w:r>
            <w:r>
              <w:t>nlagen (KKV)</w:t>
            </w:r>
          </w:p>
          <w:p w14:paraId="0158A676" w14:textId="77777777" w:rsidR="00C61276" w:rsidRPr="00EB30C0" w:rsidRDefault="00C61276" w:rsidP="00B93868">
            <w:pPr>
              <w:pStyle w:val="Listenabsatz"/>
              <w:numPr>
                <w:ilvl w:val="0"/>
                <w:numId w:val="8"/>
              </w:numPr>
              <w:tabs>
                <w:tab w:val="left" w:pos="740"/>
              </w:tabs>
              <w:spacing w:before="120" w:after="120" w:line="240" w:lineRule="auto"/>
              <w:rPr>
                <w:rFonts w:cs="Arial"/>
                <w:szCs w:val="20"/>
              </w:rPr>
            </w:pPr>
            <w:r>
              <w:t>Art. 12 Bankenverordnung (BankV)</w:t>
            </w:r>
          </w:p>
          <w:p w14:paraId="40F69D3D" w14:textId="77777777" w:rsidR="00C61276" w:rsidRPr="00EB30C0" w:rsidRDefault="00C61276" w:rsidP="00B93868">
            <w:pPr>
              <w:pStyle w:val="Listenabsatz"/>
              <w:numPr>
                <w:ilvl w:val="0"/>
                <w:numId w:val="8"/>
              </w:numPr>
              <w:tabs>
                <w:tab w:val="left" w:pos="740"/>
              </w:tabs>
              <w:spacing w:before="120" w:after="120" w:line="240" w:lineRule="auto"/>
              <w:rPr>
                <w:rFonts w:cs="Arial"/>
                <w:szCs w:val="20"/>
              </w:rPr>
            </w:pPr>
            <w:r>
              <w:t>FINMA-Rundschreiben 2010/2 Pensions- und Darlehensgeschäfte mit Wertschriften (Repo/SLB)</w:t>
            </w:r>
          </w:p>
          <w:p w14:paraId="4FFAF29F" w14:textId="77777777" w:rsidR="00C61276" w:rsidRPr="00EB30C0" w:rsidRDefault="00C61276" w:rsidP="00B93868">
            <w:pPr>
              <w:pStyle w:val="Listenabsatz"/>
              <w:numPr>
                <w:ilvl w:val="0"/>
                <w:numId w:val="8"/>
              </w:numPr>
              <w:tabs>
                <w:tab w:val="left" w:pos="740"/>
              </w:tabs>
              <w:spacing w:before="120" w:after="120" w:line="240" w:lineRule="auto"/>
              <w:rPr>
                <w:rFonts w:cs="Arial"/>
                <w:szCs w:val="20"/>
              </w:rPr>
            </w:pPr>
            <w:r>
              <w:t>FINMA-Rundschreiben 2013/9 Vertrieb kollektiver Kapitalanlagen</w:t>
            </w:r>
          </w:p>
          <w:p w14:paraId="693A8B4F" w14:textId="77777777" w:rsidR="00C61276" w:rsidRPr="002E7DC8" w:rsidRDefault="009656FF" w:rsidP="00B93868">
            <w:pPr>
              <w:pStyle w:val="Listenabsatz"/>
              <w:numPr>
                <w:ilvl w:val="0"/>
                <w:numId w:val="8"/>
              </w:numPr>
              <w:tabs>
                <w:tab w:val="left" w:pos="740"/>
              </w:tabs>
              <w:spacing w:before="120" w:after="120" w:line="240" w:lineRule="auto"/>
              <w:rPr>
                <w:rFonts w:cs="Arial"/>
                <w:szCs w:val="20"/>
              </w:rPr>
            </w:pPr>
            <w:r w:rsidRPr="002E7DC8">
              <w:t>A</w:t>
            </w:r>
            <w:r w:rsidR="00C61276" w:rsidRPr="002E7DC8">
              <w:t>ls Mindeststandard anerk</w:t>
            </w:r>
            <w:r w:rsidRPr="002E7DC8">
              <w:t>annte Selbstregulierung gemäss</w:t>
            </w:r>
            <w:r w:rsidR="00C61276" w:rsidRPr="002E7DC8">
              <w:t xml:space="preserve"> FINMA-Rundschreiben 08/10, inklusive:</w:t>
            </w:r>
          </w:p>
          <w:p w14:paraId="05FF55D5" w14:textId="77777777" w:rsidR="00C61276" w:rsidRPr="005222A0" w:rsidRDefault="00C61276" w:rsidP="00B93868">
            <w:pPr>
              <w:pStyle w:val="Listenabsatz"/>
              <w:numPr>
                <w:ilvl w:val="0"/>
                <w:numId w:val="9"/>
              </w:numPr>
              <w:tabs>
                <w:tab w:val="left" w:pos="1024"/>
              </w:tabs>
              <w:spacing w:before="120" w:after="120" w:line="240" w:lineRule="auto"/>
              <w:rPr>
                <w:rFonts w:cs="Arial"/>
                <w:szCs w:val="20"/>
              </w:rPr>
            </w:pPr>
            <w:r w:rsidRPr="002E7DC8">
              <w:t>Richtlinie</w:t>
            </w:r>
            <w:r w:rsidR="00B46308" w:rsidRPr="002E7DC8">
              <w:t>n der Schweizerischen Bankiervereinigung</w:t>
            </w:r>
            <w:r w:rsidRPr="005222A0">
              <w:t xml:space="preserve"> für Vermögensverwaltungsaufträge vom 6. November 2013</w:t>
            </w:r>
          </w:p>
          <w:p w14:paraId="2F8C70B8" w14:textId="77777777" w:rsidR="00C61276" w:rsidRPr="005222A0" w:rsidRDefault="00C61276" w:rsidP="00B93868">
            <w:pPr>
              <w:pStyle w:val="Listenabsatz"/>
              <w:numPr>
                <w:ilvl w:val="0"/>
                <w:numId w:val="9"/>
              </w:numPr>
              <w:tabs>
                <w:tab w:val="left" w:pos="1024"/>
              </w:tabs>
              <w:spacing w:before="120" w:after="120" w:line="240" w:lineRule="auto"/>
              <w:rPr>
                <w:rFonts w:cs="Arial"/>
                <w:szCs w:val="20"/>
              </w:rPr>
            </w:pPr>
            <w:r w:rsidRPr="005222A0">
              <w:t>Richtlinie</w:t>
            </w:r>
            <w:r w:rsidR="00B46308" w:rsidRPr="005222A0">
              <w:t>n der Schweizerischen Bankiervereinigung</w:t>
            </w:r>
            <w:r w:rsidRPr="005222A0">
              <w:t xml:space="preserve"> über die Information der Anlegerinnen und Anleger zu strukturierten Produkten vom September 2014</w:t>
            </w:r>
          </w:p>
          <w:p w14:paraId="39CD205B" w14:textId="77777777" w:rsidR="00C61276" w:rsidRPr="005222A0" w:rsidRDefault="00C61276" w:rsidP="00B93868">
            <w:pPr>
              <w:pStyle w:val="Listenabsatz"/>
              <w:numPr>
                <w:ilvl w:val="0"/>
                <w:numId w:val="9"/>
              </w:numPr>
              <w:tabs>
                <w:tab w:val="left" w:pos="1024"/>
              </w:tabs>
              <w:spacing w:before="120" w:after="120" w:line="240" w:lineRule="auto"/>
              <w:rPr>
                <w:rFonts w:cs="Arial"/>
                <w:szCs w:val="20"/>
              </w:rPr>
            </w:pPr>
            <w:r w:rsidRPr="005222A0">
              <w:t>Verhaltensregeln</w:t>
            </w:r>
            <w:r w:rsidR="00B46308" w:rsidRPr="005222A0">
              <w:t xml:space="preserve"> der Schweizerischen Bankiervereinigung</w:t>
            </w:r>
            <w:r w:rsidRPr="005222A0">
              <w:t xml:space="preserve"> für Effektenhändler bei der Durchführung des Effektenhandelsgeschäftes vom 22.</w:t>
            </w:r>
            <w:r w:rsidR="009656FF" w:rsidRPr="005222A0">
              <w:t> </w:t>
            </w:r>
            <w:r w:rsidRPr="005222A0">
              <w:t>Oktober 2008 (</w:t>
            </w:r>
            <w:r w:rsidR="009656FF" w:rsidRPr="005222A0">
              <w:t>„</w:t>
            </w:r>
            <w:r w:rsidRPr="005222A0">
              <w:t>best</w:t>
            </w:r>
            <w:r w:rsidR="009656FF" w:rsidRPr="005222A0">
              <w:t xml:space="preserve"> execution“</w:t>
            </w:r>
            <w:r w:rsidR="00EA45B0" w:rsidRPr="005222A0">
              <w:t>)</w:t>
            </w:r>
            <w:r w:rsidRPr="005222A0">
              <w:t>.</w:t>
            </w:r>
          </w:p>
          <w:p w14:paraId="0D5F10EA" w14:textId="77777777" w:rsidR="00C61276" w:rsidRPr="005222A0" w:rsidRDefault="00C61276" w:rsidP="00B93868">
            <w:pPr>
              <w:pStyle w:val="Listenabsatz"/>
              <w:numPr>
                <w:ilvl w:val="0"/>
                <w:numId w:val="9"/>
              </w:numPr>
              <w:tabs>
                <w:tab w:val="left" w:pos="1024"/>
              </w:tabs>
              <w:spacing w:before="120" w:after="120" w:line="240" w:lineRule="auto"/>
              <w:rPr>
                <w:rFonts w:cs="Arial"/>
                <w:szCs w:val="20"/>
              </w:rPr>
            </w:pPr>
            <w:r w:rsidRPr="005222A0">
              <w:t>Richtlinie</w:t>
            </w:r>
            <w:r w:rsidR="00B46308" w:rsidRPr="005222A0">
              <w:t>n der Schweizerischen Bankiervereinigung</w:t>
            </w:r>
            <w:r w:rsidRPr="005222A0">
              <w:t xml:space="preserve"> über die Protokollierungspflicht </w:t>
            </w:r>
            <w:r w:rsidR="00B46308" w:rsidRPr="005222A0">
              <w:t xml:space="preserve">nach </w:t>
            </w:r>
            <w:r w:rsidRPr="005222A0">
              <w:t>Art</w:t>
            </w:r>
            <w:r w:rsidR="004F3803" w:rsidRPr="005222A0">
              <w:t>. </w:t>
            </w:r>
            <w:r w:rsidR="00EA45B0" w:rsidRPr="005222A0">
              <w:t>2</w:t>
            </w:r>
            <w:r w:rsidRPr="005222A0">
              <w:t>4 Abs. 3 KAG</w:t>
            </w:r>
          </w:p>
          <w:p w14:paraId="131889EC" w14:textId="77777777" w:rsidR="00C61276" w:rsidRPr="00EB30C0" w:rsidRDefault="00C61276" w:rsidP="00B93868">
            <w:pPr>
              <w:pStyle w:val="Listenabsatz"/>
              <w:numPr>
                <w:ilvl w:val="0"/>
                <w:numId w:val="9"/>
              </w:numPr>
              <w:tabs>
                <w:tab w:val="left" w:pos="1024"/>
              </w:tabs>
              <w:spacing w:before="120" w:after="120" w:line="240" w:lineRule="auto"/>
              <w:rPr>
                <w:rFonts w:cs="Arial"/>
                <w:szCs w:val="20"/>
              </w:rPr>
            </w:pPr>
            <w:r>
              <w:t>SFAMA-Richtlinien für den Vertrieb kollektiver Kapitalanlagen vom 22.</w:t>
            </w:r>
            <w:r w:rsidR="004F3803">
              <w:t> </w:t>
            </w:r>
            <w:r>
              <w:t>Mai 2014, in Verbindung mit der SFAMA-Transparenzrichtlinie vom 22.</w:t>
            </w:r>
            <w:r w:rsidR="004F3803">
              <w:t> </w:t>
            </w:r>
            <w:r>
              <w:t>Mai 2014</w:t>
            </w:r>
          </w:p>
          <w:p w14:paraId="2F6FDCF4" w14:textId="77777777" w:rsidR="00C61276" w:rsidRPr="00EB30C0" w:rsidRDefault="00C61276" w:rsidP="00B93868">
            <w:pPr>
              <w:pStyle w:val="Listenabsatz"/>
              <w:numPr>
                <w:ilvl w:val="0"/>
                <w:numId w:val="9"/>
              </w:numPr>
              <w:tabs>
                <w:tab w:val="left" w:pos="1024"/>
              </w:tabs>
              <w:spacing w:before="120" w:after="120" w:line="240" w:lineRule="auto"/>
              <w:rPr>
                <w:rFonts w:cs="Arial"/>
                <w:szCs w:val="20"/>
              </w:rPr>
            </w:pPr>
            <w:r>
              <w:t>Verhaltensregeln SFAMA vom 7.</w:t>
            </w:r>
            <w:r w:rsidR="004F3803">
              <w:t> </w:t>
            </w:r>
            <w:r>
              <w:t>Oktober 2014</w:t>
            </w:r>
          </w:p>
          <w:p w14:paraId="717C5BA6" w14:textId="77777777" w:rsidR="00363C7A" w:rsidRPr="00EB30C0" w:rsidRDefault="00C61276" w:rsidP="00DA7AEF">
            <w:pPr>
              <w:spacing w:before="120" w:after="120" w:line="240" w:lineRule="auto"/>
              <w:rPr>
                <w:rFonts w:cs="Arial"/>
              </w:rPr>
            </w:pPr>
            <w:r>
              <w:rPr>
                <w:i/>
              </w:rPr>
              <w:t xml:space="preserve">Diese </w:t>
            </w:r>
            <w:r w:rsidR="00A4656F">
              <w:rPr>
                <w:i/>
              </w:rPr>
              <w:t xml:space="preserve">Vorschriften </w:t>
            </w:r>
            <w:r>
              <w:rPr>
                <w:i/>
              </w:rPr>
              <w:t xml:space="preserve">müssen zusammen mit den </w:t>
            </w:r>
            <w:r w:rsidR="00A4656F">
              <w:rPr>
                <w:i/>
              </w:rPr>
              <w:t xml:space="preserve">allgemeinen </w:t>
            </w:r>
            <w:r>
              <w:rPr>
                <w:i/>
              </w:rPr>
              <w:t xml:space="preserve">gesetzlichen Anforderungen </w:t>
            </w:r>
            <w:r w:rsidR="00A4656F">
              <w:rPr>
                <w:i/>
              </w:rPr>
              <w:t>an eine</w:t>
            </w:r>
            <w:r>
              <w:rPr>
                <w:i/>
              </w:rPr>
              <w:t xml:space="preserve"> angemessene </w:t>
            </w:r>
            <w:r w:rsidR="00A4656F">
              <w:rPr>
                <w:i/>
              </w:rPr>
              <w:t>Betriebso</w:t>
            </w:r>
            <w:r>
              <w:rPr>
                <w:i/>
              </w:rPr>
              <w:t>rganisation (</w:t>
            </w:r>
            <w:r w:rsidR="00A4656F">
              <w:rPr>
                <w:i/>
              </w:rPr>
              <w:t>„</w:t>
            </w:r>
            <w:r w:rsidR="00EA45B0">
              <w:rPr>
                <w:i/>
              </w:rPr>
              <w:t>Geschäftsb</w:t>
            </w:r>
            <w:r>
              <w:rPr>
                <w:i/>
              </w:rPr>
              <w:t>etrieb</w:t>
            </w:r>
            <w:r w:rsidR="00A4656F">
              <w:rPr>
                <w:i/>
              </w:rPr>
              <w:t>“</w:t>
            </w:r>
            <w:r>
              <w:rPr>
                <w:i/>
              </w:rPr>
              <w:t>)</w:t>
            </w:r>
            <w:r w:rsidR="00A4656F">
              <w:rPr>
                <w:i/>
              </w:rPr>
              <w:t>,</w:t>
            </w:r>
            <w:r>
              <w:rPr>
                <w:i/>
              </w:rPr>
              <w:t xml:space="preserve"> den Anforderungen </w:t>
            </w:r>
            <w:r w:rsidR="00A4656F">
              <w:rPr>
                <w:i/>
              </w:rPr>
              <w:t>an eine</w:t>
            </w:r>
            <w:r>
              <w:rPr>
                <w:i/>
              </w:rPr>
              <w:t xml:space="preserve"> einwandfreie Geschäftsführung und dem FINMA-Rundschreiben </w:t>
            </w:r>
            <w:r w:rsidR="00B82809" w:rsidRPr="005222A0">
              <w:rPr>
                <w:i/>
              </w:rPr>
              <w:t>RS</w:t>
            </w:r>
            <w:r w:rsidR="00DA7AEF">
              <w:rPr>
                <w:i/>
              </w:rPr>
              <w:t xml:space="preserve"> 2017/01 „Corporate Governance“</w:t>
            </w:r>
            <w:r w:rsidR="00B82809" w:rsidRPr="005222A0">
              <w:rPr>
                <w:i/>
              </w:rPr>
              <w:t xml:space="preserve"> </w:t>
            </w:r>
            <w:r w:rsidRPr="005222A0">
              <w:rPr>
                <w:i/>
              </w:rPr>
              <w:t>berücksichtigt</w:t>
            </w:r>
            <w:r>
              <w:rPr>
                <w:i/>
              </w:rPr>
              <w:t xml:space="preserve"> werden.</w:t>
            </w:r>
          </w:p>
        </w:tc>
      </w:tr>
      <w:tr w:rsidR="00C61276" w:rsidRPr="00573E72" w14:paraId="1A22DC78" w14:textId="77777777" w:rsidTr="004F21F9">
        <w:tc>
          <w:tcPr>
            <w:tcW w:w="2694" w:type="dxa"/>
            <w:shd w:val="clear" w:color="auto" w:fill="auto"/>
          </w:tcPr>
          <w:p w14:paraId="620CCCFA" w14:textId="77777777" w:rsidR="00C61276" w:rsidRPr="00EB30C0" w:rsidRDefault="00C61276" w:rsidP="00B9386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color w:val="222222"/>
              </w:rPr>
            </w:pPr>
            <w:r>
              <w:rPr>
                <w:color w:val="222222"/>
              </w:rPr>
              <w:lastRenderedPageBreak/>
              <w:t>Suitability</w:t>
            </w:r>
          </w:p>
        </w:tc>
        <w:tc>
          <w:tcPr>
            <w:tcW w:w="11701" w:type="dxa"/>
            <w:shd w:val="clear" w:color="auto" w:fill="auto"/>
          </w:tcPr>
          <w:p w14:paraId="202081DE" w14:textId="77777777" w:rsidR="00C61276" w:rsidRPr="00EB30C0" w:rsidRDefault="00C61276" w:rsidP="003138FC">
            <w:pPr>
              <w:tabs>
                <w:tab w:val="left" w:pos="33"/>
              </w:tabs>
              <w:spacing w:before="120" w:after="120" w:line="240" w:lineRule="auto"/>
              <w:rPr>
                <w:rFonts w:cs="Arial"/>
              </w:rPr>
            </w:pPr>
            <w:r>
              <w:t xml:space="preserve">Einhaltung </w:t>
            </w:r>
            <w:r w:rsidR="00EA45B0">
              <w:t xml:space="preserve">von </w:t>
            </w:r>
            <w:r>
              <w:t>Verhaltensregeln für die individuelle Vermögensverwaltung, die Anlageberatung, die Transaktionsausführung und den Vertrieb kollektiver Kapitalanlagen.</w:t>
            </w:r>
          </w:p>
        </w:tc>
      </w:tr>
      <w:tr w:rsidR="00C61276" w:rsidRPr="00573E72" w14:paraId="7BF31918" w14:textId="77777777" w:rsidTr="004F21F9">
        <w:tc>
          <w:tcPr>
            <w:tcW w:w="2694" w:type="dxa"/>
            <w:shd w:val="clear" w:color="auto" w:fill="auto"/>
          </w:tcPr>
          <w:p w14:paraId="4670B19F" w14:textId="77777777" w:rsidR="00C61276" w:rsidRPr="00EB30C0" w:rsidRDefault="00C61276" w:rsidP="003138FC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b/>
              </w:rPr>
            </w:pPr>
            <w:r>
              <w:rPr>
                <w:color w:val="222222"/>
              </w:rPr>
              <w:t>Potenzielle Risik</w:t>
            </w:r>
            <w:r w:rsidR="000F453A">
              <w:rPr>
                <w:color w:val="222222"/>
              </w:rPr>
              <w:t>oquell</w:t>
            </w:r>
            <w:r>
              <w:rPr>
                <w:color w:val="222222"/>
              </w:rPr>
              <w:t xml:space="preserve">en in Zusammenhang mit der Einhaltung </w:t>
            </w:r>
            <w:r w:rsidR="00EA45B0">
              <w:rPr>
                <w:color w:val="222222"/>
              </w:rPr>
              <w:t xml:space="preserve">von </w:t>
            </w:r>
            <w:r>
              <w:rPr>
                <w:color w:val="222222"/>
              </w:rPr>
              <w:t>Verhaltensregeln (Suitability</w:t>
            </w:r>
            <w:r w:rsidR="00334224">
              <w:rPr>
                <w:color w:val="222222"/>
              </w:rPr>
              <w:t>-</w:t>
            </w:r>
            <w:r>
              <w:rPr>
                <w:color w:val="222222"/>
              </w:rPr>
              <w:t>Ris</w:t>
            </w:r>
            <w:r w:rsidR="00334224">
              <w:rPr>
                <w:color w:val="222222"/>
              </w:rPr>
              <w:t>i</w:t>
            </w:r>
            <w:r>
              <w:rPr>
                <w:color w:val="222222"/>
              </w:rPr>
              <w:t>k</w:t>
            </w:r>
            <w:r w:rsidR="00334224">
              <w:rPr>
                <w:color w:val="222222"/>
              </w:rPr>
              <w:t>en</w:t>
            </w:r>
            <w:r>
              <w:rPr>
                <w:color w:val="222222"/>
              </w:rPr>
              <w:t>)</w:t>
            </w:r>
          </w:p>
        </w:tc>
        <w:tc>
          <w:tcPr>
            <w:tcW w:w="11701" w:type="dxa"/>
            <w:shd w:val="clear" w:color="auto" w:fill="auto"/>
          </w:tcPr>
          <w:p w14:paraId="6C5B0C48" w14:textId="77777777" w:rsidR="00C61276" w:rsidRPr="00EB30C0" w:rsidRDefault="000F453A" w:rsidP="00B46308">
            <w:pPr>
              <w:tabs>
                <w:tab w:val="left" w:pos="33"/>
              </w:tabs>
              <w:spacing w:before="120" w:after="120" w:line="240" w:lineRule="auto"/>
              <w:rPr>
                <w:rFonts w:cs="Arial"/>
              </w:rPr>
            </w:pPr>
            <w:r>
              <w:t xml:space="preserve">Zum </w:t>
            </w:r>
            <w:r w:rsidR="00C61276">
              <w:t>B</w:t>
            </w:r>
            <w:r>
              <w:t>eispiel:</w:t>
            </w:r>
            <w:r w:rsidR="00C61276">
              <w:t xml:space="preserve"> Verkaufsziele, </w:t>
            </w:r>
            <w:r w:rsidR="00C61276" w:rsidRPr="005222A0">
              <w:t xml:space="preserve">Entschädigungen, </w:t>
            </w:r>
            <w:r w:rsidRPr="005222A0">
              <w:t>Retrozessionen</w:t>
            </w:r>
            <w:r w:rsidR="00C61276" w:rsidRPr="005222A0">
              <w:t>, Unterschiede zwischen dem Risikoprofil des Kunden und dem Risikoprofil des Portfolios, Risiko</w:t>
            </w:r>
            <w:r w:rsidR="00B46308" w:rsidRPr="005222A0">
              <w:t>information</w:t>
            </w:r>
            <w:r w:rsidR="00C61276" w:rsidRPr="005222A0">
              <w:t xml:space="preserve"> und Dokumentation, Konzentrationsrisiken, Kundensegmentierung, </w:t>
            </w:r>
            <w:r w:rsidRPr="005222A0">
              <w:t>Best Execution</w:t>
            </w:r>
            <w:r w:rsidR="00C61276" w:rsidRPr="005222A0">
              <w:t xml:space="preserve">, Darlehensgeschäfte mit Wertschriften, Vertrieb von Finanzinstrumenten, </w:t>
            </w:r>
            <w:r w:rsidRPr="005222A0">
              <w:t>Teilnahme an</w:t>
            </w:r>
            <w:r w:rsidR="00C61276" w:rsidRPr="005222A0">
              <w:t xml:space="preserve"> Schulungen, Suitability-Systeme, Produkt</w:t>
            </w:r>
            <w:r w:rsidR="00D07317" w:rsidRPr="005222A0">
              <w:t>-</w:t>
            </w:r>
            <w:r w:rsidR="00C61276" w:rsidRPr="005222A0">
              <w:t xml:space="preserve">information, Kundenreklamationen und deren </w:t>
            </w:r>
            <w:r w:rsidR="00B46308" w:rsidRPr="005222A0">
              <w:t>Behandlung</w:t>
            </w:r>
            <w:r w:rsidR="00C61276" w:rsidRPr="005222A0">
              <w:t>,</w:t>
            </w:r>
            <w:r w:rsidR="00C61276">
              <w:t xml:space="preserve"> regulatorische Änderungen </w:t>
            </w:r>
            <w:r w:rsidR="00184666">
              <w:t>mit</w:t>
            </w:r>
            <w:r w:rsidR="00C61276">
              <w:t xml:space="preserve"> Auswirkungen auf die Suitability usw.</w:t>
            </w:r>
          </w:p>
        </w:tc>
      </w:tr>
      <w:tr w:rsidR="00C61276" w:rsidRPr="00EB30C0" w14:paraId="735BCBC2" w14:textId="77777777" w:rsidTr="004F21F9">
        <w:trPr>
          <w:trHeight w:val="2160"/>
        </w:trPr>
        <w:tc>
          <w:tcPr>
            <w:tcW w:w="2694" w:type="dxa"/>
            <w:shd w:val="clear" w:color="auto" w:fill="auto"/>
          </w:tcPr>
          <w:p w14:paraId="3816A023" w14:textId="77777777" w:rsidR="00C61276" w:rsidRDefault="00C61276" w:rsidP="00B9386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b/>
              </w:rPr>
            </w:pPr>
            <w:r>
              <w:rPr>
                <w:b/>
              </w:rPr>
              <w:t>Sign-offs:</w:t>
            </w:r>
          </w:p>
          <w:p w14:paraId="570A2047" w14:textId="77777777" w:rsidR="008727E7" w:rsidRPr="008727E7" w:rsidRDefault="008727E7" w:rsidP="00B63F71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701" w:type="dxa"/>
            <w:shd w:val="clear" w:color="auto" w:fill="auto"/>
          </w:tcPr>
          <w:p w14:paraId="3A851B29" w14:textId="77777777" w:rsidR="00C61276" w:rsidRPr="00EB30C0" w:rsidRDefault="00C61276" w:rsidP="00B93868">
            <w:pPr>
              <w:tabs>
                <w:tab w:val="left" w:pos="1859"/>
              </w:tabs>
              <w:spacing w:before="120" w:after="120" w:line="240" w:lineRule="auto"/>
              <w:rPr>
                <w:rFonts w:cs="Arial"/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3"/>
              <w:gridCol w:w="3685"/>
              <w:gridCol w:w="3544"/>
              <w:gridCol w:w="2228"/>
            </w:tblGrid>
            <w:tr w:rsidR="00C61276" w:rsidRPr="00EB30C0" w14:paraId="3D48BC12" w14:textId="77777777" w:rsidTr="002367F0">
              <w:tc>
                <w:tcPr>
                  <w:tcW w:w="2013" w:type="dxa"/>
                  <w:shd w:val="clear" w:color="auto" w:fill="D9D9D9"/>
                </w:tcPr>
                <w:p w14:paraId="1F6FC5CB" w14:textId="77777777" w:rsidR="00C61276" w:rsidRPr="00EB30C0" w:rsidRDefault="00C61276" w:rsidP="00B93868">
                  <w:pPr>
                    <w:tabs>
                      <w:tab w:val="left" w:pos="1859"/>
                    </w:tabs>
                    <w:spacing w:before="120" w:after="12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Sign-offs</w:t>
                  </w:r>
                </w:p>
              </w:tc>
              <w:tc>
                <w:tcPr>
                  <w:tcW w:w="3685" w:type="dxa"/>
                  <w:shd w:val="clear" w:color="auto" w:fill="D9D9D9"/>
                </w:tcPr>
                <w:p w14:paraId="1E03C4AE" w14:textId="77777777" w:rsidR="00C61276" w:rsidRPr="00EB30C0" w:rsidRDefault="00C61276" w:rsidP="00B93868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Name</w:t>
                  </w:r>
                </w:p>
              </w:tc>
              <w:tc>
                <w:tcPr>
                  <w:tcW w:w="3544" w:type="dxa"/>
                  <w:shd w:val="clear" w:color="auto" w:fill="D9D9D9"/>
                </w:tcPr>
                <w:p w14:paraId="119D0913" w14:textId="77777777" w:rsidR="00C61276" w:rsidRPr="00EB30C0" w:rsidRDefault="00C61276" w:rsidP="00B93868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Funktion</w:t>
                  </w:r>
                </w:p>
              </w:tc>
              <w:tc>
                <w:tcPr>
                  <w:tcW w:w="2228" w:type="dxa"/>
                  <w:shd w:val="clear" w:color="auto" w:fill="D9D9D9"/>
                </w:tcPr>
                <w:p w14:paraId="5071EAC7" w14:textId="77777777" w:rsidR="00C61276" w:rsidRPr="00EB30C0" w:rsidRDefault="00C61276" w:rsidP="00B93868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Datum</w:t>
                  </w:r>
                </w:p>
              </w:tc>
            </w:tr>
            <w:tr w:rsidR="00C61276" w:rsidRPr="00EB30C0" w14:paraId="10EEBF15" w14:textId="77777777" w:rsidTr="002367F0">
              <w:tc>
                <w:tcPr>
                  <w:tcW w:w="2013" w:type="dxa"/>
                  <w:shd w:val="clear" w:color="auto" w:fill="auto"/>
                </w:tcPr>
                <w:p w14:paraId="2A63C7F8" w14:textId="77777777" w:rsidR="00C61276" w:rsidRPr="00EB30C0" w:rsidRDefault="00C61276" w:rsidP="00B93868">
                  <w:pPr>
                    <w:tabs>
                      <w:tab w:val="left" w:pos="1859"/>
                    </w:tabs>
                    <w:spacing w:before="120" w:after="12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Prüfer: 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50FB4F3B" w14:textId="77777777" w:rsidR="00C61276" w:rsidRPr="00EB30C0" w:rsidRDefault="00C61276" w:rsidP="00B93868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  <w:highlight w:val="yellow"/>
                    </w:rPr>
                    <w:t>[Name]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541B77FA" w14:textId="77777777" w:rsidR="00C61276" w:rsidRPr="00EB30C0" w:rsidRDefault="00C61276" w:rsidP="00B93868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  <w:highlight w:val="yellow"/>
                    </w:rPr>
                    <w:t>[Assistent / Senior / Manager / Senior Manager / Partner]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14:paraId="3CD6A117" w14:textId="77777777" w:rsidR="00C61276" w:rsidRPr="00EB30C0" w:rsidRDefault="00C61276" w:rsidP="00B93868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  <w:highlight w:val="yellow"/>
                    </w:rPr>
                    <w:t>[TT.MM.JJJJ]</w:t>
                  </w:r>
                </w:p>
              </w:tc>
            </w:tr>
            <w:tr w:rsidR="00C61276" w:rsidRPr="00EB30C0" w14:paraId="2A3BA7ED" w14:textId="77777777" w:rsidTr="002367F0">
              <w:tc>
                <w:tcPr>
                  <w:tcW w:w="2013" w:type="dxa"/>
                  <w:shd w:val="clear" w:color="auto" w:fill="auto"/>
                </w:tcPr>
                <w:p w14:paraId="3225464C" w14:textId="77777777" w:rsidR="00C61276" w:rsidRPr="00EB30C0" w:rsidRDefault="00C61276" w:rsidP="00B93868">
                  <w:pPr>
                    <w:tabs>
                      <w:tab w:val="left" w:pos="1859"/>
                    </w:tabs>
                    <w:spacing w:before="120" w:after="12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Reviewer: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5B0697E4" w14:textId="77777777" w:rsidR="00C61276" w:rsidRPr="00EB30C0" w:rsidRDefault="00C61276" w:rsidP="00B93868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[Name]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26FDEE35" w14:textId="77777777" w:rsidR="00C61276" w:rsidRPr="00EB30C0" w:rsidRDefault="00C61276" w:rsidP="00B93868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 xml:space="preserve">[Senior / Manager / Senior Manager </w:t>
                  </w:r>
                  <w:r>
                    <w:rPr>
                      <w:rFonts w:cs="Arial"/>
                      <w:sz w:val="18"/>
                      <w:szCs w:val="18"/>
                      <w:highlight w:val="yellow"/>
                    </w:rPr>
                    <w:br/>
                  </w:r>
                  <w:r>
                    <w:rPr>
                      <w:sz w:val="18"/>
                      <w:highlight w:val="yellow"/>
                    </w:rPr>
                    <w:t>/ Partner]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14:paraId="76A81BB3" w14:textId="77777777" w:rsidR="00C61276" w:rsidRPr="00EB30C0" w:rsidRDefault="00C61276" w:rsidP="00B93868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[TT.MM.JJJJ]</w:t>
                  </w:r>
                </w:p>
              </w:tc>
            </w:tr>
          </w:tbl>
          <w:p w14:paraId="4DA5F95A" w14:textId="77777777" w:rsidR="00C61276" w:rsidRPr="00EB30C0" w:rsidRDefault="00C61276" w:rsidP="00B93868">
            <w:pPr>
              <w:tabs>
                <w:tab w:val="left" w:pos="1859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3A4B80E" w14:textId="77777777" w:rsidR="00C61276" w:rsidRPr="0045532C" w:rsidRDefault="00C61276" w:rsidP="00B93868">
      <w:pPr>
        <w:spacing w:before="120" w:after="120" w:line="240" w:lineRule="auto"/>
        <w:rPr>
          <w:rFonts w:cs="Arial"/>
        </w:rPr>
      </w:pPr>
    </w:p>
    <w:p w14:paraId="0135BE31" w14:textId="272EDA58" w:rsidR="00C61276" w:rsidRDefault="0022236A" w:rsidP="00891D70">
      <w:pPr>
        <w:spacing w:before="120" w:after="120" w:line="240" w:lineRule="auto"/>
        <w:rPr>
          <w:rFonts w:cs="Arial"/>
          <w:b/>
        </w:rPr>
      </w:pPr>
      <w:r w:rsidRPr="0022236A">
        <w:rPr>
          <w:b/>
        </w:rPr>
        <w:t>Dies ist ein Standard-Prüfprogramm, welches bei Interventionen gemäss Prüfstrategie (Rz 28ff FINMA-RS 13/3) zu vorerwähnten Prüfgebieten grundsätzlich anzuwenden ist. In der nachstehenden Spalte „Verhaltensregeln für“ ist angegeben, ob für das entsprechende Prüfgebiet ein bestimmter Prüfpunkt durc</w:t>
      </w:r>
      <w:r>
        <w:rPr>
          <w:b/>
        </w:rPr>
        <w:t>h</w:t>
      </w:r>
      <w:r w:rsidRPr="0022236A">
        <w:rPr>
          <w:b/>
        </w:rPr>
        <w:t>geführt werden muss.</w:t>
      </w:r>
      <w:bookmarkStart w:id="1" w:name="_GoBack"/>
      <w:bookmarkEnd w:id="1"/>
    </w:p>
    <w:p w14:paraId="05CE0DC2" w14:textId="14CE4DAB" w:rsidR="00C61276" w:rsidRPr="00DB7CF3" w:rsidRDefault="00C61276" w:rsidP="00891D70">
      <w:pPr>
        <w:spacing w:before="120" w:after="120" w:line="240" w:lineRule="auto"/>
        <w:rPr>
          <w:rFonts w:cs="Arial"/>
          <w:b/>
        </w:rPr>
      </w:pPr>
      <w:r>
        <w:rPr>
          <w:b/>
        </w:rPr>
        <w:t xml:space="preserve">Es liegt in der Verantwortung des Prüfteams, das Standard-Prüfprogramm an die spezifische Situation (Grösse, Geschäftsmodell, Organisation, Prozesse, Risikoexposure usw.) des geprüften Instituts anzupassen. </w:t>
      </w:r>
      <w:r w:rsidR="0022236A">
        <w:rPr>
          <w:b/>
        </w:rPr>
        <w:t>Werden die angegebenen Prüfungshandlungen nicht vollständig durchgeführt, ist in den Arbeitspapieren eine aussagekräftige Erläuterung dazu anzubringen.</w:t>
      </w:r>
    </w:p>
    <w:p w14:paraId="4CF2888B" w14:textId="77777777" w:rsidR="00C61276" w:rsidRPr="00003E26" w:rsidRDefault="00C61276" w:rsidP="00B93868">
      <w:pPr>
        <w:spacing w:before="120" w:after="120" w:line="240" w:lineRule="auto"/>
        <w:rPr>
          <w:rFonts w:cs="Arial"/>
          <w:b/>
        </w:rPr>
      </w:pPr>
      <w:r>
        <w:br w:type="page"/>
      </w:r>
      <w:r>
        <w:rPr>
          <w:b/>
        </w:rPr>
        <w:lastRenderedPageBreak/>
        <w:t>Abschliessende Zusammenfassung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482"/>
      </w:tblGrid>
      <w:tr w:rsidR="00C61276" w:rsidRPr="00EB30C0" w14:paraId="1BB16DE1" w14:textId="77777777" w:rsidTr="004F21F9">
        <w:trPr>
          <w:trHeight w:val="552"/>
          <w:tblHeader/>
        </w:trPr>
        <w:tc>
          <w:tcPr>
            <w:tcW w:w="2835" w:type="dxa"/>
            <w:shd w:val="pct15" w:color="auto" w:fill="auto"/>
          </w:tcPr>
          <w:p w14:paraId="0F6D2342" w14:textId="77777777" w:rsidR="00C61276" w:rsidRPr="00EB30C0" w:rsidRDefault="00C61276" w:rsidP="00B9386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Thema</w:t>
            </w:r>
          </w:p>
        </w:tc>
        <w:tc>
          <w:tcPr>
            <w:tcW w:w="11482" w:type="dxa"/>
            <w:shd w:val="pct15" w:color="auto" w:fill="auto"/>
          </w:tcPr>
          <w:p w14:paraId="68EE5EA2" w14:textId="77777777" w:rsidR="00C61276" w:rsidRPr="00EB30C0" w:rsidRDefault="00C61276" w:rsidP="00B93868">
            <w:pPr>
              <w:tabs>
                <w:tab w:val="left" w:pos="1859"/>
              </w:tabs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Information / Beschreibung</w:t>
            </w:r>
          </w:p>
        </w:tc>
      </w:tr>
      <w:tr w:rsidR="00C61276" w:rsidRPr="00573E72" w14:paraId="3B3EB124" w14:textId="77777777" w:rsidTr="004F21F9">
        <w:trPr>
          <w:trHeight w:val="3257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00D12257" w14:textId="77777777" w:rsidR="00C61276" w:rsidRDefault="00DC2149" w:rsidP="00B9386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 w:rsidRPr="005222A0">
              <w:rPr>
                <w:sz w:val="16"/>
              </w:rPr>
              <w:t>Zusammenfassende Gesamtbeurteilung</w:t>
            </w:r>
          </w:p>
          <w:p w14:paraId="721F0FA9" w14:textId="77777777" w:rsidR="00F954F7" w:rsidRDefault="00F954F7" w:rsidP="00B9386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2CA8BF1B" w14:textId="77777777" w:rsidR="00F954F7" w:rsidRDefault="00F954F7" w:rsidP="00B9386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60B845CC" w14:textId="77777777" w:rsidR="00F954F7" w:rsidRDefault="00F954F7" w:rsidP="00B9386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185A9EE5" w14:textId="77777777" w:rsidR="00F954F7" w:rsidRDefault="00F954F7" w:rsidP="00B9386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678E6D5D" w14:textId="77777777" w:rsidR="00F954F7" w:rsidRDefault="00F954F7" w:rsidP="00B9386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5E066F23" w14:textId="77777777" w:rsidR="00F954F7" w:rsidRDefault="00F954F7" w:rsidP="00B9386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37E27033" w14:textId="77777777" w:rsidR="00F954F7" w:rsidRDefault="00F954F7" w:rsidP="00B9386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04F7303E" w14:textId="77777777" w:rsidR="00F954F7" w:rsidRDefault="00F954F7" w:rsidP="00B9386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1A027A97" w14:textId="77777777" w:rsidR="00F954F7" w:rsidRDefault="00F954F7" w:rsidP="00B9386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6C25B1F1" w14:textId="77777777" w:rsidR="00AD0A33" w:rsidRPr="00EB30C0" w:rsidRDefault="00AD0A33" w:rsidP="00B9386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482" w:type="dxa"/>
            <w:tcBorders>
              <w:bottom w:val="nil"/>
            </w:tcBorders>
            <w:shd w:val="clear" w:color="auto" w:fill="auto"/>
          </w:tcPr>
          <w:p w14:paraId="7D286880" w14:textId="77777777" w:rsidR="00C61276" w:rsidRPr="00232820" w:rsidRDefault="00C61276" w:rsidP="00F954F7">
            <w:pPr>
              <w:spacing w:line="240" w:lineRule="auto"/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0"/>
              <w:gridCol w:w="5514"/>
            </w:tblGrid>
            <w:tr w:rsidR="00C61276" w:rsidRPr="00232820" w14:paraId="6FC8FD0C" w14:textId="77777777" w:rsidTr="002367F0">
              <w:tc>
                <w:tcPr>
                  <w:tcW w:w="5620" w:type="dxa"/>
                  <w:shd w:val="clear" w:color="auto" w:fill="D9D9D9"/>
                  <w:tcMar>
                    <w:left w:w="0" w:type="dxa"/>
                  </w:tcMar>
                </w:tcPr>
                <w:p w14:paraId="123E03BE" w14:textId="77777777" w:rsidR="00C61276" w:rsidRPr="00232820" w:rsidRDefault="00C61276" w:rsidP="00B93868">
                  <w:pPr>
                    <w:tabs>
                      <w:tab w:val="left" w:pos="1859"/>
                    </w:tabs>
                    <w:spacing w:before="120" w:after="120" w:line="240" w:lineRule="auto"/>
                    <w:ind w:left="34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</w:rPr>
                    <w:t>Bestätigung im Prüfbericht:</w:t>
                  </w:r>
                </w:p>
              </w:tc>
              <w:tc>
                <w:tcPr>
                  <w:tcW w:w="5514" w:type="dxa"/>
                  <w:shd w:val="clear" w:color="auto" w:fill="D9D9D9"/>
                </w:tcPr>
                <w:p w14:paraId="702252A2" w14:textId="77777777" w:rsidR="00C61276" w:rsidRPr="00232820" w:rsidRDefault="00C61276" w:rsidP="00B93868">
                  <w:pPr>
                    <w:tabs>
                      <w:tab w:val="left" w:pos="1859"/>
                    </w:tabs>
                    <w:spacing w:before="120" w:after="120"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</w:rPr>
                    <w:t>Zusammenfassung:</w:t>
                  </w:r>
                </w:p>
              </w:tc>
            </w:tr>
            <w:tr w:rsidR="00C61276" w:rsidRPr="00573E72" w14:paraId="6062BA9B" w14:textId="77777777" w:rsidTr="002367F0">
              <w:tc>
                <w:tcPr>
                  <w:tcW w:w="5620" w:type="dxa"/>
                  <w:shd w:val="clear" w:color="auto" w:fill="auto"/>
                  <w:tcMar>
                    <w:left w:w="0" w:type="dxa"/>
                  </w:tcMar>
                </w:tcPr>
                <w:p w14:paraId="0CA09A4B" w14:textId="77777777" w:rsidR="00C61276" w:rsidRPr="00AD0A33" w:rsidRDefault="00C61276" w:rsidP="00B93868">
                  <w:pPr>
                    <w:spacing w:before="120" w:after="120" w:line="240" w:lineRule="auto"/>
                    <w:ind w:left="113"/>
                    <w:rPr>
                      <w:rFonts w:cs="Arial"/>
                      <w:sz w:val="16"/>
                      <w:szCs w:val="16"/>
                    </w:rPr>
                  </w:pPr>
                  <w:r w:rsidRPr="00AD0A33">
                    <w:rPr>
                      <w:rFonts w:cs="Arial"/>
                      <w:sz w:val="16"/>
                      <w:szCs w:val="16"/>
                    </w:rPr>
                    <w:t>Bestätigung, dass die Betriebsorganisation zur Bewirtschaftung, Kontrolle und Rapportierung der Suitability-Risiken in den Bereichen □ individuelle Vermögensverwaltung, □ Anlageberatung, □ Transaktionsausführung und □ Vertrieb kollektiver Kapitalanlagen angemessen war.</w:t>
                  </w:r>
                  <w:r w:rsidRPr="00AD0A33">
                    <w:rPr>
                      <w:rStyle w:val="Funotenzeichen"/>
                      <w:rFonts w:cs="Arial"/>
                      <w:sz w:val="16"/>
                      <w:szCs w:val="16"/>
                    </w:rPr>
                    <w:footnoteReference w:id="1"/>
                  </w:r>
                  <w:r w:rsidRPr="00AD0A3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514" w:type="dxa"/>
                  <w:shd w:val="clear" w:color="auto" w:fill="auto"/>
                </w:tcPr>
                <w:p w14:paraId="084BD623" w14:textId="77777777" w:rsidR="00C61276" w:rsidRPr="00232820" w:rsidRDefault="00C61276" w:rsidP="00B93868">
                  <w:pPr>
                    <w:tabs>
                      <w:tab w:val="left" w:pos="1859"/>
                    </w:tabs>
                    <w:spacing w:before="120" w:after="120" w:line="240" w:lineRule="auto"/>
                    <w:rPr>
                      <w:rFonts w:cs="Arial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b/>
                      <w:sz w:val="16"/>
                      <w:highlight w:val="yellow"/>
                    </w:rPr>
                    <w:t>Ja</w:t>
                  </w:r>
                  <w:r>
                    <w:rPr>
                      <w:sz w:val="16"/>
                      <w:highlight w:val="yellow"/>
                    </w:rPr>
                    <w:t xml:space="preserve"> (Prüfung / kritische Beurteilung) / </w:t>
                  </w:r>
                  <w:r>
                    <w:rPr>
                      <w:b/>
                      <w:sz w:val="16"/>
                      <w:highlight w:val="yellow"/>
                    </w:rPr>
                    <w:t>Nein</w:t>
                  </w:r>
                </w:p>
              </w:tc>
            </w:tr>
            <w:tr w:rsidR="00C61276" w:rsidRPr="00573E72" w14:paraId="209380BE" w14:textId="77777777" w:rsidTr="002367F0">
              <w:tc>
                <w:tcPr>
                  <w:tcW w:w="5620" w:type="dxa"/>
                  <w:shd w:val="clear" w:color="auto" w:fill="auto"/>
                  <w:tcMar>
                    <w:left w:w="0" w:type="dxa"/>
                  </w:tcMar>
                </w:tcPr>
                <w:p w14:paraId="469DA77F" w14:textId="77777777" w:rsidR="00C61276" w:rsidRPr="00AD0A33" w:rsidRDefault="00C61276" w:rsidP="003344A8">
                  <w:pPr>
                    <w:spacing w:before="120" w:after="120" w:line="240" w:lineRule="auto"/>
                    <w:ind w:left="113"/>
                    <w:rPr>
                      <w:rFonts w:cs="Arial"/>
                      <w:sz w:val="16"/>
                      <w:szCs w:val="16"/>
                    </w:rPr>
                  </w:pPr>
                  <w:r w:rsidRPr="00AD0A33">
                    <w:rPr>
                      <w:rFonts w:cs="Arial"/>
                      <w:sz w:val="16"/>
                      <w:szCs w:val="16"/>
                    </w:rPr>
                    <w:t xml:space="preserve">Bestätigung, dass die internen </w:t>
                  </w:r>
                  <w:r w:rsidR="00B70245" w:rsidRPr="00AD0A33">
                    <w:rPr>
                      <w:rFonts w:cs="Arial"/>
                      <w:sz w:val="16"/>
                      <w:szCs w:val="16"/>
                    </w:rPr>
                    <w:t>P</w:t>
                  </w:r>
                  <w:r w:rsidRPr="00AD0A33">
                    <w:rPr>
                      <w:rFonts w:cs="Arial"/>
                      <w:sz w:val="16"/>
                      <w:szCs w:val="16"/>
                    </w:rPr>
                    <w:t>rozesse zur Einhaltung der Verhaltens</w:t>
                  </w:r>
                  <w:r w:rsidR="00B70245" w:rsidRPr="00AD0A33">
                    <w:rPr>
                      <w:rFonts w:cs="Arial"/>
                      <w:sz w:val="16"/>
                      <w:szCs w:val="16"/>
                    </w:rPr>
                    <w:t>regeln</w:t>
                  </w:r>
                  <w:r w:rsidRPr="00AD0A33">
                    <w:rPr>
                      <w:rFonts w:cs="Arial"/>
                      <w:sz w:val="16"/>
                      <w:szCs w:val="16"/>
                    </w:rPr>
                    <w:t xml:space="preserve"> gegenüber Kunden bezüglich</w:t>
                  </w:r>
                  <w:r w:rsidR="00334224" w:rsidRPr="00AD0A3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AD0A33">
                    <w:rPr>
                      <w:rFonts w:cs="Arial"/>
                      <w:sz w:val="16"/>
                      <w:szCs w:val="16"/>
                    </w:rPr>
                    <w:t>□ individuelle</w:t>
                  </w:r>
                  <w:r w:rsidR="003344A8" w:rsidRPr="00AD0A33">
                    <w:rPr>
                      <w:rFonts w:cs="Arial"/>
                      <w:sz w:val="16"/>
                      <w:szCs w:val="16"/>
                    </w:rPr>
                    <w:t>r</w:t>
                  </w:r>
                  <w:r w:rsidRPr="00AD0A33">
                    <w:rPr>
                      <w:rFonts w:cs="Arial"/>
                      <w:sz w:val="16"/>
                      <w:szCs w:val="16"/>
                    </w:rPr>
                    <w:t xml:space="preserve"> Vermögensverwaltung, □ Anlageberatung, □ Transaktionsausführung und</w:t>
                  </w:r>
                  <w:r w:rsidR="00334224" w:rsidRPr="00AD0A33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AD0A33">
                    <w:rPr>
                      <w:rFonts w:cs="Arial"/>
                      <w:sz w:val="16"/>
                      <w:szCs w:val="16"/>
                    </w:rPr>
                    <w:t xml:space="preserve">□ Vertrieb kollektiver Kapitalanlagen angemessen waren und im Fall der Prüftiefe </w:t>
                  </w:r>
                  <w:r w:rsidR="00334224" w:rsidRPr="00AD0A33">
                    <w:rPr>
                      <w:rFonts w:cs="Arial"/>
                      <w:sz w:val="16"/>
                      <w:szCs w:val="16"/>
                    </w:rPr>
                    <w:t>„</w:t>
                  </w:r>
                  <w:r w:rsidRPr="00AD0A33">
                    <w:rPr>
                      <w:rFonts w:cs="Arial"/>
                      <w:sz w:val="16"/>
                      <w:szCs w:val="16"/>
                    </w:rPr>
                    <w:t>Prüfung</w:t>
                  </w:r>
                  <w:r w:rsidR="00334224" w:rsidRPr="00AD0A33">
                    <w:rPr>
                      <w:rFonts w:cs="Arial"/>
                      <w:sz w:val="16"/>
                      <w:szCs w:val="16"/>
                    </w:rPr>
                    <w:t>“</w:t>
                  </w:r>
                  <w:r w:rsidRPr="00AD0A33">
                    <w:rPr>
                      <w:rFonts w:cs="Arial"/>
                      <w:sz w:val="16"/>
                      <w:szCs w:val="16"/>
                    </w:rPr>
                    <w:t xml:space="preserve"> eingehalten wurden</w:t>
                  </w:r>
                  <w:r w:rsidRPr="00AD0A33">
                    <w:rPr>
                      <w:rFonts w:cs="Arial"/>
                      <w:i/>
                      <w:sz w:val="16"/>
                      <w:szCs w:val="16"/>
                    </w:rPr>
                    <w:t>.</w:t>
                  </w:r>
                  <w:r w:rsidRPr="00AD0A33">
                    <w:rPr>
                      <w:rStyle w:val="Funotenzeichen"/>
                      <w:rFonts w:cs="Arial"/>
                      <w:sz w:val="16"/>
                      <w:szCs w:val="16"/>
                    </w:rPr>
                    <w:footnoteReference w:id="2"/>
                  </w:r>
                </w:p>
              </w:tc>
              <w:tc>
                <w:tcPr>
                  <w:tcW w:w="5514" w:type="dxa"/>
                  <w:shd w:val="clear" w:color="auto" w:fill="auto"/>
                </w:tcPr>
                <w:p w14:paraId="292F8F26" w14:textId="77777777" w:rsidR="00C61276" w:rsidRPr="00232820" w:rsidRDefault="00C61276" w:rsidP="00334224">
                  <w:pPr>
                    <w:tabs>
                      <w:tab w:val="left" w:pos="1859"/>
                    </w:tabs>
                    <w:spacing w:before="120" w:after="120" w:line="240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highlight w:val="yellow"/>
                    </w:rPr>
                    <w:t>Ja</w:t>
                  </w:r>
                  <w:r>
                    <w:rPr>
                      <w:sz w:val="16"/>
                      <w:highlight w:val="yellow"/>
                    </w:rPr>
                    <w:t xml:space="preserve"> (Prüfung / kritische Beurteilung) / </w:t>
                  </w:r>
                  <w:r>
                    <w:rPr>
                      <w:b/>
                      <w:sz w:val="16"/>
                      <w:highlight w:val="yellow"/>
                    </w:rPr>
                    <w:t>Nein</w:t>
                  </w:r>
                </w:p>
              </w:tc>
            </w:tr>
            <w:tr w:rsidR="00C61276" w:rsidRPr="00573E72" w14:paraId="2E576280" w14:textId="77777777" w:rsidTr="002367F0">
              <w:tc>
                <w:tcPr>
                  <w:tcW w:w="5620" w:type="dxa"/>
                  <w:shd w:val="clear" w:color="auto" w:fill="auto"/>
                  <w:tcMar>
                    <w:left w:w="0" w:type="dxa"/>
                  </w:tcMar>
                </w:tcPr>
                <w:p w14:paraId="55BECDFE" w14:textId="77777777" w:rsidR="00C61276" w:rsidRPr="00AD0A33" w:rsidRDefault="00C61276" w:rsidP="00EA45B0">
                  <w:pPr>
                    <w:spacing w:before="120" w:after="120" w:line="240" w:lineRule="auto"/>
                    <w:ind w:left="113"/>
                    <w:rPr>
                      <w:rFonts w:cs="Arial"/>
                      <w:sz w:val="16"/>
                      <w:szCs w:val="16"/>
                      <w:highlight w:val="yellow"/>
                    </w:rPr>
                  </w:pPr>
                  <w:r w:rsidRPr="00AD0A33">
                    <w:rPr>
                      <w:rFonts w:cs="Arial"/>
                      <w:sz w:val="16"/>
                      <w:szCs w:val="16"/>
                    </w:rPr>
                    <w:t>Bestätigung, dass die Massnahmen</w:t>
                  </w:r>
                  <w:r w:rsidR="00EA45B0" w:rsidRPr="00AD0A33">
                    <w:rPr>
                      <w:rFonts w:cs="Arial"/>
                      <w:sz w:val="16"/>
                      <w:szCs w:val="16"/>
                    </w:rPr>
                    <w:t xml:space="preserve"> im Bereich der</w:t>
                  </w:r>
                  <w:r w:rsidRPr="00AD0A33">
                    <w:rPr>
                      <w:rFonts w:cs="Arial"/>
                      <w:sz w:val="16"/>
                      <w:szCs w:val="16"/>
                    </w:rPr>
                    <w:t xml:space="preserve"> Aus- und Weiterbildung bezüglich □ individueller Vermögensverwaltung, □ Anlageberatung, □ Transaktionsausführung und □ Vertrieb kollektiver Kapitalanlagen angemessen waren.</w:t>
                  </w:r>
                  <w:r w:rsidRPr="00AD0A33">
                    <w:rPr>
                      <w:rStyle w:val="Funotenzeichen"/>
                      <w:rFonts w:cs="Arial"/>
                      <w:sz w:val="16"/>
                      <w:szCs w:val="16"/>
                    </w:rPr>
                    <w:t xml:space="preserve"> </w:t>
                  </w:r>
                  <w:r w:rsidRPr="00AD0A33">
                    <w:rPr>
                      <w:rStyle w:val="Funotenzeichen"/>
                      <w:rFonts w:cs="Arial"/>
                      <w:sz w:val="16"/>
                      <w:szCs w:val="16"/>
                    </w:rPr>
                    <w:footnoteReference w:id="3"/>
                  </w:r>
                </w:p>
              </w:tc>
              <w:tc>
                <w:tcPr>
                  <w:tcW w:w="5514" w:type="dxa"/>
                  <w:shd w:val="clear" w:color="auto" w:fill="auto"/>
                </w:tcPr>
                <w:p w14:paraId="13F1625E" w14:textId="77777777" w:rsidR="00C61276" w:rsidRPr="00232820" w:rsidRDefault="00C61276" w:rsidP="00334224">
                  <w:pPr>
                    <w:tabs>
                      <w:tab w:val="left" w:pos="1859"/>
                    </w:tabs>
                    <w:spacing w:before="120" w:after="120" w:line="240" w:lineRule="auto"/>
                    <w:rPr>
                      <w:rFonts w:cs="Arial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b/>
                      <w:sz w:val="16"/>
                      <w:highlight w:val="yellow"/>
                    </w:rPr>
                    <w:t>Ja</w:t>
                  </w:r>
                  <w:r>
                    <w:rPr>
                      <w:sz w:val="16"/>
                      <w:highlight w:val="yellow"/>
                    </w:rPr>
                    <w:t xml:space="preserve"> (Prüfung / kritische Beurteilung) / </w:t>
                  </w:r>
                  <w:r>
                    <w:rPr>
                      <w:b/>
                      <w:sz w:val="16"/>
                      <w:highlight w:val="yellow"/>
                    </w:rPr>
                    <w:t>Nein</w:t>
                  </w:r>
                </w:p>
              </w:tc>
            </w:tr>
          </w:tbl>
          <w:p w14:paraId="696AA4BC" w14:textId="77777777" w:rsidR="00C61276" w:rsidRPr="00232820" w:rsidRDefault="00C61276" w:rsidP="00B93868">
            <w:pPr>
              <w:tabs>
                <w:tab w:val="left" w:pos="1859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1276" w:rsidRPr="00EB30C0" w14:paraId="0A2EC489" w14:textId="77777777" w:rsidTr="004F21F9">
        <w:trPr>
          <w:trHeight w:val="561"/>
        </w:trPr>
        <w:tc>
          <w:tcPr>
            <w:tcW w:w="2835" w:type="dxa"/>
            <w:shd w:val="clear" w:color="auto" w:fill="auto"/>
          </w:tcPr>
          <w:p w14:paraId="6F1E7AAE" w14:textId="77777777" w:rsidR="00C61276" w:rsidRPr="00EB30C0" w:rsidRDefault="00C61276" w:rsidP="00334224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Zusammenfassung der Prüfresultate</w:t>
            </w:r>
            <w:r w:rsidR="00044974">
              <w:rPr>
                <w:sz w:val="16"/>
              </w:rPr>
              <w:t xml:space="preserve"> / </w:t>
            </w:r>
            <w:r w:rsidR="00044974" w:rsidRPr="00277A18">
              <w:rPr>
                <w:sz w:val="16"/>
              </w:rPr>
              <w:t>Beanstandungen und Empfehlungen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(ausführliche Informationen nachstehend)</w:t>
            </w:r>
          </w:p>
        </w:tc>
        <w:tc>
          <w:tcPr>
            <w:tcW w:w="11482" w:type="dxa"/>
            <w:shd w:val="clear" w:color="auto" w:fill="auto"/>
          </w:tcPr>
          <w:p w14:paraId="7F5565C9" w14:textId="77777777" w:rsidR="00C61276" w:rsidRPr="00277A18" w:rsidRDefault="00C61276" w:rsidP="00B93868">
            <w:pPr>
              <w:tabs>
                <w:tab w:val="left" w:pos="1859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 w:rsidRPr="00EE21E1">
              <w:rPr>
                <w:sz w:val="16"/>
                <w:highlight w:val="yellow"/>
              </w:rPr>
              <w:t>[Zusammenfassung der Prüfresultate</w:t>
            </w:r>
            <w:r w:rsidR="00044974" w:rsidRPr="00EE21E1">
              <w:rPr>
                <w:sz w:val="16"/>
                <w:highlight w:val="yellow"/>
              </w:rPr>
              <w:t xml:space="preserve"> / Beanstandungen und Empfehlungen</w:t>
            </w:r>
            <w:r w:rsidRPr="00277A18">
              <w:rPr>
                <w:sz w:val="16"/>
              </w:rPr>
              <w:t>]</w:t>
            </w:r>
          </w:p>
        </w:tc>
      </w:tr>
      <w:tr w:rsidR="00C61276" w:rsidRPr="00EB30C0" w14:paraId="52845EF9" w14:textId="77777777" w:rsidTr="004F21F9">
        <w:trPr>
          <w:trHeight w:val="561"/>
        </w:trPr>
        <w:tc>
          <w:tcPr>
            <w:tcW w:w="2835" w:type="dxa"/>
            <w:shd w:val="clear" w:color="auto" w:fill="auto"/>
          </w:tcPr>
          <w:p w14:paraId="3F3680A1" w14:textId="77777777" w:rsidR="00C61276" w:rsidRPr="00EB30C0" w:rsidRDefault="00C61276" w:rsidP="00B93868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Prüffelder, Prüfresultate und Prüfungshandlungen der Internen Revision, auf die sich die Prüfgesellschaft gestützt hat (einschliesslich Würdigung durch die Prüfgesellschaft)</w:t>
            </w:r>
          </w:p>
        </w:tc>
        <w:tc>
          <w:tcPr>
            <w:tcW w:w="11482" w:type="dxa"/>
            <w:shd w:val="clear" w:color="auto" w:fill="auto"/>
          </w:tcPr>
          <w:p w14:paraId="28F1778F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sz w:val="16"/>
                <w:highlight w:val="yellow"/>
              </w:rPr>
              <w:t>[Beschreibung]</w:t>
            </w:r>
          </w:p>
        </w:tc>
      </w:tr>
    </w:tbl>
    <w:p w14:paraId="3B3C4EDF" w14:textId="77777777" w:rsidR="00C61276" w:rsidRPr="00F954F7" w:rsidRDefault="00C61276" w:rsidP="00B93868">
      <w:pPr>
        <w:spacing w:before="120" w:after="120" w:line="240" w:lineRule="auto"/>
        <w:rPr>
          <w:rFonts w:cs="Arial"/>
        </w:rPr>
      </w:pPr>
      <w:r>
        <w:br w:type="page"/>
      </w:r>
      <w:r>
        <w:rPr>
          <w:b/>
        </w:rPr>
        <w:lastRenderedPageBreak/>
        <w:t>Prüfprogramm für Banken – Suitability</w:t>
      </w:r>
    </w:p>
    <w:tbl>
      <w:tblPr>
        <w:tblW w:w="151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596"/>
        <w:gridCol w:w="596"/>
        <w:gridCol w:w="673"/>
        <w:gridCol w:w="567"/>
        <w:gridCol w:w="1531"/>
        <w:gridCol w:w="3856"/>
        <w:gridCol w:w="3656"/>
        <w:gridCol w:w="2410"/>
        <w:gridCol w:w="709"/>
      </w:tblGrid>
      <w:tr w:rsidR="00C61276" w:rsidRPr="00EB30C0" w14:paraId="35BF5089" w14:textId="77777777" w:rsidTr="00E17F64">
        <w:trPr>
          <w:trHeight w:val="233"/>
          <w:tblHeader/>
        </w:trPr>
        <w:tc>
          <w:tcPr>
            <w:tcW w:w="2461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14:paraId="13AAA7BE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Verhaltensregeln für</w:t>
            </w:r>
          </w:p>
        </w:tc>
        <w:tc>
          <w:tcPr>
            <w:tcW w:w="567" w:type="dxa"/>
            <w:vMerge w:val="restart"/>
            <w:shd w:val="pct20" w:color="auto" w:fill="auto"/>
          </w:tcPr>
          <w:p w14:paraId="14F1D8A0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Nr.</w:t>
            </w:r>
          </w:p>
        </w:tc>
        <w:tc>
          <w:tcPr>
            <w:tcW w:w="1531" w:type="dxa"/>
            <w:vMerge w:val="restart"/>
            <w:shd w:val="pct20" w:color="auto" w:fill="auto"/>
          </w:tcPr>
          <w:p w14:paraId="1D10393C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Thema</w:t>
            </w:r>
          </w:p>
        </w:tc>
        <w:tc>
          <w:tcPr>
            <w:tcW w:w="3856" w:type="dxa"/>
            <w:vMerge w:val="restart"/>
            <w:shd w:val="pct20" w:color="auto" w:fill="auto"/>
          </w:tcPr>
          <w:p w14:paraId="127074BD" w14:textId="2AFEE288" w:rsidR="00C61276" w:rsidRPr="00EB30C0" w:rsidRDefault="00C61276" w:rsidP="00383A52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Prüfungshandlungen für Prüftiefe </w:t>
            </w:r>
            <w:r w:rsidR="00383A52">
              <w:rPr>
                <w:b/>
                <w:sz w:val="16"/>
              </w:rPr>
              <w:t>„</w:t>
            </w:r>
            <w:r>
              <w:rPr>
                <w:b/>
                <w:sz w:val="16"/>
              </w:rPr>
              <w:t>kritische Beurteilung</w:t>
            </w:r>
            <w:r w:rsidR="00383A52">
              <w:rPr>
                <w:b/>
                <w:sz w:val="16"/>
              </w:rPr>
              <w:t>“</w:t>
            </w:r>
          </w:p>
        </w:tc>
        <w:tc>
          <w:tcPr>
            <w:tcW w:w="3656" w:type="dxa"/>
            <w:vMerge w:val="restart"/>
            <w:shd w:val="pct20" w:color="auto" w:fill="auto"/>
          </w:tcPr>
          <w:p w14:paraId="7F3B2423" w14:textId="66C48CD5" w:rsidR="00C61276" w:rsidRPr="00EB30C0" w:rsidRDefault="00C61276" w:rsidP="0022236A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u w:val="single"/>
              </w:rPr>
              <w:t>Zusätzliche</w:t>
            </w:r>
            <w:r>
              <w:rPr>
                <w:b/>
                <w:sz w:val="16"/>
              </w:rPr>
              <w:t xml:space="preserve"> Prüfungshandlungen für Prüftiefe </w:t>
            </w:r>
            <w:r w:rsidR="00383A52">
              <w:rPr>
                <w:b/>
                <w:sz w:val="16"/>
              </w:rPr>
              <w:t>„</w:t>
            </w:r>
            <w:r>
              <w:rPr>
                <w:b/>
                <w:sz w:val="16"/>
              </w:rPr>
              <w:t>Prüfung</w:t>
            </w:r>
            <w:r w:rsidR="00383A52">
              <w:rPr>
                <w:b/>
                <w:sz w:val="16"/>
              </w:rPr>
              <w:t>“</w:t>
            </w:r>
          </w:p>
        </w:tc>
        <w:tc>
          <w:tcPr>
            <w:tcW w:w="2410" w:type="dxa"/>
            <w:vMerge w:val="restart"/>
            <w:shd w:val="pct20" w:color="auto" w:fill="auto"/>
          </w:tcPr>
          <w:p w14:paraId="1AE65CBC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Durchgeführte Prüfungshandlungen / Feststellungen</w:t>
            </w:r>
          </w:p>
          <w:p w14:paraId="12806241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(inklusive Statistiken zur Stichprobengrösse und Unterlagen, die von den Prüfenden beanstandet wurden, sowie ihre Empfehlungen)</w:t>
            </w:r>
          </w:p>
        </w:tc>
        <w:tc>
          <w:tcPr>
            <w:tcW w:w="709" w:type="dxa"/>
            <w:vMerge w:val="restart"/>
            <w:shd w:val="pct20" w:color="auto" w:fill="auto"/>
          </w:tcPr>
          <w:p w14:paraId="624615CD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Arbeitspapiere Ref.:</w:t>
            </w:r>
          </w:p>
        </w:tc>
      </w:tr>
      <w:tr w:rsidR="00C61276" w:rsidRPr="00573E72" w14:paraId="08E28FA7" w14:textId="77777777" w:rsidTr="00E17F64">
        <w:trPr>
          <w:cantSplit/>
          <w:trHeight w:val="1484"/>
          <w:tblHeader/>
        </w:trPr>
        <w:tc>
          <w:tcPr>
            <w:tcW w:w="596" w:type="dxa"/>
            <w:tcBorders>
              <w:bottom w:val="single" w:sz="4" w:space="0" w:color="auto"/>
            </w:tcBorders>
            <w:shd w:val="pct20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0781634D" w14:textId="77777777" w:rsidR="00C61276" w:rsidRPr="00EB30C0" w:rsidRDefault="00C61276" w:rsidP="00272766">
            <w:pPr>
              <w:spacing w:line="240" w:lineRule="auto"/>
              <w:ind w:left="113" w:right="113"/>
              <w:rPr>
                <w:rFonts w:cs="Arial"/>
                <w:sz w:val="14"/>
                <w:szCs w:val="14"/>
              </w:rPr>
            </w:pPr>
            <w:r>
              <w:rPr>
                <w:sz w:val="14"/>
              </w:rPr>
              <w:t>Individuelle Vermögensverwaltung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pct20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09CB380C" w14:textId="77777777" w:rsidR="00C61276" w:rsidRPr="00EB30C0" w:rsidRDefault="00C61276" w:rsidP="00272766">
            <w:pPr>
              <w:spacing w:line="240" w:lineRule="auto"/>
              <w:ind w:left="113" w:right="113"/>
              <w:rPr>
                <w:rFonts w:cs="Arial"/>
                <w:sz w:val="14"/>
                <w:szCs w:val="14"/>
              </w:rPr>
            </w:pPr>
            <w:r>
              <w:rPr>
                <w:sz w:val="14"/>
              </w:rPr>
              <w:t>Anlageberatung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pct20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5431EB3E" w14:textId="77777777" w:rsidR="00C61276" w:rsidRPr="00EB30C0" w:rsidRDefault="00C61276" w:rsidP="00272766">
            <w:pPr>
              <w:spacing w:line="240" w:lineRule="auto"/>
              <w:ind w:left="113" w:right="113"/>
              <w:rPr>
                <w:rFonts w:cs="Arial"/>
                <w:sz w:val="14"/>
                <w:szCs w:val="14"/>
              </w:rPr>
            </w:pPr>
            <w:r>
              <w:rPr>
                <w:sz w:val="14"/>
              </w:rPr>
              <w:t>Transaktionsausführung</w:t>
            </w:r>
            <w:r w:rsidR="00272766">
              <w:rPr>
                <w:sz w:val="14"/>
              </w:rPr>
              <w:t xml:space="preserve"> (</w:t>
            </w:r>
            <w:r w:rsidR="00272766" w:rsidRPr="00272766">
              <w:rPr>
                <w:sz w:val="14"/>
              </w:rPr>
              <w:t>Execution-Only-Geschäfte</w:t>
            </w:r>
            <w:r w:rsidR="00272766">
              <w:rPr>
                <w:sz w:val="14"/>
              </w:rPr>
              <w:t>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pct20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1A1A7CEC" w14:textId="77777777" w:rsidR="00C61276" w:rsidRPr="00EB30C0" w:rsidRDefault="00C61276" w:rsidP="00272766">
            <w:pPr>
              <w:spacing w:line="240" w:lineRule="auto"/>
              <w:ind w:left="113" w:right="113"/>
              <w:rPr>
                <w:rFonts w:cs="Arial"/>
                <w:sz w:val="14"/>
                <w:szCs w:val="14"/>
              </w:rPr>
            </w:pPr>
            <w:r>
              <w:rPr>
                <w:sz w:val="14"/>
              </w:rPr>
              <w:t xml:space="preserve">Vertrieb kollektiver Kapitalanlagen 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pct20" w:color="auto" w:fill="auto"/>
          </w:tcPr>
          <w:p w14:paraId="05372395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pct20" w:color="auto" w:fill="auto"/>
          </w:tcPr>
          <w:p w14:paraId="2F5CC74C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6" w:type="dxa"/>
            <w:vMerge/>
            <w:tcBorders>
              <w:bottom w:val="single" w:sz="4" w:space="0" w:color="auto"/>
            </w:tcBorders>
            <w:shd w:val="pct20" w:color="auto" w:fill="auto"/>
          </w:tcPr>
          <w:p w14:paraId="155682FB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56" w:type="dxa"/>
            <w:vMerge/>
            <w:tcBorders>
              <w:bottom w:val="single" w:sz="4" w:space="0" w:color="auto"/>
            </w:tcBorders>
            <w:shd w:val="pct20" w:color="auto" w:fill="auto"/>
          </w:tcPr>
          <w:p w14:paraId="32EB9EE4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pct20" w:color="auto" w:fill="auto"/>
          </w:tcPr>
          <w:p w14:paraId="143B6427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20" w:color="auto" w:fill="auto"/>
          </w:tcPr>
          <w:p w14:paraId="457DDF0B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C61276" w:rsidRPr="004D0D5A" w14:paraId="47151595" w14:textId="77777777" w:rsidTr="00E17F64">
        <w:tc>
          <w:tcPr>
            <w:tcW w:w="15190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76ADA74C" w14:textId="77777777" w:rsidR="00C61276" w:rsidRPr="003138FC" w:rsidRDefault="00C61276" w:rsidP="00B93868">
            <w:pPr>
              <w:spacing w:before="120" w:after="12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3138FC">
              <w:rPr>
                <w:i/>
                <w:sz w:val="16"/>
                <w:lang w:val="en-US"/>
              </w:rPr>
              <w:t xml:space="preserve">Confirmation that the operational organization related to the management, controlling and reporting of suitability risks in </w:t>
            </w:r>
            <w:r w:rsidRPr="003138FC">
              <w:rPr>
                <w:lang w:val="en-US"/>
              </w:rPr>
              <w:t>□</w:t>
            </w:r>
            <w:r w:rsidRPr="003138FC">
              <w:rPr>
                <w:i/>
                <w:sz w:val="16"/>
                <w:lang w:val="en-US"/>
              </w:rPr>
              <w:t xml:space="preserve"> individual portfolio management, </w:t>
            </w:r>
            <w:r w:rsidRPr="003138FC">
              <w:rPr>
                <w:lang w:val="en-US"/>
              </w:rPr>
              <w:t xml:space="preserve">□ </w:t>
            </w:r>
            <w:r w:rsidRPr="003138FC">
              <w:rPr>
                <w:i/>
                <w:sz w:val="16"/>
                <w:lang w:val="en-US"/>
              </w:rPr>
              <w:t xml:space="preserve">investment advisory services, </w:t>
            </w:r>
            <w:r w:rsidRPr="003138FC">
              <w:rPr>
                <w:lang w:val="en-US"/>
              </w:rPr>
              <w:t xml:space="preserve">□ </w:t>
            </w:r>
            <w:r w:rsidRPr="003138FC">
              <w:rPr>
                <w:i/>
                <w:sz w:val="16"/>
                <w:lang w:val="en-US"/>
              </w:rPr>
              <w:t xml:space="preserve">execution of transactions and </w:t>
            </w:r>
            <w:r w:rsidRPr="003138FC">
              <w:rPr>
                <w:lang w:val="en-US"/>
              </w:rPr>
              <w:t xml:space="preserve">□ </w:t>
            </w:r>
            <w:r w:rsidRPr="003138FC">
              <w:rPr>
                <w:i/>
                <w:sz w:val="16"/>
                <w:lang w:val="en-US"/>
              </w:rPr>
              <w:t>distribution of collective investment schemes was adequate and appropriate.</w:t>
            </w:r>
          </w:p>
          <w:p w14:paraId="7EF80032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Bestätigung, dass die Betriebsorganisation zur Bewirtschaftung, Kontrolle und Rapportierung der Suitability-Risiken in den Bereichen </w:t>
            </w:r>
            <w:r>
              <w:t xml:space="preserve">□ </w:t>
            </w:r>
            <w:r>
              <w:rPr>
                <w:i/>
                <w:sz w:val="16"/>
              </w:rPr>
              <w:t xml:space="preserve">individuelle Vermögensverwaltung, </w:t>
            </w:r>
            <w:r>
              <w:t xml:space="preserve">□ </w:t>
            </w:r>
            <w:r>
              <w:rPr>
                <w:i/>
                <w:sz w:val="16"/>
              </w:rPr>
              <w:t xml:space="preserve">Anlageberatung, </w:t>
            </w:r>
            <w:r>
              <w:t xml:space="preserve">□ </w:t>
            </w:r>
            <w:r>
              <w:rPr>
                <w:i/>
                <w:sz w:val="16"/>
              </w:rPr>
              <w:t xml:space="preserve">Transaktionsausführung und </w:t>
            </w:r>
            <w:r>
              <w:t xml:space="preserve">□ </w:t>
            </w:r>
            <w:r>
              <w:rPr>
                <w:i/>
                <w:sz w:val="16"/>
              </w:rPr>
              <w:t>Vertrieb kollektiver Kapitalanlagen angemessen war.</w:t>
            </w:r>
          </w:p>
          <w:p w14:paraId="0B2C8C75" w14:textId="77777777" w:rsidR="00C61276" w:rsidRPr="00E6438C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  <w:lang w:val="fr-CH"/>
              </w:rPr>
            </w:pPr>
            <w:r w:rsidRPr="00E6438C">
              <w:rPr>
                <w:i/>
                <w:sz w:val="16"/>
                <w:lang w:val="fr-CH"/>
              </w:rPr>
              <w:t xml:space="preserve">Confirmation que l’organisation opérationnelle en matière de gestion, contrôle et reporting des –risques de « suitability », dans les domaines </w:t>
            </w:r>
            <w:r w:rsidRPr="00E6438C">
              <w:rPr>
                <w:lang w:val="fr-CH"/>
              </w:rPr>
              <w:t xml:space="preserve">□ </w:t>
            </w:r>
            <w:r w:rsidRPr="00E6438C">
              <w:rPr>
                <w:i/>
                <w:sz w:val="16"/>
                <w:lang w:val="fr-CH"/>
              </w:rPr>
              <w:t xml:space="preserve">gestion de fortune individuelle, </w:t>
            </w:r>
            <w:r w:rsidRPr="00E6438C">
              <w:rPr>
                <w:lang w:val="fr-CH"/>
              </w:rPr>
              <w:t xml:space="preserve">□ </w:t>
            </w:r>
            <w:r w:rsidRPr="00E6438C">
              <w:rPr>
                <w:i/>
                <w:sz w:val="16"/>
                <w:lang w:val="fr-CH"/>
              </w:rPr>
              <w:t xml:space="preserve">conseil en placement, </w:t>
            </w:r>
            <w:r w:rsidRPr="00E6438C">
              <w:rPr>
                <w:lang w:val="fr-CH"/>
              </w:rPr>
              <w:t xml:space="preserve">□ </w:t>
            </w:r>
            <w:r w:rsidRPr="00E6438C">
              <w:rPr>
                <w:i/>
                <w:sz w:val="16"/>
                <w:lang w:val="fr-CH"/>
              </w:rPr>
              <w:t xml:space="preserve">exécution de transactions et </w:t>
            </w:r>
            <w:r w:rsidRPr="00E6438C">
              <w:rPr>
                <w:lang w:val="fr-CH"/>
              </w:rPr>
              <w:t xml:space="preserve">□ </w:t>
            </w:r>
            <w:r w:rsidRPr="00E6438C">
              <w:rPr>
                <w:i/>
                <w:sz w:val="16"/>
                <w:lang w:val="fr-CH"/>
              </w:rPr>
              <w:t>distribution de placements collectifs était adéquate et appropriée.</w:t>
            </w:r>
          </w:p>
        </w:tc>
      </w:tr>
      <w:tr w:rsidR="00C61276" w:rsidRPr="00573E72" w14:paraId="4D3E0427" w14:textId="77777777" w:rsidTr="00E17F64">
        <w:tc>
          <w:tcPr>
            <w:tcW w:w="596" w:type="dxa"/>
          </w:tcPr>
          <w:p w14:paraId="0EE9CDFF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3A907373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52A9C503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73" w:type="dxa"/>
          </w:tcPr>
          <w:p w14:paraId="55F7F3CF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4511F5F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14:paraId="572D4AD0" w14:textId="77777777" w:rsidR="00C61276" w:rsidRPr="00EB30C0" w:rsidRDefault="00C61276" w:rsidP="003138FC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Allgemeine </w:t>
            </w:r>
            <w:r w:rsidR="003138FC">
              <w:rPr>
                <w:b/>
                <w:sz w:val="16"/>
              </w:rPr>
              <w:t xml:space="preserve">Prozesse </w:t>
            </w:r>
            <w:r>
              <w:rPr>
                <w:b/>
                <w:sz w:val="16"/>
              </w:rPr>
              <w:t>zur Bewirtschaftung</w:t>
            </w:r>
            <w:r w:rsidR="002C2B70">
              <w:rPr>
                <w:b/>
                <w:sz w:val="16"/>
              </w:rPr>
              <w:t xml:space="preserve"> von</w:t>
            </w:r>
            <w:r>
              <w:rPr>
                <w:b/>
                <w:sz w:val="16"/>
              </w:rPr>
              <w:t xml:space="preserve"> Suitability-Risiken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7F9BFC74" w14:textId="77777777" w:rsidR="00C61276" w:rsidRPr="005222A0" w:rsidRDefault="00C61276" w:rsidP="00891D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Beurteil</w:t>
            </w:r>
            <w:r w:rsidR="002C2B70">
              <w:rPr>
                <w:i/>
                <w:sz w:val="16"/>
              </w:rPr>
              <w:t>ung der Angemessenheit der angewandten</w:t>
            </w:r>
            <w:r>
              <w:rPr>
                <w:i/>
                <w:sz w:val="16"/>
              </w:rPr>
              <w:t xml:space="preserve"> Methoden zur Erkennung, Messung, Bewirtschaftung und Überwachung von Suitability-Risiken </w:t>
            </w:r>
            <w:r w:rsidR="002C2B70">
              <w:rPr>
                <w:i/>
                <w:sz w:val="16"/>
              </w:rPr>
              <w:t>nach Massgabe</w:t>
            </w:r>
            <w:r>
              <w:rPr>
                <w:i/>
                <w:sz w:val="16"/>
              </w:rPr>
              <w:t xml:space="preserve"> der Grösse und Relevanz der </w:t>
            </w:r>
            <w:r w:rsidR="00C31DE1" w:rsidRPr="005222A0">
              <w:rPr>
                <w:i/>
                <w:sz w:val="16"/>
              </w:rPr>
              <w:t xml:space="preserve">individuellen </w:t>
            </w:r>
            <w:r w:rsidRPr="005222A0">
              <w:rPr>
                <w:i/>
                <w:sz w:val="16"/>
              </w:rPr>
              <w:t xml:space="preserve">Vermögensverwaltung, </w:t>
            </w:r>
            <w:r w:rsidR="002C2B70" w:rsidRPr="005222A0">
              <w:rPr>
                <w:i/>
                <w:sz w:val="16"/>
              </w:rPr>
              <w:t xml:space="preserve">der </w:t>
            </w:r>
            <w:r w:rsidRPr="005222A0">
              <w:rPr>
                <w:i/>
                <w:sz w:val="16"/>
              </w:rPr>
              <w:t xml:space="preserve">Anlageberatung, </w:t>
            </w:r>
            <w:r w:rsidR="002C2B70" w:rsidRPr="005222A0">
              <w:rPr>
                <w:i/>
                <w:sz w:val="16"/>
              </w:rPr>
              <w:t xml:space="preserve">der </w:t>
            </w:r>
            <w:r w:rsidRPr="005222A0">
              <w:rPr>
                <w:i/>
                <w:sz w:val="16"/>
              </w:rPr>
              <w:t xml:space="preserve">Transaktionsausführung und </w:t>
            </w:r>
            <w:r w:rsidR="002C2B70" w:rsidRPr="005222A0">
              <w:rPr>
                <w:i/>
                <w:sz w:val="16"/>
              </w:rPr>
              <w:t xml:space="preserve">des </w:t>
            </w:r>
            <w:r w:rsidRPr="005222A0">
              <w:rPr>
                <w:i/>
                <w:sz w:val="16"/>
              </w:rPr>
              <w:t>Vertrieb</w:t>
            </w:r>
            <w:r w:rsidR="002C2B70" w:rsidRPr="005222A0">
              <w:rPr>
                <w:i/>
                <w:sz w:val="16"/>
              </w:rPr>
              <w:t>s</w:t>
            </w:r>
            <w:r w:rsidRPr="005222A0">
              <w:rPr>
                <w:i/>
                <w:sz w:val="16"/>
              </w:rPr>
              <w:t xml:space="preserve"> kollektiver Kapitalanlagen, namentlich:</w:t>
            </w:r>
          </w:p>
          <w:p w14:paraId="1E30E7C0" w14:textId="77777777" w:rsidR="00C61276" w:rsidRDefault="00C61276" w:rsidP="00B935D8">
            <w:pPr>
              <w:spacing w:before="120" w:after="120" w:line="240" w:lineRule="auto"/>
              <w:rPr>
                <w:sz w:val="16"/>
              </w:rPr>
            </w:pPr>
            <w:r w:rsidRPr="005222A0">
              <w:rPr>
                <w:sz w:val="16"/>
              </w:rPr>
              <w:t xml:space="preserve">Interne </w:t>
            </w:r>
            <w:r w:rsidR="00B935D8" w:rsidRPr="005222A0">
              <w:rPr>
                <w:sz w:val="16"/>
              </w:rPr>
              <w:t>Vorschriften</w:t>
            </w:r>
            <w:r w:rsidRPr="005222A0">
              <w:rPr>
                <w:sz w:val="16"/>
              </w:rPr>
              <w:t>, Richtlinien, Handbücher und Stellenbeschre</w:t>
            </w:r>
            <w:r w:rsidR="00B935D8" w:rsidRPr="005222A0">
              <w:rPr>
                <w:sz w:val="16"/>
              </w:rPr>
              <w:t>i</w:t>
            </w:r>
            <w:r w:rsidRPr="005222A0">
              <w:rPr>
                <w:sz w:val="16"/>
              </w:rPr>
              <w:t>b</w:t>
            </w:r>
            <w:r w:rsidR="00B935D8" w:rsidRPr="005222A0">
              <w:rPr>
                <w:sz w:val="16"/>
              </w:rPr>
              <w:t xml:space="preserve">ungen </w:t>
            </w:r>
            <w:r w:rsidR="00DC2149" w:rsidRPr="005222A0">
              <w:rPr>
                <w:sz w:val="16"/>
              </w:rPr>
              <w:t xml:space="preserve">erhalten und </w:t>
            </w:r>
            <w:r w:rsidR="00B935D8" w:rsidRPr="005222A0">
              <w:rPr>
                <w:sz w:val="16"/>
              </w:rPr>
              <w:t>auf</w:t>
            </w:r>
            <w:r w:rsidRPr="005222A0">
              <w:rPr>
                <w:sz w:val="16"/>
              </w:rPr>
              <w:t xml:space="preserve"> ihre Angemessenheit in Bezug auf die Bewirtschaftung</w:t>
            </w:r>
            <w:r>
              <w:rPr>
                <w:sz w:val="16"/>
              </w:rPr>
              <w:t xml:space="preserve"> von Suitability-Risiken beurteilen.</w:t>
            </w:r>
          </w:p>
          <w:p w14:paraId="55378318" w14:textId="77777777" w:rsidR="0029670F" w:rsidRPr="00EB30C0" w:rsidRDefault="0029670F" w:rsidP="00B935D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14:paraId="4DAD2176" w14:textId="77777777" w:rsidR="00C61276" w:rsidRPr="00EB30C0" w:rsidRDefault="00C61276" w:rsidP="00B938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05E97B5F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92E9445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AFB1414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C61276" w:rsidRPr="00573E72" w14:paraId="165C529B" w14:textId="77777777" w:rsidTr="00E17F64">
        <w:tc>
          <w:tcPr>
            <w:tcW w:w="596" w:type="dxa"/>
            <w:tcBorders>
              <w:bottom w:val="single" w:sz="4" w:space="0" w:color="auto"/>
            </w:tcBorders>
          </w:tcPr>
          <w:p w14:paraId="5F32318B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23A3987C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561D919B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4767C8DD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91B327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92DC73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181FF63B" w14:textId="77777777" w:rsidR="00C61276" w:rsidRPr="00EB30C0" w:rsidRDefault="00C61276" w:rsidP="007E7EB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Anhand der Durchsicht von Protokollen und relevanten Berichten beurteilen, ob die Geschäftsführung angemessen </w:t>
            </w:r>
            <w:r w:rsidR="0012587A">
              <w:rPr>
                <w:sz w:val="16"/>
              </w:rPr>
              <w:t xml:space="preserve">in die </w:t>
            </w:r>
            <w:r w:rsidR="007E7EB8">
              <w:rPr>
                <w:sz w:val="16"/>
              </w:rPr>
              <w:t>Bewirtschaftung</w:t>
            </w:r>
            <w:r w:rsidR="0012587A">
              <w:rPr>
                <w:sz w:val="16"/>
              </w:rPr>
              <w:t xml:space="preserve"> von</w:t>
            </w:r>
            <w:r>
              <w:rPr>
                <w:sz w:val="16"/>
              </w:rPr>
              <w:t xml:space="preserve"> Suitability-Risiken </w:t>
            </w:r>
            <w:r w:rsidR="0012587A">
              <w:rPr>
                <w:sz w:val="16"/>
              </w:rPr>
              <w:t xml:space="preserve">eingebunden ist </w:t>
            </w:r>
            <w:r>
              <w:rPr>
                <w:sz w:val="16"/>
              </w:rPr>
              <w:t>(z.</w:t>
            </w:r>
            <w:r w:rsidR="0012587A">
              <w:rPr>
                <w:sz w:val="16"/>
              </w:rPr>
              <w:t> </w:t>
            </w:r>
            <w:r>
              <w:rPr>
                <w:sz w:val="16"/>
              </w:rPr>
              <w:t xml:space="preserve">B. Genehmigung interner Richtlinien, Bearbeitung von Kundenreklamationen). 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14:paraId="1D35EFBB" w14:textId="77777777" w:rsidR="00C61276" w:rsidRPr="00EB30C0" w:rsidRDefault="00C61276" w:rsidP="00DC2149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sz w:val="16"/>
              </w:rPr>
              <w:t xml:space="preserve">Eine risikobasierte </w:t>
            </w:r>
            <w:r w:rsidR="00DC2149" w:rsidRPr="005222A0">
              <w:rPr>
                <w:sz w:val="16"/>
              </w:rPr>
              <w:t xml:space="preserve">Stichprobe </w:t>
            </w:r>
            <w:r w:rsidRPr="005222A0">
              <w:rPr>
                <w:sz w:val="16"/>
              </w:rPr>
              <w:t>von Kundenreklamationen</w:t>
            </w:r>
            <w:r>
              <w:rPr>
                <w:sz w:val="16"/>
              </w:rPr>
              <w:t xml:space="preserve"> oder anderen </w:t>
            </w:r>
            <w:r w:rsidR="00C7261D">
              <w:rPr>
                <w:sz w:val="16"/>
              </w:rPr>
              <w:t xml:space="preserve">identifizierten </w:t>
            </w:r>
            <w:r>
              <w:rPr>
                <w:sz w:val="16"/>
              </w:rPr>
              <w:t xml:space="preserve">und intern </w:t>
            </w:r>
            <w:r w:rsidRPr="005222A0">
              <w:rPr>
                <w:sz w:val="16"/>
              </w:rPr>
              <w:t>gemeldeten Suitability-Risikofälle</w:t>
            </w:r>
            <w:r w:rsidR="007E7EB8" w:rsidRPr="005222A0">
              <w:rPr>
                <w:sz w:val="16"/>
              </w:rPr>
              <w:t>n</w:t>
            </w:r>
            <w:r w:rsidRPr="005222A0">
              <w:rPr>
                <w:sz w:val="16"/>
              </w:rPr>
              <w:t xml:space="preserve"> untersuchen und beurteilen, ob die von den zuständigen Stellen getroffenen</w:t>
            </w:r>
            <w:r>
              <w:rPr>
                <w:sz w:val="16"/>
              </w:rPr>
              <w:t xml:space="preserve"> Entscheide </w:t>
            </w:r>
            <w:r w:rsidR="00C7261D">
              <w:rPr>
                <w:sz w:val="16"/>
              </w:rPr>
              <w:t xml:space="preserve">angemessen </w:t>
            </w:r>
            <w:r>
              <w:rPr>
                <w:sz w:val="16"/>
              </w:rPr>
              <w:t>sind.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93A988C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7FB14DE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C61276" w:rsidRPr="00573E72" w14:paraId="72CCAB18" w14:textId="77777777" w:rsidTr="00E17F64">
        <w:tc>
          <w:tcPr>
            <w:tcW w:w="596" w:type="dxa"/>
            <w:tcBorders>
              <w:bottom w:val="single" w:sz="4" w:space="0" w:color="auto"/>
            </w:tcBorders>
          </w:tcPr>
          <w:p w14:paraId="6ED9C27F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X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33077933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40C16521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56518764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0C3F075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14:paraId="47EC65E9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Interne Kontrollen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530E7854" w14:textId="77777777" w:rsidR="00C61276" w:rsidRPr="005222A0" w:rsidRDefault="00C61276" w:rsidP="00891D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Beurteilen, </w:t>
            </w:r>
            <w:r w:rsidRPr="005222A0">
              <w:rPr>
                <w:i/>
                <w:sz w:val="16"/>
              </w:rPr>
              <w:t xml:space="preserve">ob das </w:t>
            </w:r>
            <w:r w:rsidR="00C7261D" w:rsidRPr="005222A0">
              <w:rPr>
                <w:i/>
                <w:sz w:val="16"/>
              </w:rPr>
              <w:t xml:space="preserve">Design des </w:t>
            </w:r>
            <w:r w:rsidR="00DC2149" w:rsidRPr="005222A0">
              <w:rPr>
                <w:i/>
                <w:sz w:val="16"/>
              </w:rPr>
              <w:t xml:space="preserve">internen </w:t>
            </w:r>
            <w:r w:rsidRPr="005222A0">
              <w:rPr>
                <w:i/>
                <w:sz w:val="16"/>
              </w:rPr>
              <w:t>Kontrollsystem</w:t>
            </w:r>
            <w:r w:rsidR="00C7261D" w:rsidRPr="005222A0">
              <w:rPr>
                <w:i/>
                <w:sz w:val="16"/>
              </w:rPr>
              <w:t>s</w:t>
            </w:r>
            <w:r w:rsidRPr="005222A0">
              <w:rPr>
                <w:i/>
                <w:sz w:val="16"/>
              </w:rPr>
              <w:t xml:space="preserve"> des Instituts bezüglich Suitability</w:t>
            </w:r>
            <w:r w:rsidR="00DC2149" w:rsidRPr="005222A0">
              <w:rPr>
                <w:i/>
                <w:sz w:val="16"/>
              </w:rPr>
              <w:t xml:space="preserve"> in den Bereichen</w:t>
            </w:r>
            <w:r w:rsidR="00A402A1">
              <w:rPr>
                <w:i/>
                <w:sz w:val="16"/>
              </w:rPr>
              <w:t xml:space="preserve"> individuelle</w:t>
            </w:r>
            <w:r w:rsidRPr="005222A0">
              <w:rPr>
                <w:i/>
                <w:sz w:val="16"/>
              </w:rPr>
              <w:t xml:space="preserve"> Vermögensverwaltung, Anlageberatung, Transaktionsausführung und Vertrieb kollektiver Kapitalanlagen angemessen ist, namentlich:</w:t>
            </w:r>
          </w:p>
          <w:p w14:paraId="6D2B22CD" w14:textId="77777777" w:rsidR="00C61276" w:rsidRPr="005222A0" w:rsidRDefault="00C61276" w:rsidP="00891D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 w:rsidRPr="005222A0">
              <w:rPr>
                <w:sz w:val="16"/>
              </w:rPr>
              <w:t>Anhand von Befragungen und der Durchsicht relevanter Dokumente (</w:t>
            </w:r>
            <w:r w:rsidR="00B70245" w:rsidRPr="005222A0">
              <w:rPr>
                <w:sz w:val="16"/>
              </w:rPr>
              <w:t>Richtlinien</w:t>
            </w:r>
            <w:r w:rsidRPr="005222A0">
              <w:rPr>
                <w:sz w:val="16"/>
              </w:rPr>
              <w:t xml:space="preserve">, interne </w:t>
            </w:r>
            <w:r w:rsidR="00B70245" w:rsidRPr="005222A0">
              <w:rPr>
                <w:sz w:val="16"/>
              </w:rPr>
              <w:t>Weisungen</w:t>
            </w:r>
            <w:r w:rsidRPr="005222A0">
              <w:rPr>
                <w:sz w:val="16"/>
              </w:rPr>
              <w:t xml:space="preserve">, </w:t>
            </w:r>
            <w:r w:rsidR="00C7261D" w:rsidRPr="005222A0">
              <w:rPr>
                <w:sz w:val="16"/>
              </w:rPr>
              <w:t>Prozesse</w:t>
            </w:r>
            <w:r w:rsidRPr="005222A0">
              <w:rPr>
                <w:sz w:val="16"/>
              </w:rPr>
              <w:t xml:space="preserve">) beurteilen, ob </w:t>
            </w:r>
            <w:r w:rsidR="00C7261D" w:rsidRPr="005222A0">
              <w:rPr>
                <w:sz w:val="16"/>
              </w:rPr>
              <w:t>das Design</w:t>
            </w:r>
            <w:r w:rsidRPr="005222A0">
              <w:rPr>
                <w:sz w:val="16"/>
              </w:rPr>
              <w:t xml:space="preserve"> des internen Kontrollsystems in folgenden Punkten angemessen ist:</w:t>
            </w:r>
          </w:p>
          <w:p w14:paraId="2AE30F14" w14:textId="77777777" w:rsidR="00C61276" w:rsidRPr="00EB30C0" w:rsidRDefault="007E7EB8" w:rsidP="00891D70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ind w:left="201" w:hanging="142"/>
              <w:rPr>
                <w:rFonts w:cs="Arial"/>
                <w:sz w:val="16"/>
                <w:szCs w:val="16"/>
              </w:rPr>
            </w:pPr>
            <w:r w:rsidRPr="005222A0">
              <w:rPr>
                <w:sz w:val="16"/>
              </w:rPr>
              <w:t>integrierte Kontroll</w:t>
            </w:r>
            <w:r w:rsidR="00B70245" w:rsidRPr="005222A0">
              <w:rPr>
                <w:sz w:val="16"/>
              </w:rPr>
              <w:t>aktivitäten</w:t>
            </w:r>
            <w:r w:rsidRPr="005222A0">
              <w:rPr>
                <w:sz w:val="16"/>
              </w:rPr>
              <w:t xml:space="preserve"> </w:t>
            </w:r>
            <w:r w:rsidR="00C61276" w:rsidRPr="005222A0">
              <w:rPr>
                <w:sz w:val="16"/>
              </w:rPr>
              <w:t xml:space="preserve">in </w:t>
            </w:r>
            <w:r w:rsidRPr="005222A0">
              <w:rPr>
                <w:sz w:val="16"/>
              </w:rPr>
              <w:t xml:space="preserve">den </w:t>
            </w:r>
            <w:r w:rsidR="00C61276" w:rsidRPr="005222A0">
              <w:rPr>
                <w:sz w:val="16"/>
              </w:rPr>
              <w:t>Suitability-Arbeitsprozesse</w:t>
            </w:r>
            <w:r w:rsidRPr="005222A0">
              <w:rPr>
                <w:sz w:val="16"/>
              </w:rPr>
              <w:t>n</w:t>
            </w:r>
            <w:r w:rsidR="00C61276" w:rsidRPr="005222A0">
              <w:rPr>
                <w:sz w:val="16"/>
              </w:rPr>
              <w:t xml:space="preserve"> und -Systeme</w:t>
            </w:r>
            <w:r w:rsidRPr="005222A0">
              <w:rPr>
                <w:sz w:val="16"/>
              </w:rPr>
              <w:t>n</w:t>
            </w:r>
            <w:r w:rsidR="00C61276" w:rsidRPr="005222A0">
              <w:rPr>
                <w:sz w:val="16"/>
              </w:rPr>
              <w:t xml:space="preserve"> (z.</w:t>
            </w:r>
            <w:r w:rsidR="00D774F0" w:rsidRPr="005222A0">
              <w:rPr>
                <w:sz w:val="16"/>
              </w:rPr>
              <w:t> </w:t>
            </w:r>
            <w:r w:rsidR="00C61276" w:rsidRPr="005222A0">
              <w:rPr>
                <w:sz w:val="16"/>
              </w:rPr>
              <w:t xml:space="preserve">B. Vorwarnungen </w:t>
            </w:r>
            <w:r w:rsidR="00B70245" w:rsidRPr="005222A0">
              <w:rPr>
                <w:sz w:val="16"/>
              </w:rPr>
              <w:t>am</w:t>
            </w:r>
            <w:r w:rsidR="00C61276" w:rsidRPr="005222A0">
              <w:rPr>
                <w:sz w:val="16"/>
              </w:rPr>
              <w:t xml:space="preserve"> </w:t>
            </w:r>
            <w:r w:rsidR="00D774F0" w:rsidRPr="005222A0">
              <w:rPr>
                <w:sz w:val="16"/>
              </w:rPr>
              <w:t>Point of Sale</w:t>
            </w:r>
            <w:r w:rsidR="00C61276" w:rsidRPr="005222A0">
              <w:rPr>
                <w:sz w:val="16"/>
              </w:rPr>
              <w:t>, um präventive Prüfungen vor der Orderfreigabe</w:t>
            </w:r>
            <w:r w:rsidR="00C61276">
              <w:rPr>
                <w:sz w:val="16"/>
              </w:rPr>
              <w:t xml:space="preserve"> sicherzustellen); </w:t>
            </w:r>
          </w:p>
          <w:p w14:paraId="63C64ECD" w14:textId="77777777" w:rsidR="00C61276" w:rsidRPr="00EB30C0" w:rsidRDefault="00D774F0" w:rsidP="00891D70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ind w:left="201" w:hanging="142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Prozesse </w:t>
            </w:r>
            <w:r w:rsidR="00C61276">
              <w:rPr>
                <w:sz w:val="16"/>
              </w:rPr>
              <w:t xml:space="preserve">für die Einhaltung von Suitability-Standards, inkl. interner Richtlinien; </w:t>
            </w:r>
          </w:p>
          <w:p w14:paraId="49C9F4D3" w14:textId="77777777" w:rsidR="00C61276" w:rsidRPr="00EB30C0" w:rsidRDefault="00C61276" w:rsidP="00891D70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ind w:left="201" w:hanging="142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angemessene Integration unabhängiger Risikofunktionen (Risikokontrollen und/oder Compliance) in die Überwachung </w:t>
            </w:r>
            <w:r w:rsidR="00D774F0">
              <w:rPr>
                <w:sz w:val="16"/>
              </w:rPr>
              <w:t xml:space="preserve">von </w:t>
            </w:r>
            <w:r>
              <w:rPr>
                <w:sz w:val="16"/>
              </w:rPr>
              <w:t>Suitability-Risiken;</w:t>
            </w:r>
          </w:p>
          <w:p w14:paraId="63C22123" w14:textId="77777777" w:rsidR="00C61276" w:rsidRPr="00EB30C0" w:rsidRDefault="00C61276" w:rsidP="00277A18">
            <w:pPr>
              <w:pStyle w:val="Listenabsatz"/>
              <w:numPr>
                <w:ilvl w:val="0"/>
                <w:numId w:val="12"/>
              </w:numPr>
              <w:spacing w:before="120" w:after="120" w:line="240" w:lineRule="auto"/>
              <w:ind w:left="204" w:hanging="142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angemessene Überwachung externer Vermögensverwalter (</w:t>
            </w:r>
            <w:r w:rsidR="00EE2C1F">
              <w:rPr>
                <w:sz w:val="16"/>
              </w:rPr>
              <w:t xml:space="preserve">mit besonderem Fokus auf </w:t>
            </w:r>
            <w:r w:rsidR="0061402B">
              <w:rPr>
                <w:sz w:val="16"/>
              </w:rPr>
              <w:t>"Churning"</w:t>
            </w:r>
            <w:r w:rsidR="00EE2C1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und Investitionen in Produkte, </w:t>
            </w:r>
            <w:r w:rsidR="0061402B">
              <w:rPr>
                <w:sz w:val="16"/>
              </w:rPr>
              <w:t xml:space="preserve">an denen </w:t>
            </w:r>
            <w:r>
              <w:rPr>
                <w:sz w:val="16"/>
              </w:rPr>
              <w:t>externe Vermögensverwalter</w:t>
            </w:r>
            <w:r w:rsidR="00EE2C1F">
              <w:rPr>
                <w:sz w:val="16"/>
              </w:rPr>
              <w:t xml:space="preserve"> </w:t>
            </w:r>
            <w:r w:rsidR="0061402B">
              <w:rPr>
                <w:sz w:val="16"/>
              </w:rPr>
              <w:t xml:space="preserve">erkennbar selber interessiert </w:t>
            </w:r>
            <w:r w:rsidR="00EE2C1F">
              <w:rPr>
                <w:sz w:val="16"/>
              </w:rPr>
              <w:t>sind</w:t>
            </w:r>
            <w:r>
              <w:rPr>
                <w:sz w:val="16"/>
              </w:rPr>
              <w:t>).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297E176E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65559706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1F8FA6A3" w14:textId="77777777" w:rsidR="00C61276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64F86C71" w14:textId="77777777" w:rsidR="00C61276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296511DB" w14:textId="77777777" w:rsidR="00C61276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256ABA21" w14:textId="77777777" w:rsidR="00C61276" w:rsidRPr="005D6250" w:rsidRDefault="00C61276" w:rsidP="00B93868">
            <w:pPr>
              <w:spacing w:before="120" w:after="120" w:line="240" w:lineRule="auto"/>
              <w:rPr>
                <w:rFonts w:cs="Arial"/>
                <w:sz w:val="30"/>
                <w:szCs w:val="30"/>
              </w:rPr>
            </w:pPr>
          </w:p>
          <w:p w14:paraId="0A7346FA" w14:textId="77777777" w:rsidR="00776A5D" w:rsidRDefault="00776A5D" w:rsidP="00B93868">
            <w:pPr>
              <w:spacing w:before="120" w:after="120" w:line="240" w:lineRule="auto"/>
              <w:rPr>
                <w:sz w:val="16"/>
              </w:rPr>
            </w:pPr>
          </w:p>
          <w:p w14:paraId="0376A723" w14:textId="77777777" w:rsidR="00C61276" w:rsidRPr="00EB30C0" w:rsidRDefault="00C7261D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 w:rsidRPr="005222A0">
              <w:rPr>
                <w:sz w:val="16"/>
              </w:rPr>
              <w:t>Schlüsselk</w:t>
            </w:r>
            <w:r w:rsidR="00C61276" w:rsidRPr="005222A0">
              <w:rPr>
                <w:sz w:val="16"/>
              </w:rPr>
              <w:t xml:space="preserve">ontrollen auf risikobasierter Grundlage </w:t>
            </w:r>
            <w:r w:rsidR="00B70245" w:rsidRPr="005222A0">
              <w:rPr>
                <w:sz w:val="16"/>
              </w:rPr>
              <w:t>prüfen</w:t>
            </w:r>
            <w:r w:rsidR="00C61276" w:rsidRPr="005222A0">
              <w:rPr>
                <w:sz w:val="16"/>
              </w:rPr>
              <w:t>.</w:t>
            </w:r>
          </w:p>
          <w:p w14:paraId="79F693AC" w14:textId="77777777" w:rsidR="00C61276" w:rsidRPr="00EB30C0" w:rsidRDefault="00C61276" w:rsidP="00B938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038C22E7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2239D4F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1B56ABAE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704ECBA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 </w:t>
            </w:r>
          </w:p>
          <w:p w14:paraId="42FA9674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226AB5C9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C61276" w:rsidRPr="00573E72" w14:paraId="15E8AC04" w14:textId="77777777" w:rsidTr="00E17F64">
        <w:tc>
          <w:tcPr>
            <w:tcW w:w="596" w:type="dxa"/>
            <w:tcBorders>
              <w:bottom w:val="single" w:sz="4" w:space="0" w:color="auto"/>
            </w:tcBorders>
          </w:tcPr>
          <w:p w14:paraId="30CCB812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38BE6A39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7BFDE4D2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56403D81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846962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CBC78A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0FB2EB8D" w14:textId="77777777" w:rsidR="000E18F2" w:rsidRPr="000E18F2" w:rsidRDefault="00C61276" w:rsidP="005D6250">
            <w:pPr>
              <w:pStyle w:val="Listenabsatz"/>
              <w:numPr>
                <w:ilvl w:val="0"/>
                <w:numId w:val="12"/>
              </w:numPr>
              <w:spacing w:before="120" w:after="120" w:line="240" w:lineRule="auto"/>
              <w:ind w:left="201" w:hanging="142"/>
              <w:rPr>
                <w:rFonts w:cs="Arial"/>
                <w:i/>
                <w:sz w:val="16"/>
                <w:szCs w:val="16"/>
              </w:rPr>
            </w:pPr>
            <w:r>
              <w:rPr>
                <w:sz w:val="16"/>
              </w:rPr>
              <w:t xml:space="preserve">Angemessene Integration der Überwachung externer </w:t>
            </w:r>
            <w:r w:rsidR="00B458A4">
              <w:rPr>
                <w:sz w:val="16"/>
              </w:rPr>
              <w:t>Vertrieb</w:t>
            </w:r>
            <w:r w:rsidR="00383C92">
              <w:rPr>
                <w:sz w:val="16"/>
              </w:rPr>
              <w:t>s</w:t>
            </w:r>
            <w:r w:rsidR="00B458A4">
              <w:rPr>
                <w:sz w:val="16"/>
              </w:rPr>
              <w:t xml:space="preserve">stellen </w:t>
            </w:r>
            <w:r>
              <w:rPr>
                <w:sz w:val="16"/>
              </w:rPr>
              <w:t>(inkl. Überwachungsanforderungen bei</w:t>
            </w:r>
            <w:r w:rsidR="00580090">
              <w:rPr>
                <w:sz w:val="16"/>
              </w:rPr>
              <w:t xml:space="preserve"> der </w:t>
            </w:r>
            <w:r w:rsidR="00705771">
              <w:rPr>
                <w:sz w:val="16"/>
              </w:rPr>
              <w:t>Beauf</w:t>
            </w:r>
            <w:r w:rsidR="00580090">
              <w:rPr>
                <w:sz w:val="16"/>
              </w:rPr>
              <w:t xml:space="preserve">tragung </w:t>
            </w:r>
            <w:r w:rsidR="00705771">
              <w:rPr>
                <w:sz w:val="16"/>
              </w:rPr>
              <w:t>von</w:t>
            </w:r>
            <w:r w:rsidR="00580090">
              <w:rPr>
                <w:sz w:val="16"/>
              </w:rPr>
              <w:t xml:space="preserve"> Unterv</w:t>
            </w:r>
            <w:r>
              <w:rPr>
                <w:sz w:val="16"/>
              </w:rPr>
              <w:t>ertrieb</w:t>
            </w:r>
            <w:r w:rsidR="00580090">
              <w:rPr>
                <w:sz w:val="16"/>
              </w:rPr>
              <w:t>sträger</w:t>
            </w:r>
            <w:r w:rsidR="00705771">
              <w:rPr>
                <w:sz w:val="16"/>
              </w:rPr>
              <w:t>n</w:t>
            </w:r>
            <w:r>
              <w:rPr>
                <w:sz w:val="16"/>
              </w:rPr>
              <w:t xml:space="preserve"> gemäss KAG) ins Kontrollsystem.</w:t>
            </w:r>
          </w:p>
        </w:tc>
        <w:tc>
          <w:tcPr>
            <w:tcW w:w="36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0341B5" w14:textId="77777777" w:rsidR="00C61276" w:rsidRPr="00EB30C0" w:rsidDel="00AA5E5C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DFCB384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27FA4F9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1276" w:rsidRPr="00573E72" w14:paraId="7A02B6EB" w14:textId="77777777" w:rsidTr="00E17F64">
        <w:tc>
          <w:tcPr>
            <w:tcW w:w="596" w:type="dxa"/>
          </w:tcPr>
          <w:p w14:paraId="1A1BDAD7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X</w:t>
            </w:r>
          </w:p>
        </w:tc>
        <w:tc>
          <w:tcPr>
            <w:tcW w:w="596" w:type="dxa"/>
          </w:tcPr>
          <w:p w14:paraId="39A72539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5C4BE19C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73" w:type="dxa"/>
          </w:tcPr>
          <w:p w14:paraId="661AF8B5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3C42C32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14:paraId="07E037FC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Berichterstattung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3FD06C67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Anhand von Befragungen und der Durchsicht relevanter Dokumente beurteilen, ob die interne Berichterstattung</w:t>
            </w:r>
            <w:r w:rsidR="00612AA8">
              <w:rPr>
                <w:i/>
                <w:sz w:val="16"/>
              </w:rPr>
              <w:t>s-</w:t>
            </w:r>
            <w:r>
              <w:rPr>
                <w:i/>
                <w:sz w:val="16"/>
              </w:rPr>
              <w:t xml:space="preserve"> und die Eskalationsverfahren in Zusammenhang mit den allgemeinen Suitability-Risiken angemessen sind, namentlich: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14:paraId="39DB8B8D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6857BC9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9EAA683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C61276" w:rsidRPr="00573E72" w14:paraId="1D6771C4" w14:textId="77777777" w:rsidTr="00E17F64">
        <w:tc>
          <w:tcPr>
            <w:tcW w:w="596" w:type="dxa"/>
          </w:tcPr>
          <w:p w14:paraId="55305293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39DCBF53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64A49889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73" w:type="dxa"/>
          </w:tcPr>
          <w:p w14:paraId="197CA141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vMerge/>
            <w:shd w:val="clear" w:color="auto" w:fill="auto"/>
          </w:tcPr>
          <w:p w14:paraId="5D42FA27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D838534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699A1054" w14:textId="77777777" w:rsidR="00C61276" w:rsidRPr="00EB30C0" w:rsidRDefault="00C61276" w:rsidP="00612AA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Anhand von Befragungen und der Durchsicht relevanter Dokumente </w:t>
            </w:r>
            <w:r w:rsidR="00383C92" w:rsidRPr="005222A0">
              <w:rPr>
                <w:sz w:val="16"/>
              </w:rPr>
              <w:t>beurteilen</w:t>
            </w:r>
            <w:r w:rsidRPr="005222A0">
              <w:rPr>
                <w:sz w:val="16"/>
              </w:rPr>
              <w:t xml:space="preserve">, </w:t>
            </w:r>
            <w:r w:rsidR="00383C92" w:rsidRPr="005222A0">
              <w:rPr>
                <w:sz w:val="16"/>
              </w:rPr>
              <w:t>ob</w:t>
            </w:r>
            <w:r w:rsidRPr="005222A0">
              <w:rPr>
                <w:sz w:val="16"/>
              </w:rPr>
              <w:t xml:space="preserve"> die</w:t>
            </w:r>
            <w:r>
              <w:rPr>
                <w:sz w:val="16"/>
              </w:rPr>
              <w:t xml:space="preserve"> Einhaltung der Suitability </w:t>
            </w:r>
            <w:r w:rsidR="00612AA8">
              <w:rPr>
                <w:sz w:val="16"/>
              </w:rPr>
              <w:t>Teil der laufenden Berichterstattung der Compliance-Funktion ist</w:t>
            </w:r>
            <w:r>
              <w:rPr>
                <w:sz w:val="16"/>
              </w:rPr>
              <w:t>.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14:paraId="56714AD8" w14:textId="77777777" w:rsidR="00C61276" w:rsidRPr="00EB30C0" w:rsidRDefault="00C61276" w:rsidP="00DB75A0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sz w:val="16"/>
              </w:rPr>
              <w:t>Anhand von Stichproben</w:t>
            </w:r>
            <w:r w:rsidRPr="005222A0">
              <w:rPr>
                <w:sz w:val="16"/>
              </w:rPr>
              <w:t>,</w:t>
            </w:r>
            <w:r w:rsidR="00541485" w:rsidRPr="005222A0">
              <w:rPr>
                <w:sz w:val="16"/>
              </w:rPr>
              <w:t xml:space="preserve"> prüfen</w:t>
            </w:r>
            <w:r w:rsidRPr="005222A0">
              <w:rPr>
                <w:sz w:val="16"/>
              </w:rPr>
              <w:t xml:space="preserve"> </w:t>
            </w:r>
            <w:r w:rsidR="00383C92" w:rsidRPr="005222A0">
              <w:rPr>
                <w:sz w:val="16"/>
              </w:rPr>
              <w:t>ob</w:t>
            </w:r>
            <w:r w:rsidRPr="005222A0">
              <w:rPr>
                <w:sz w:val="16"/>
              </w:rPr>
              <w:t xml:space="preserve"> </w:t>
            </w:r>
            <w:r w:rsidR="00436730" w:rsidRPr="005222A0">
              <w:rPr>
                <w:sz w:val="16"/>
              </w:rPr>
              <w:t xml:space="preserve">Fälle von </w:t>
            </w:r>
            <w:r w:rsidRPr="005222A0">
              <w:rPr>
                <w:sz w:val="16"/>
              </w:rPr>
              <w:t>Verstösse</w:t>
            </w:r>
            <w:r w:rsidR="00436730" w:rsidRPr="005222A0">
              <w:rPr>
                <w:sz w:val="16"/>
              </w:rPr>
              <w:t>n</w:t>
            </w:r>
            <w:r w:rsidRPr="005222A0">
              <w:rPr>
                <w:sz w:val="16"/>
              </w:rPr>
              <w:t xml:space="preserve"> angemessen gemeldet</w:t>
            </w:r>
            <w:r>
              <w:rPr>
                <w:sz w:val="16"/>
              </w:rPr>
              <w:t xml:space="preserve"> werden.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35122A0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AAA2C03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C61276" w:rsidRPr="00573E72" w14:paraId="0201A378" w14:textId="77777777" w:rsidTr="00E17F64">
        <w:tc>
          <w:tcPr>
            <w:tcW w:w="596" w:type="dxa"/>
          </w:tcPr>
          <w:p w14:paraId="24843DA7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003DF428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63CC56C1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73" w:type="dxa"/>
          </w:tcPr>
          <w:p w14:paraId="31291B1C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vMerge/>
            <w:shd w:val="clear" w:color="auto" w:fill="auto"/>
          </w:tcPr>
          <w:p w14:paraId="1101BFBD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B2582D7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39192907" w14:textId="77777777" w:rsidR="005D6250" w:rsidRPr="00040135" w:rsidRDefault="00C61276" w:rsidP="00CF1AE6">
            <w:pPr>
              <w:spacing w:before="120" w:after="120" w:line="240" w:lineRule="auto"/>
              <w:rPr>
                <w:sz w:val="16"/>
              </w:rPr>
            </w:pPr>
            <w:r>
              <w:rPr>
                <w:sz w:val="16"/>
              </w:rPr>
              <w:t xml:space="preserve">Anhand von Befragungen und der Durchsicht relevanter Dokumente </w:t>
            </w:r>
            <w:r w:rsidR="00383C92" w:rsidRPr="005222A0">
              <w:rPr>
                <w:sz w:val="16"/>
              </w:rPr>
              <w:t>beurteilen</w:t>
            </w:r>
            <w:r w:rsidRPr="005222A0">
              <w:rPr>
                <w:sz w:val="16"/>
              </w:rPr>
              <w:t xml:space="preserve">, </w:t>
            </w:r>
            <w:r w:rsidR="00383C92" w:rsidRPr="005222A0">
              <w:rPr>
                <w:sz w:val="16"/>
              </w:rPr>
              <w:t>ob</w:t>
            </w:r>
            <w:r w:rsidRPr="002E7DC8">
              <w:rPr>
                <w:sz w:val="16"/>
              </w:rPr>
              <w:t xml:space="preserve"> Suitability</w:t>
            </w:r>
            <w:r>
              <w:rPr>
                <w:sz w:val="16"/>
              </w:rPr>
              <w:t xml:space="preserve">-Risiken </w:t>
            </w:r>
            <w:r w:rsidR="00612AA8">
              <w:rPr>
                <w:sz w:val="16"/>
              </w:rPr>
              <w:t xml:space="preserve">Teil der Berichterstattung der </w:t>
            </w:r>
            <w:r w:rsidR="00CF1AE6">
              <w:rPr>
                <w:sz w:val="16"/>
              </w:rPr>
              <w:t>Risikoüberwachungsfunktion ("risk control function"</w:t>
            </w:r>
            <w:r w:rsidR="003E6DDE">
              <w:rPr>
                <w:sz w:val="16"/>
              </w:rPr>
              <w:t>)</w:t>
            </w:r>
            <w:r w:rsidR="00CF1AE6">
              <w:rPr>
                <w:sz w:val="16"/>
              </w:rPr>
              <w:t xml:space="preserve"> </w:t>
            </w:r>
            <w:r w:rsidR="00612AA8">
              <w:rPr>
                <w:sz w:val="16"/>
              </w:rPr>
              <w:t>sind</w:t>
            </w:r>
            <w:r>
              <w:rPr>
                <w:sz w:val="16"/>
              </w:rPr>
              <w:t>.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14:paraId="1547D0DB" w14:textId="77777777" w:rsidR="00C61276" w:rsidRPr="00EB30C0" w:rsidRDefault="00C61276" w:rsidP="00DB75A0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sz w:val="16"/>
              </w:rPr>
              <w:t xml:space="preserve">Eine </w:t>
            </w:r>
            <w:r w:rsidR="002963D8" w:rsidRPr="005222A0">
              <w:rPr>
                <w:sz w:val="16"/>
              </w:rPr>
              <w:t>Stichprobe</w:t>
            </w:r>
            <w:r w:rsidR="002963D8" w:rsidRPr="002E7DC8">
              <w:rPr>
                <w:sz w:val="16"/>
              </w:rPr>
              <w:t xml:space="preserve"> </w:t>
            </w:r>
            <w:r w:rsidRPr="002E7DC8">
              <w:rPr>
                <w:sz w:val="16"/>
              </w:rPr>
              <w:t>von B</w:t>
            </w:r>
            <w:r>
              <w:rPr>
                <w:sz w:val="16"/>
              </w:rPr>
              <w:t>erichten untersuchen und prüfen, ob darin angemessene Informationen zu Suitability-Risiken enthalten sind.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F2416D4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68CC8D7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C61276" w:rsidRPr="00573E72" w14:paraId="6263A297" w14:textId="77777777" w:rsidTr="00E17F64">
        <w:tc>
          <w:tcPr>
            <w:tcW w:w="596" w:type="dxa"/>
          </w:tcPr>
          <w:p w14:paraId="13E8F163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6A811EAF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7683077F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73" w:type="dxa"/>
          </w:tcPr>
          <w:p w14:paraId="1BC390DE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vMerge/>
            <w:shd w:val="clear" w:color="auto" w:fill="auto"/>
          </w:tcPr>
          <w:p w14:paraId="389966B2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70059087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20869164" w14:textId="77777777" w:rsidR="00C61276" w:rsidRPr="00EB30C0" w:rsidRDefault="00C61276" w:rsidP="00FF016B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Anhand von Befragungen und der Durchsicht relevanter Dokumente beurteilen, ob die </w:t>
            </w:r>
            <w:r w:rsidR="00FF016B">
              <w:rPr>
                <w:sz w:val="16"/>
              </w:rPr>
              <w:t>I</w:t>
            </w:r>
            <w:r>
              <w:rPr>
                <w:sz w:val="16"/>
              </w:rPr>
              <w:t>nterne Revision Suitability-Risiken in ihrem Prüfplan angemessen berücksichtigt hat (risikoorientiert).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14:paraId="65847707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5D72F3F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B3C4659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C61276" w:rsidRPr="00573E72" w14:paraId="47C4503E" w14:textId="77777777" w:rsidTr="00E17F64">
        <w:trPr>
          <w:trHeight w:val="1827"/>
        </w:trPr>
        <w:tc>
          <w:tcPr>
            <w:tcW w:w="596" w:type="dxa"/>
            <w:tcBorders>
              <w:bottom w:val="single" w:sz="4" w:space="0" w:color="auto"/>
            </w:tcBorders>
          </w:tcPr>
          <w:p w14:paraId="23616807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6AE0A0F8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468C2E6C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ADDC778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39FF16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FBED8C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1BD4E5C2" w14:textId="77777777" w:rsidR="00C61276" w:rsidRPr="00B46308" w:rsidRDefault="00C61276" w:rsidP="00DB75A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 w:rsidRPr="009C1700">
              <w:rPr>
                <w:sz w:val="16"/>
              </w:rPr>
              <w:t xml:space="preserve">Anhand von Befragungen und der Durchsicht relevanter Dokumente beurteilen, ob </w:t>
            </w:r>
            <w:r w:rsidRPr="00B46308">
              <w:rPr>
                <w:sz w:val="16"/>
              </w:rPr>
              <w:t>die</w:t>
            </w:r>
            <w:r w:rsidR="002F60F9" w:rsidRPr="00B46308">
              <w:rPr>
                <w:sz w:val="16"/>
              </w:rPr>
              <w:t xml:space="preserve"> Suitability-</w:t>
            </w:r>
            <w:r w:rsidRPr="00B46308">
              <w:rPr>
                <w:sz w:val="16"/>
              </w:rPr>
              <w:t xml:space="preserve">Berichterstattung an die </w:t>
            </w:r>
            <w:r w:rsidRPr="002E7DC8">
              <w:rPr>
                <w:sz w:val="16"/>
              </w:rPr>
              <w:t xml:space="preserve">Geschäftsführung und </w:t>
            </w:r>
            <w:r w:rsidR="009C1700" w:rsidRPr="005222A0">
              <w:rPr>
                <w:sz w:val="16"/>
              </w:rPr>
              <w:t>das Oberleitungsorgan</w:t>
            </w:r>
            <w:r w:rsidRPr="005222A0">
              <w:rPr>
                <w:sz w:val="16"/>
              </w:rPr>
              <w:t xml:space="preserve"> angemessen ist.</w:t>
            </w:r>
            <w:r w:rsidRPr="00B46308">
              <w:rPr>
                <w:sz w:val="16"/>
              </w:rPr>
              <w:t xml:space="preserve"> </w:t>
            </w:r>
          </w:p>
          <w:p w14:paraId="517F0B68" w14:textId="77777777" w:rsidR="00C61276" w:rsidRPr="00DC2149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11E57D02" w14:textId="77777777" w:rsidR="000E18F2" w:rsidRPr="00B70245" w:rsidRDefault="000E18F2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2BF9829B" w14:textId="77777777" w:rsidR="000E18F2" w:rsidRPr="00B70245" w:rsidRDefault="000E18F2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14:paraId="1E1435B9" w14:textId="77777777" w:rsidR="009B2B93" w:rsidRPr="00040135" w:rsidRDefault="002963D8" w:rsidP="002963D8">
            <w:pPr>
              <w:spacing w:before="120" w:after="120" w:line="240" w:lineRule="auto"/>
              <w:rPr>
                <w:sz w:val="16"/>
              </w:rPr>
            </w:pPr>
            <w:r w:rsidRPr="005222A0">
              <w:rPr>
                <w:sz w:val="16"/>
              </w:rPr>
              <w:t>Anhand</w:t>
            </w:r>
            <w:r w:rsidR="00C61276" w:rsidRPr="005222A0">
              <w:rPr>
                <w:sz w:val="16"/>
              </w:rPr>
              <w:t xml:space="preserve"> eine</w:t>
            </w:r>
            <w:r w:rsidRPr="005222A0">
              <w:rPr>
                <w:sz w:val="16"/>
              </w:rPr>
              <w:t>r</w:t>
            </w:r>
            <w:r w:rsidR="00C61276" w:rsidRPr="005222A0">
              <w:rPr>
                <w:sz w:val="16"/>
              </w:rPr>
              <w:t xml:space="preserve"> risikobasierte</w:t>
            </w:r>
            <w:r w:rsidRPr="005222A0">
              <w:rPr>
                <w:sz w:val="16"/>
              </w:rPr>
              <w:t>n</w:t>
            </w:r>
            <w:r w:rsidR="00C61276" w:rsidRPr="005222A0">
              <w:rPr>
                <w:sz w:val="16"/>
              </w:rPr>
              <w:t xml:space="preserve"> </w:t>
            </w:r>
            <w:r w:rsidRPr="005222A0">
              <w:rPr>
                <w:sz w:val="16"/>
              </w:rPr>
              <w:t>Stichprobe prüfen, ob in den</w:t>
            </w:r>
            <w:r w:rsidR="00C61276" w:rsidRPr="005222A0">
              <w:rPr>
                <w:sz w:val="16"/>
              </w:rPr>
              <w:t xml:space="preserve"> Berichten verschiedene Suitability-Themen (mögliche Risikoquellen in Zusammenhang mit der Einhaltung der Verhaltensregeln)</w:t>
            </w:r>
            <w:r w:rsidRPr="005222A0">
              <w:rPr>
                <w:sz w:val="16"/>
              </w:rPr>
              <w:t xml:space="preserve"> behandelt werden</w:t>
            </w:r>
            <w:r w:rsidR="00C61276" w:rsidRPr="002E7DC8">
              <w:rPr>
                <w:sz w:val="16"/>
              </w:rPr>
              <w:t xml:space="preserve">, ob diese Themen in den Berichten an die Geschäftsführung und </w:t>
            </w:r>
            <w:r w:rsidR="009C1700" w:rsidRPr="005222A0">
              <w:rPr>
                <w:sz w:val="16"/>
              </w:rPr>
              <w:t>das Oberleitungsorgan</w:t>
            </w:r>
            <w:r w:rsidR="00C61276" w:rsidRPr="002E7DC8">
              <w:rPr>
                <w:sz w:val="16"/>
              </w:rPr>
              <w:t xml:space="preserve"> angemessen ausgeführt werden und ob diese Gremien</w:t>
            </w:r>
            <w:r w:rsidR="00C61276" w:rsidRPr="00B46308">
              <w:rPr>
                <w:sz w:val="16"/>
              </w:rPr>
              <w:t xml:space="preserve"> ihren Überwachungspflichten nachkommen.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85DC3A4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0271E5B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C61276" w:rsidRPr="004D0D5A" w14:paraId="28C21B98" w14:textId="77777777" w:rsidTr="00E17F64">
        <w:tc>
          <w:tcPr>
            <w:tcW w:w="15190" w:type="dxa"/>
            <w:gridSpan w:val="10"/>
            <w:shd w:val="pct10" w:color="auto" w:fill="auto"/>
          </w:tcPr>
          <w:p w14:paraId="5147236E" w14:textId="77777777" w:rsidR="00C61276" w:rsidRPr="00E924DA" w:rsidRDefault="00C61276" w:rsidP="000916AF">
            <w:pPr>
              <w:pageBreakBefore/>
              <w:spacing w:before="120" w:after="12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E924DA">
              <w:rPr>
                <w:i/>
                <w:sz w:val="16"/>
                <w:lang w:val="en-US"/>
              </w:rPr>
              <w:lastRenderedPageBreak/>
              <w:t xml:space="preserve">Confirmation that the internal processes for compliance with conduct rules for </w:t>
            </w:r>
            <w:r w:rsidRPr="00E924DA">
              <w:rPr>
                <w:i/>
                <w:lang w:val="en-US"/>
              </w:rPr>
              <w:t xml:space="preserve">□ </w:t>
            </w:r>
            <w:r w:rsidRPr="00E924DA">
              <w:rPr>
                <w:i/>
                <w:sz w:val="16"/>
                <w:lang w:val="en-US"/>
              </w:rPr>
              <w:t xml:space="preserve">individual portfolio management, </w:t>
            </w:r>
            <w:r w:rsidRPr="00E924DA">
              <w:rPr>
                <w:i/>
                <w:lang w:val="en-US"/>
              </w:rPr>
              <w:t xml:space="preserve">□ </w:t>
            </w:r>
            <w:r w:rsidRPr="00E924DA">
              <w:rPr>
                <w:i/>
                <w:sz w:val="16"/>
                <w:lang w:val="en-US"/>
              </w:rPr>
              <w:t>investment advisory services,</w:t>
            </w:r>
            <w:r w:rsidRPr="00E924DA">
              <w:rPr>
                <w:i/>
                <w:lang w:val="en-US"/>
              </w:rPr>
              <w:t xml:space="preserve"> □ </w:t>
            </w:r>
            <w:r w:rsidRPr="00E924DA">
              <w:rPr>
                <w:i/>
                <w:sz w:val="16"/>
                <w:lang w:val="en-US"/>
              </w:rPr>
              <w:t xml:space="preserve">execution of transactions and </w:t>
            </w:r>
            <w:r w:rsidRPr="00E924DA">
              <w:rPr>
                <w:i/>
                <w:lang w:val="en-US"/>
              </w:rPr>
              <w:t xml:space="preserve">□ </w:t>
            </w:r>
            <w:r w:rsidRPr="00E924DA">
              <w:rPr>
                <w:i/>
                <w:sz w:val="16"/>
                <w:lang w:val="en-US"/>
              </w:rPr>
              <w:t xml:space="preserve">distribution of collective investment schemes were adequate and appropriate, and complied with where the audit depth was “audit”. </w:t>
            </w:r>
          </w:p>
          <w:p w14:paraId="312702B0" w14:textId="77777777" w:rsidR="00C61276" w:rsidRPr="00EB30C0" w:rsidRDefault="00C61276" w:rsidP="000916AF">
            <w:pPr>
              <w:pageBreakBefore/>
              <w:spacing w:before="120" w:after="12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Bestätigung, dass die internen Arbeitsprozesse zur Einhaltung der Verhaltenspflichten gegenüber Kunden bezüglich </w:t>
            </w:r>
            <w:r>
              <w:rPr>
                <w:i/>
              </w:rPr>
              <w:t>□</w:t>
            </w:r>
            <w:r>
              <w:rPr>
                <w:i/>
                <w:sz w:val="16"/>
              </w:rPr>
              <w:t xml:space="preserve"> individueller Vermögensverwaltung, </w:t>
            </w:r>
            <w:r>
              <w:rPr>
                <w:i/>
              </w:rPr>
              <w:t>□</w:t>
            </w:r>
            <w:r>
              <w:rPr>
                <w:i/>
                <w:sz w:val="16"/>
              </w:rPr>
              <w:t xml:space="preserve"> Anlageberatung, </w:t>
            </w:r>
            <w:r>
              <w:rPr>
                <w:i/>
              </w:rPr>
              <w:t>□</w:t>
            </w:r>
            <w:r>
              <w:rPr>
                <w:i/>
                <w:sz w:val="16"/>
              </w:rPr>
              <w:t xml:space="preserve"> Transaktionsausführung und </w:t>
            </w:r>
            <w:r>
              <w:rPr>
                <w:i/>
              </w:rPr>
              <w:t>□</w:t>
            </w:r>
            <w:r>
              <w:rPr>
                <w:i/>
                <w:sz w:val="16"/>
              </w:rPr>
              <w:t xml:space="preserve"> Vertrieb kollektiver Kapitalanlagen angemessen waren und im Fall der Prüftiefe „Prüfung“ eingehalten wurden.</w:t>
            </w:r>
          </w:p>
          <w:p w14:paraId="409ED79B" w14:textId="77777777" w:rsidR="00C61276" w:rsidRPr="00E924DA" w:rsidRDefault="00C61276" w:rsidP="000916AF">
            <w:pPr>
              <w:pageBreakBefore/>
              <w:spacing w:before="120" w:after="120" w:line="240" w:lineRule="auto"/>
              <w:rPr>
                <w:rFonts w:cs="Arial"/>
                <w:sz w:val="16"/>
                <w:szCs w:val="16"/>
                <w:highlight w:val="yellow"/>
                <w:lang w:val="fr-CH"/>
              </w:rPr>
            </w:pPr>
            <w:r w:rsidRPr="00E924DA">
              <w:rPr>
                <w:i/>
                <w:sz w:val="16"/>
                <w:lang w:val="fr-CH"/>
              </w:rPr>
              <w:t xml:space="preserve">Confirmation, que les processus internes en matière de respect des devoirs de comportement envers la clientèle relatifs à la </w:t>
            </w:r>
            <w:r w:rsidRPr="00E924DA">
              <w:rPr>
                <w:lang w:val="fr-CH"/>
              </w:rPr>
              <w:t>□</w:t>
            </w:r>
            <w:r w:rsidRPr="00E924DA">
              <w:rPr>
                <w:i/>
                <w:sz w:val="16"/>
                <w:lang w:val="fr-CH"/>
              </w:rPr>
              <w:t xml:space="preserve"> gestion de fortune individuelle, </w:t>
            </w:r>
            <w:r w:rsidRPr="00E924DA">
              <w:rPr>
                <w:lang w:val="fr-CH"/>
              </w:rPr>
              <w:t>□</w:t>
            </w:r>
            <w:r w:rsidRPr="00E924DA">
              <w:rPr>
                <w:i/>
                <w:sz w:val="16"/>
                <w:lang w:val="fr-CH"/>
              </w:rPr>
              <w:t xml:space="preserve"> au conseil en placement, </w:t>
            </w:r>
            <w:r w:rsidRPr="00E924DA">
              <w:rPr>
                <w:lang w:val="fr-CH"/>
              </w:rPr>
              <w:t>□</w:t>
            </w:r>
            <w:r w:rsidRPr="00E924DA">
              <w:rPr>
                <w:i/>
                <w:sz w:val="16"/>
                <w:lang w:val="fr-CH"/>
              </w:rPr>
              <w:t xml:space="preserve"> à l’exécution de transactions et à </w:t>
            </w:r>
            <w:r w:rsidRPr="00E924DA">
              <w:rPr>
                <w:lang w:val="fr-CH"/>
              </w:rPr>
              <w:t>□</w:t>
            </w:r>
            <w:r w:rsidRPr="00E924DA">
              <w:rPr>
                <w:i/>
                <w:sz w:val="16"/>
                <w:lang w:val="fr-CH"/>
              </w:rPr>
              <w:t xml:space="preserve"> la distribution de placements collectifs étaient appropriés et que, en cas d’étendue d’audit « audit », -ont été respectés.</w:t>
            </w:r>
          </w:p>
        </w:tc>
      </w:tr>
      <w:tr w:rsidR="00C61276" w:rsidRPr="00573E72" w14:paraId="689FEE09" w14:textId="77777777" w:rsidTr="00E17F64">
        <w:trPr>
          <w:cantSplit/>
        </w:trPr>
        <w:tc>
          <w:tcPr>
            <w:tcW w:w="596" w:type="dxa"/>
          </w:tcPr>
          <w:p w14:paraId="39A9583B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30AAAA3F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1E52126C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73" w:type="dxa"/>
          </w:tcPr>
          <w:p w14:paraId="4D99836A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5534C9B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7AE9AA5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Beurteilung von Vertragsbeziehungen</w:t>
            </w:r>
          </w:p>
        </w:tc>
        <w:tc>
          <w:tcPr>
            <w:tcW w:w="3856" w:type="dxa"/>
            <w:shd w:val="clear" w:color="auto" w:fill="auto"/>
          </w:tcPr>
          <w:p w14:paraId="406F7898" w14:textId="77777777" w:rsidR="00C61276" w:rsidRPr="00EB30C0" w:rsidRDefault="00C61276" w:rsidP="009B2B93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</w:rPr>
            </w:pPr>
            <w:r>
              <w:rPr>
                <w:sz w:val="16"/>
              </w:rPr>
              <w:t xml:space="preserve">Anhand von Befragungen und der Durchsicht relevanter Dokumente beurteilen, ob die </w:t>
            </w:r>
            <w:r w:rsidR="00FF016B">
              <w:rPr>
                <w:sz w:val="16"/>
              </w:rPr>
              <w:t xml:space="preserve">Prozesse </w:t>
            </w:r>
            <w:r>
              <w:rPr>
                <w:sz w:val="16"/>
              </w:rPr>
              <w:t xml:space="preserve">zur Überprüfung </w:t>
            </w:r>
            <w:r w:rsidR="00FF016B">
              <w:rPr>
                <w:sz w:val="16"/>
              </w:rPr>
              <w:t xml:space="preserve">der Art </w:t>
            </w:r>
            <w:r>
              <w:rPr>
                <w:sz w:val="16"/>
              </w:rPr>
              <w:t>der Vertragsbeziehungen zu Kunden</w:t>
            </w:r>
            <w:r w:rsidR="00FF016B">
              <w:rPr>
                <w:sz w:val="16"/>
              </w:rPr>
              <w:t xml:space="preserve"> und deren allfällige Überarbeitung</w:t>
            </w:r>
            <w:r w:rsidR="002065DD"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falls </w:t>
            </w:r>
            <w:r w:rsidR="002065DD">
              <w:rPr>
                <w:sz w:val="16"/>
              </w:rPr>
              <w:t xml:space="preserve">sich im Laufe der Zeit </w:t>
            </w:r>
            <w:r>
              <w:rPr>
                <w:sz w:val="16"/>
              </w:rPr>
              <w:t>die Kundenbedürfnisse geändert haben, angemessen sind (z.</w:t>
            </w:r>
            <w:r w:rsidR="00FF016B">
              <w:rPr>
                <w:sz w:val="16"/>
              </w:rPr>
              <w:t> </w:t>
            </w:r>
            <w:r>
              <w:rPr>
                <w:sz w:val="16"/>
              </w:rPr>
              <w:t>B. individuelle Vermögensverwaltung, portfolioorientierte Anlageberatung</w:t>
            </w:r>
            <w:r w:rsidRPr="002E7DC8">
              <w:rPr>
                <w:sz w:val="16"/>
              </w:rPr>
              <w:t xml:space="preserve">, </w:t>
            </w:r>
            <w:r w:rsidR="00C61B2F" w:rsidRPr="005222A0">
              <w:rPr>
                <w:sz w:val="16"/>
              </w:rPr>
              <w:t>individuelle</w:t>
            </w:r>
            <w:r w:rsidRPr="002E7DC8">
              <w:rPr>
                <w:sz w:val="16"/>
              </w:rPr>
              <w:t xml:space="preserve"> Anlageberatung, </w:t>
            </w:r>
            <w:r w:rsidR="00DB75A0">
              <w:rPr>
                <w:sz w:val="16"/>
              </w:rPr>
              <w:t>rei</w:t>
            </w:r>
            <w:r w:rsidR="004B4941" w:rsidRPr="005222A0">
              <w:rPr>
                <w:sz w:val="16"/>
              </w:rPr>
              <w:t>ne</w:t>
            </w:r>
            <w:r w:rsidR="004B4941" w:rsidRPr="002E7DC8">
              <w:rPr>
                <w:sz w:val="16"/>
              </w:rPr>
              <w:t xml:space="preserve"> </w:t>
            </w:r>
            <w:r w:rsidR="00383C92" w:rsidRPr="005222A0">
              <w:rPr>
                <w:sz w:val="16"/>
              </w:rPr>
              <w:t>Transaktionsausführungen</w:t>
            </w:r>
            <w:r w:rsidR="00383C92">
              <w:rPr>
                <w:sz w:val="16"/>
              </w:rPr>
              <w:t xml:space="preserve"> (</w:t>
            </w:r>
            <w:r w:rsidR="00FF016B">
              <w:rPr>
                <w:sz w:val="16"/>
              </w:rPr>
              <w:t>Execution-only-Geschäfte</w:t>
            </w:r>
            <w:r w:rsidR="00383C92">
              <w:rPr>
                <w:sz w:val="16"/>
              </w:rPr>
              <w:t>)</w:t>
            </w:r>
            <w:r>
              <w:rPr>
                <w:sz w:val="16"/>
              </w:rPr>
              <w:t>).</w:t>
            </w:r>
          </w:p>
        </w:tc>
        <w:tc>
          <w:tcPr>
            <w:tcW w:w="3656" w:type="dxa"/>
            <w:shd w:val="clear" w:color="auto" w:fill="auto"/>
          </w:tcPr>
          <w:p w14:paraId="0F723218" w14:textId="77777777" w:rsidR="00C61276" w:rsidRPr="00EB30C0" w:rsidRDefault="00C61276" w:rsidP="00B93868">
            <w:pPr>
              <w:pStyle w:val="Bullet"/>
              <w:spacing w:before="120" w:after="120"/>
              <w:ind w:left="63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2AF87226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83FF4D2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1276" w:rsidRPr="00573E72" w14:paraId="58A4ADBC" w14:textId="77777777" w:rsidTr="00E17F64">
        <w:trPr>
          <w:cantSplit/>
          <w:trHeight w:val="1856"/>
        </w:trPr>
        <w:tc>
          <w:tcPr>
            <w:tcW w:w="596" w:type="dxa"/>
          </w:tcPr>
          <w:p w14:paraId="5A7BAFA0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X</w:t>
            </w:r>
          </w:p>
        </w:tc>
        <w:tc>
          <w:tcPr>
            <w:tcW w:w="596" w:type="dxa"/>
          </w:tcPr>
          <w:p w14:paraId="560D7D97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5E97FC58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3" w:type="dxa"/>
          </w:tcPr>
          <w:p w14:paraId="07B8AACB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527CD3A9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14:paraId="19D0D0CA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Risikoprofile von Kunden</w:t>
            </w:r>
          </w:p>
          <w:p w14:paraId="7AE6996A" w14:textId="77777777" w:rsidR="00C61276" w:rsidRPr="00EB30C0" w:rsidRDefault="00C61276" w:rsidP="00AE64CF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Gilt für die individuelle Vermögensverwaltung und</w:t>
            </w:r>
            <w:r w:rsidR="002065DD">
              <w:rPr>
                <w:sz w:val="16"/>
              </w:rPr>
              <w:t xml:space="preserve"> die Anlageberatung</w:t>
            </w:r>
            <w:r w:rsidR="00AE64CF">
              <w:rPr>
                <w:rStyle w:val="Funotenzeichen"/>
                <w:sz w:val="16"/>
              </w:rPr>
              <w:footnoteReference w:id="4"/>
            </w:r>
            <w:r>
              <w:rPr>
                <w:sz w:val="16"/>
              </w:rPr>
              <w:t xml:space="preserve"> </w:t>
            </w:r>
          </w:p>
        </w:tc>
        <w:tc>
          <w:tcPr>
            <w:tcW w:w="3856" w:type="dxa"/>
            <w:shd w:val="clear" w:color="auto" w:fill="auto"/>
          </w:tcPr>
          <w:p w14:paraId="7B987502" w14:textId="77777777" w:rsidR="00C61276" w:rsidRPr="00EB30C0" w:rsidRDefault="00C61276" w:rsidP="009B2B93">
            <w:pPr>
              <w:autoSpaceDE w:val="0"/>
              <w:autoSpaceDN w:val="0"/>
              <w:adjustRightInd w:val="0"/>
              <w:spacing w:before="120" w:after="120" w:line="240" w:lineRule="auto"/>
            </w:pPr>
            <w:r>
              <w:rPr>
                <w:sz w:val="16"/>
              </w:rPr>
              <w:t xml:space="preserve">Anhand von Befragungen und der Durchsicht relevanter Dokumente beurteilen, ob die </w:t>
            </w:r>
            <w:r w:rsidR="00FF016B">
              <w:rPr>
                <w:sz w:val="16"/>
              </w:rPr>
              <w:t xml:space="preserve">Prozesse </w:t>
            </w:r>
            <w:r>
              <w:rPr>
                <w:sz w:val="16"/>
              </w:rPr>
              <w:t xml:space="preserve">für die </w:t>
            </w:r>
            <w:r w:rsidR="00FF016B">
              <w:rPr>
                <w:sz w:val="16"/>
              </w:rPr>
              <w:t xml:space="preserve">Erstellung </w:t>
            </w:r>
            <w:r>
              <w:rPr>
                <w:sz w:val="16"/>
              </w:rPr>
              <w:t>und Aktualisierung von Risikoprofilen von Kunden und Anlagestrategien angemessen sind.</w:t>
            </w:r>
          </w:p>
        </w:tc>
        <w:tc>
          <w:tcPr>
            <w:tcW w:w="3656" w:type="dxa"/>
            <w:shd w:val="clear" w:color="auto" w:fill="auto"/>
          </w:tcPr>
          <w:p w14:paraId="22CDD786" w14:textId="77777777" w:rsidR="00C61276" w:rsidRPr="002E7DC8" w:rsidRDefault="00C61276" w:rsidP="00B93868">
            <w:pPr>
              <w:pStyle w:val="Bullet"/>
              <w:numPr>
                <w:ilvl w:val="0"/>
                <w:numId w:val="11"/>
              </w:numPr>
              <w:spacing w:before="120" w:after="120"/>
              <w:ind w:left="175" w:hanging="142"/>
            </w:pPr>
            <w:r w:rsidRPr="002E7DC8">
              <w:t>Vermögensverwaltung / Anlageberatung</w:t>
            </w:r>
            <w:r w:rsidR="00AE64CF" w:rsidRPr="002E7DC8">
              <w:rPr>
                <w:rStyle w:val="Funotenzeichen"/>
              </w:rPr>
              <w:footnoteReference w:id="5"/>
            </w:r>
            <w:r w:rsidRPr="002E7DC8">
              <w:t xml:space="preserve">: </w:t>
            </w:r>
            <w:r w:rsidR="002963D8" w:rsidRPr="005222A0">
              <w:t>Anhan</w:t>
            </w:r>
            <w:r w:rsidR="00C82B35" w:rsidRPr="002E7DC8">
              <w:t>d</w:t>
            </w:r>
            <w:r w:rsidR="002963D8" w:rsidRPr="005222A0">
              <w:t xml:space="preserve"> einer </w:t>
            </w:r>
            <w:r w:rsidRPr="005222A0">
              <w:t>risikobasierte</w:t>
            </w:r>
            <w:r w:rsidR="002963D8" w:rsidRPr="005222A0">
              <w:t>n</w:t>
            </w:r>
            <w:r w:rsidRPr="005222A0">
              <w:t xml:space="preserve"> </w:t>
            </w:r>
            <w:r w:rsidR="002963D8" w:rsidRPr="005222A0">
              <w:t>Stichprobe</w:t>
            </w:r>
            <w:r w:rsidR="002963D8" w:rsidRPr="002E7DC8">
              <w:t xml:space="preserve"> </w:t>
            </w:r>
            <w:r w:rsidR="00383C92" w:rsidRPr="005222A0">
              <w:t>prüfen</w:t>
            </w:r>
            <w:r w:rsidRPr="002E7DC8">
              <w:t xml:space="preserve">, </w:t>
            </w:r>
            <w:r w:rsidR="00C96F8D" w:rsidRPr="002E7DC8">
              <w:t xml:space="preserve">ob </w:t>
            </w:r>
            <w:r w:rsidRPr="002E7DC8">
              <w:t>für alle Privatkunden Risikoprofile erstellt und regelmässig aktualisiert wurden (d.</w:t>
            </w:r>
            <w:r w:rsidR="00FF016B" w:rsidRPr="002E7DC8">
              <w:t> </w:t>
            </w:r>
            <w:r w:rsidRPr="002E7DC8">
              <w:t>h. für neue und bestehende Kunden).</w:t>
            </w:r>
          </w:p>
          <w:p w14:paraId="4DD1E4A7" w14:textId="77777777" w:rsidR="00C61276" w:rsidRPr="002E7DC8" w:rsidRDefault="00C61276" w:rsidP="00B93868">
            <w:pPr>
              <w:pStyle w:val="Bullet"/>
              <w:numPr>
                <w:ilvl w:val="0"/>
                <w:numId w:val="11"/>
              </w:numPr>
              <w:spacing w:before="120" w:after="120"/>
              <w:ind w:left="175" w:hanging="142"/>
            </w:pPr>
            <w:r w:rsidRPr="002E7DC8">
              <w:t>Vermögensverwaltung / Anlageberatung</w:t>
            </w:r>
            <w:r w:rsidR="00AE64CF" w:rsidRPr="002E7DC8">
              <w:rPr>
                <w:rStyle w:val="Funotenzeichen"/>
              </w:rPr>
              <w:footnoteReference w:id="6"/>
            </w:r>
            <w:r w:rsidRPr="002E7DC8">
              <w:t xml:space="preserve">: </w:t>
            </w:r>
            <w:r w:rsidR="002963D8" w:rsidRPr="005222A0">
              <w:t xml:space="preserve">Anhand einer </w:t>
            </w:r>
            <w:r w:rsidRPr="005222A0">
              <w:t>risikobasierte</w:t>
            </w:r>
            <w:r w:rsidR="002963D8" w:rsidRPr="005222A0">
              <w:t>n</w:t>
            </w:r>
            <w:r w:rsidRPr="005222A0">
              <w:t xml:space="preserve"> </w:t>
            </w:r>
            <w:r w:rsidR="002963D8" w:rsidRPr="005222A0">
              <w:t>Stichprobe</w:t>
            </w:r>
            <w:r w:rsidR="002963D8" w:rsidRPr="002E7DC8">
              <w:t xml:space="preserve"> </w:t>
            </w:r>
            <w:r w:rsidR="00A402A1">
              <w:t>von Kunden-Risikoprofilen</w:t>
            </w:r>
            <w:r w:rsidRPr="002E7DC8">
              <w:t xml:space="preserve"> </w:t>
            </w:r>
            <w:r w:rsidR="00383C92" w:rsidRPr="005222A0">
              <w:t>prüfen</w:t>
            </w:r>
            <w:r w:rsidRPr="002E7DC8">
              <w:t xml:space="preserve">, ob ihre Struktur </w:t>
            </w:r>
            <w:r w:rsidR="002963D8" w:rsidRPr="005222A0">
              <w:t>aussagekräftig</w:t>
            </w:r>
            <w:r w:rsidR="002963D8" w:rsidRPr="002E7DC8">
              <w:t xml:space="preserve"> </w:t>
            </w:r>
            <w:r w:rsidRPr="002E7DC8">
              <w:t xml:space="preserve">und ihre Inhalte plausibel sind. </w:t>
            </w:r>
          </w:p>
          <w:p w14:paraId="083DC49F" w14:textId="77777777" w:rsidR="00C61276" w:rsidRPr="00EB30C0" w:rsidRDefault="00C61276" w:rsidP="005222A0">
            <w:pPr>
              <w:pStyle w:val="Bullet"/>
              <w:numPr>
                <w:ilvl w:val="0"/>
                <w:numId w:val="11"/>
              </w:numPr>
              <w:spacing w:before="120" w:after="120"/>
              <w:ind w:left="175" w:hanging="142"/>
            </w:pPr>
            <w:r w:rsidRPr="002E7DC8">
              <w:t xml:space="preserve">Vermögensverwaltung: </w:t>
            </w:r>
            <w:r w:rsidR="002963D8" w:rsidRPr="002E7DC8">
              <w:t xml:space="preserve">Eine </w:t>
            </w:r>
            <w:r w:rsidRPr="002E7DC8">
              <w:t xml:space="preserve">risikobasierte </w:t>
            </w:r>
            <w:r w:rsidR="002963D8" w:rsidRPr="005222A0">
              <w:t>Stichprobe</w:t>
            </w:r>
            <w:r w:rsidR="002963D8" w:rsidRPr="002E7DC8">
              <w:t xml:space="preserve"> </w:t>
            </w:r>
            <w:r w:rsidRPr="002E7DC8">
              <w:t xml:space="preserve">von Anlagestrategien daraufhin </w:t>
            </w:r>
            <w:r w:rsidR="00383C92" w:rsidRPr="005222A0">
              <w:t>prüfen</w:t>
            </w:r>
            <w:r w:rsidRPr="002E7DC8">
              <w:t>, ob sie zu</w:t>
            </w:r>
            <w:r>
              <w:t xml:space="preserve"> den Kunden-Risikoprofilen passen.</w:t>
            </w:r>
          </w:p>
        </w:tc>
        <w:tc>
          <w:tcPr>
            <w:tcW w:w="2410" w:type="dxa"/>
            <w:shd w:val="clear" w:color="auto" w:fill="auto"/>
          </w:tcPr>
          <w:p w14:paraId="44ACB518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0AC2F70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1276" w:rsidRPr="00573E72" w14:paraId="4098B1FB" w14:textId="77777777" w:rsidTr="00E17F64">
        <w:trPr>
          <w:cantSplit/>
        </w:trPr>
        <w:tc>
          <w:tcPr>
            <w:tcW w:w="596" w:type="dxa"/>
          </w:tcPr>
          <w:p w14:paraId="40A9DB2A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4F49BA3E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5A7AAA26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3" w:type="dxa"/>
          </w:tcPr>
          <w:p w14:paraId="2EDE548A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25DF8B8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A1B625F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auto"/>
          </w:tcPr>
          <w:p w14:paraId="57997A7A" w14:textId="77777777" w:rsidR="00C61276" w:rsidRPr="00EB30C0" w:rsidRDefault="00C61276" w:rsidP="00717FD6">
            <w:pPr>
              <w:pStyle w:val="Bullet"/>
              <w:spacing w:before="120" w:after="120"/>
            </w:pPr>
            <w:r>
              <w:t xml:space="preserve">Anhand von Befragungen und der Durchsicht relevanter Dokumente beurteilen, ob die </w:t>
            </w:r>
            <w:r w:rsidR="00717FD6">
              <w:t xml:space="preserve">Prozesse </w:t>
            </w:r>
            <w:r>
              <w:t>zur Definition der Portfolio-Risikoprofile und zur Produktanalyse / Produktklassifizierung (</w:t>
            </w:r>
            <w:r w:rsidR="00717FD6">
              <w:t>Genehmigungsprozesse für Neup</w:t>
            </w:r>
            <w:r>
              <w:t xml:space="preserve">rodukte, </w:t>
            </w:r>
            <w:r w:rsidR="00717FD6">
              <w:t>Ratingm</w:t>
            </w:r>
            <w:r>
              <w:t xml:space="preserve">ethode </w:t>
            </w:r>
            <w:r w:rsidR="00717FD6">
              <w:t>für</w:t>
            </w:r>
            <w:r>
              <w:t xml:space="preserve"> Produkt</w:t>
            </w:r>
            <w:r w:rsidR="00717FD6">
              <w:t>risik</w:t>
            </w:r>
            <w:r>
              <w:t xml:space="preserve">en) sowie ihre </w:t>
            </w:r>
            <w:r w:rsidRPr="005222A0">
              <w:t xml:space="preserve">regelmässige Beurteilung (basierend auf </w:t>
            </w:r>
            <w:r w:rsidR="00717FD6" w:rsidRPr="005222A0">
              <w:t>geeigneten</w:t>
            </w:r>
            <w:r w:rsidR="002963D8" w:rsidRPr="005222A0">
              <w:t xml:space="preserve"> und</w:t>
            </w:r>
            <w:r>
              <w:t xml:space="preserve"> kombinierbaren Faktoren wie Kreditwürdigkeit, Value-at-Risk, Liquidität, Produktkomplexität) angemessen sind.</w:t>
            </w:r>
          </w:p>
        </w:tc>
        <w:tc>
          <w:tcPr>
            <w:tcW w:w="3656" w:type="dxa"/>
            <w:shd w:val="clear" w:color="auto" w:fill="auto"/>
          </w:tcPr>
          <w:p w14:paraId="35FC7B5A" w14:textId="77777777" w:rsidR="00C61276" w:rsidRPr="00EB30C0" w:rsidRDefault="00C61276" w:rsidP="00B938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Eine </w:t>
            </w:r>
            <w:r w:rsidRPr="002E7DC8">
              <w:rPr>
                <w:sz w:val="16"/>
              </w:rPr>
              <w:t xml:space="preserve">risikobasierte </w:t>
            </w:r>
            <w:r w:rsidR="002963D8" w:rsidRPr="005222A0">
              <w:rPr>
                <w:sz w:val="16"/>
              </w:rPr>
              <w:t>Stichprobe dahingehend prüfen</w:t>
            </w:r>
            <w:r w:rsidRPr="005222A0">
              <w:rPr>
                <w:sz w:val="16"/>
              </w:rPr>
              <w:t>, ob die Produ</w:t>
            </w:r>
            <w:r w:rsidRPr="002E7DC8">
              <w:rPr>
                <w:sz w:val="16"/>
              </w:rPr>
              <w:t>ktklassifizierung und ihre regelmässige Beurteilung</w:t>
            </w:r>
            <w:r>
              <w:rPr>
                <w:sz w:val="16"/>
              </w:rPr>
              <w:t xml:space="preserve"> </w:t>
            </w:r>
            <w:r w:rsidR="00FF016B">
              <w:rPr>
                <w:sz w:val="16"/>
              </w:rPr>
              <w:t xml:space="preserve">angemessen </w:t>
            </w:r>
            <w:r>
              <w:rPr>
                <w:sz w:val="16"/>
              </w:rPr>
              <w:t>sind.</w:t>
            </w:r>
          </w:p>
          <w:p w14:paraId="32150E27" w14:textId="77777777" w:rsidR="00C61276" w:rsidRPr="00EB30C0" w:rsidRDefault="00C61276" w:rsidP="00B938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6CCCBB91" w14:textId="77777777" w:rsidR="00C61276" w:rsidRPr="00EB30C0" w:rsidRDefault="00C61276" w:rsidP="00B938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5449BDF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41C6698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1276" w:rsidRPr="00573E72" w14:paraId="42D81DD1" w14:textId="77777777" w:rsidTr="00E17F64">
        <w:trPr>
          <w:cantSplit/>
        </w:trPr>
        <w:tc>
          <w:tcPr>
            <w:tcW w:w="596" w:type="dxa"/>
          </w:tcPr>
          <w:p w14:paraId="3CF0BF14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X</w:t>
            </w:r>
          </w:p>
        </w:tc>
        <w:tc>
          <w:tcPr>
            <w:tcW w:w="596" w:type="dxa"/>
          </w:tcPr>
          <w:p w14:paraId="7ADF3462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5FE996CD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3" w:type="dxa"/>
          </w:tcPr>
          <w:p w14:paraId="1F4B1269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E0E1B1E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E3300A1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auto"/>
          </w:tcPr>
          <w:p w14:paraId="25ABD2D8" w14:textId="77777777" w:rsidR="00C61276" w:rsidRPr="00EB30C0" w:rsidRDefault="00C61276" w:rsidP="00AF75B9">
            <w:pPr>
              <w:pStyle w:val="Bullet"/>
              <w:spacing w:before="120" w:after="120"/>
            </w:pPr>
            <w:r>
              <w:t xml:space="preserve">Anhand von Befragungen und der Durchsicht relevanter Dokumente beurteilen, ob die </w:t>
            </w:r>
            <w:r w:rsidR="00717FD6">
              <w:t xml:space="preserve">Prozesse </w:t>
            </w:r>
            <w:r>
              <w:t xml:space="preserve">zur Ermittlung und regelmässigen Überwachung der </w:t>
            </w:r>
            <w:r w:rsidR="00AF75B9" w:rsidRPr="005222A0">
              <w:t xml:space="preserve">Übereinstimmung </w:t>
            </w:r>
            <w:r w:rsidRPr="002E7DC8">
              <w:t>vo</w:t>
            </w:r>
            <w:r>
              <w:t>n Kunden-Risikoprofil, Anlagestrategie und Portfolio-Risikoprofil angemessen sind.</w:t>
            </w:r>
          </w:p>
        </w:tc>
        <w:tc>
          <w:tcPr>
            <w:tcW w:w="3656" w:type="dxa"/>
            <w:shd w:val="clear" w:color="auto" w:fill="auto"/>
          </w:tcPr>
          <w:p w14:paraId="4BC45E58" w14:textId="77777777" w:rsidR="00C61276" w:rsidRPr="00EB30C0" w:rsidRDefault="00C61276" w:rsidP="002963D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Eine </w:t>
            </w:r>
            <w:r w:rsidRPr="002E7DC8">
              <w:rPr>
                <w:sz w:val="16"/>
              </w:rPr>
              <w:t xml:space="preserve">risikobasierte </w:t>
            </w:r>
            <w:r w:rsidR="002963D8" w:rsidRPr="005222A0">
              <w:rPr>
                <w:sz w:val="16"/>
              </w:rPr>
              <w:t>Stichprobe dahingehend prüfen</w:t>
            </w:r>
            <w:r w:rsidRPr="005222A0">
              <w:rPr>
                <w:sz w:val="16"/>
              </w:rPr>
              <w:t>, ob Diskrepan</w:t>
            </w:r>
            <w:r w:rsidRPr="002E7DC8">
              <w:rPr>
                <w:sz w:val="16"/>
              </w:rPr>
              <w:t>zen</w:t>
            </w:r>
            <w:r>
              <w:rPr>
                <w:sz w:val="16"/>
              </w:rPr>
              <w:t xml:space="preserve"> zwischen de</w:t>
            </w:r>
            <w:r w:rsidR="00717FD6">
              <w:rPr>
                <w:sz w:val="16"/>
              </w:rPr>
              <w:t>n</w:t>
            </w:r>
            <w:r>
              <w:rPr>
                <w:sz w:val="16"/>
              </w:rPr>
              <w:t xml:space="preserve"> Kunden-Risikoprofil</w:t>
            </w:r>
            <w:r w:rsidR="00717FD6">
              <w:rPr>
                <w:sz w:val="16"/>
              </w:rPr>
              <w:t>en</w:t>
            </w:r>
            <w:r>
              <w:rPr>
                <w:sz w:val="16"/>
              </w:rPr>
              <w:t>, de</w:t>
            </w:r>
            <w:r w:rsidR="00717FD6">
              <w:rPr>
                <w:sz w:val="16"/>
              </w:rPr>
              <w:t>r</w:t>
            </w:r>
            <w:r>
              <w:rPr>
                <w:sz w:val="16"/>
              </w:rPr>
              <w:t xml:space="preserve"> Anlagestrategie und dem Portfolio-Risikoprofil bestehen, ob die Berichterstattung dazu und die ergriffenen Massnahmen bei festgestellten Diskrepanzen angemessen sind.</w:t>
            </w:r>
          </w:p>
        </w:tc>
        <w:tc>
          <w:tcPr>
            <w:tcW w:w="2410" w:type="dxa"/>
            <w:shd w:val="clear" w:color="auto" w:fill="auto"/>
          </w:tcPr>
          <w:p w14:paraId="47642073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73DA461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1276" w:rsidRPr="00573E72" w14:paraId="30AF09DE" w14:textId="77777777" w:rsidTr="00E17F64">
        <w:trPr>
          <w:cantSplit/>
        </w:trPr>
        <w:tc>
          <w:tcPr>
            <w:tcW w:w="596" w:type="dxa"/>
          </w:tcPr>
          <w:p w14:paraId="77FCA913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32EF290D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1C06A7F9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3" w:type="dxa"/>
          </w:tcPr>
          <w:p w14:paraId="4666C38A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F6854EE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14:paraId="108F1976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Portfolio-Diversifizierung</w:t>
            </w:r>
          </w:p>
        </w:tc>
        <w:tc>
          <w:tcPr>
            <w:tcW w:w="3856" w:type="dxa"/>
            <w:shd w:val="clear" w:color="auto" w:fill="auto"/>
          </w:tcPr>
          <w:p w14:paraId="5CD08607" w14:textId="77777777" w:rsidR="00C61276" w:rsidRPr="00EB30C0" w:rsidRDefault="00C61276" w:rsidP="00AF75B9">
            <w:pPr>
              <w:pStyle w:val="Bullet"/>
              <w:spacing w:before="120" w:after="120"/>
            </w:pPr>
            <w:r>
              <w:t xml:space="preserve">Anhand von Befragungen und der Durchsicht relevanter Dokumente beurteilen, </w:t>
            </w:r>
            <w:r w:rsidRPr="002E7DC8">
              <w:t xml:space="preserve">ob die </w:t>
            </w:r>
            <w:r w:rsidR="007D2BE4">
              <w:t xml:space="preserve">internen </w:t>
            </w:r>
            <w:r w:rsidR="00AF75B9" w:rsidRPr="005222A0">
              <w:t>Richtlinien</w:t>
            </w:r>
            <w:r w:rsidR="00AF75B9" w:rsidRPr="002E7DC8">
              <w:t xml:space="preserve"> </w:t>
            </w:r>
            <w:r w:rsidRPr="002E7DC8">
              <w:t xml:space="preserve">und </w:t>
            </w:r>
            <w:r w:rsidR="00717FD6" w:rsidRPr="002E7DC8">
              <w:t xml:space="preserve">Prozesse </w:t>
            </w:r>
            <w:r w:rsidRPr="002E7DC8">
              <w:t xml:space="preserve">zur </w:t>
            </w:r>
            <w:r w:rsidR="00AF75B9" w:rsidRPr="005222A0">
              <w:t>Diversifikation</w:t>
            </w:r>
            <w:r w:rsidR="00AF75B9" w:rsidRPr="002E7DC8">
              <w:t xml:space="preserve"> </w:t>
            </w:r>
            <w:r w:rsidRPr="002E7DC8">
              <w:t>der Kundenportfolios und deren Überwachung (z.</w:t>
            </w:r>
            <w:r w:rsidR="00717FD6" w:rsidRPr="002E7DC8">
              <w:t> </w:t>
            </w:r>
            <w:r w:rsidRPr="002E7DC8">
              <w:t>B. maximale</w:t>
            </w:r>
            <w:r w:rsidR="00717FD6" w:rsidRPr="002E7DC8">
              <w:t>r</w:t>
            </w:r>
            <w:r>
              <w:t xml:space="preserve"> Anteil für jedes Finanzinstrument, max.</w:t>
            </w:r>
            <w:r w:rsidR="00717FD6">
              <w:t xml:space="preserve"> Anteil</w:t>
            </w:r>
            <w:r>
              <w:t xml:space="preserve"> pro Emittent, </w:t>
            </w:r>
            <w:r w:rsidR="00717FD6">
              <w:t>max. Anteil pro Branche</w:t>
            </w:r>
            <w:r>
              <w:t>, Land und Währung) angemessen sind.</w:t>
            </w:r>
          </w:p>
        </w:tc>
        <w:tc>
          <w:tcPr>
            <w:tcW w:w="3656" w:type="dxa"/>
            <w:shd w:val="clear" w:color="auto" w:fill="auto"/>
          </w:tcPr>
          <w:p w14:paraId="46B2A34B" w14:textId="77777777" w:rsidR="00C61276" w:rsidRPr="00EB30C0" w:rsidRDefault="00C61276" w:rsidP="00B93868">
            <w:pPr>
              <w:pStyle w:val="Bullet"/>
              <w:spacing w:before="120" w:after="120"/>
            </w:pPr>
          </w:p>
        </w:tc>
        <w:tc>
          <w:tcPr>
            <w:tcW w:w="2410" w:type="dxa"/>
            <w:shd w:val="clear" w:color="auto" w:fill="auto"/>
          </w:tcPr>
          <w:p w14:paraId="4E2F4B89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771B811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1276" w:rsidRPr="00573E72" w14:paraId="46E7F213" w14:textId="77777777" w:rsidTr="00E17F64">
        <w:trPr>
          <w:cantSplit/>
        </w:trPr>
        <w:tc>
          <w:tcPr>
            <w:tcW w:w="596" w:type="dxa"/>
          </w:tcPr>
          <w:p w14:paraId="461A4B23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79C14E1C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6" w:type="dxa"/>
          </w:tcPr>
          <w:p w14:paraId="07DE848E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3" w:type="dxa"/>
          </w:tcPr>
          <w:p w14:paraId="7E900324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5D567D2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6FCEB49" w14:textId="77777777" w:rsidR="00C61276" w:rsidRPr="002675EB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auto"/>
          </w:tcPr>
          <w:p w14:paraId="7FDB1D11" w14:textId="77777777" w:rsidR="00C61276" w:rsidRPr="002E7DC8" w:rsidRDefault="00C61276" w:rsidP="00B93868">
            <w:pPr>
              <w:pStyle w:val="Bullet"/>
              <w:spacing w:before="120" w:after="120"/>
            </w:pPr>
          </w:p>
        </w:tc>
        <w:tc>
          <w:tcPr>
            <w:tcW w:w="3656" w:type="dxa"/>
            <w:shd w:val="clear" w:color="auto" w:fill="auto"/>
          </w:tcPr>
          <w:p w14:paraId="13F7154E" w14:textId="77777777" w:rsidR="00C61276" w:rsidRPr="002E7DC8" w:rsidRDefault="00C61276" w:rsidP="00CB514C">
            <w:pPr>
              <w:pStyle w:val="Bullet"/>
              <w:spacing w:before="120" w:after="120"/>
            </w:pPr>
            <w:r w:rsidRPr="002E7DC8">
              <w:t xml:space="preserve">Eine risikobasierte </w:t>
            </w:r>
            <w:r w:rsidR="00AF75B9" w:rsidRPr="005222A0">
              <w:t>Stichprobe</w:t>
            </w:r>
            <w:r w:rsidR="00AF75B9" w:rsidRPr="002E7DC8">
              <w:t xml:space="preserve"> </w:t>
            </w:r>
            <w:r w:rsidRPr="002E7DC8">
              <w:t xml:space="preserve">von Kundenportfolios </w:t>
            </w:r>
            <w:r w:rsidR="00AF75B9" w:rsidRPr="005222A0">
              <w:t>dahingehend</w:t>
            </w:r>
            <w:r w:rsidR="00AF75B9" w:rsidRPr="002E7DC8">
              <w:t xml:space="preserve"> </w:t>
            </w:r>
            <w:r w:rsidR="00383C92" w:rsidRPr="005222A0">
              <w:t>prüfen</w:t>
            </w:r>
            <w:r w:rsidRPr="002E7DC8">
              <w:t xml:space="preserve">, </w:t>
            </w:r>
            <w:r w:rsidRPr="005222A0">
              <w:t xml:space="preserve">ob die </w:t>
            </w:r>
            <w:r w:rsidR="007D2BE4">
              <w:t xml:space="preserve">internen </w:t>
            </w:r>
            <w:r w:rsidRPr="005222A0">
              <w:t>Diversifizierung</w:t>
            </w:r>
            <w:r w:rsidR="007D2BE4">
              <w:t>svorgaben</w:t>
            </w:r>
            <w:r w:rsidRPr="005222A0">
              <w:t xml:space="preserve"> </w:t>
            </w:r>
            <w:r w:rsidR="007D2BE4">
              <w:t>eingehalten</w:t>
            </w:r>
            <w:r w:rsidRPr="005222A0">
              <w:t xml:space="preserve"> </w:t>
            </w:r>
            <w:r w:rsidR="00CB514C">
              <w:t>sind</w:t>
            </w:r>
            <w:r w:rsidRPr="005222A0">
              <w:t>.</w:t>
            </w:r>
          </w:p>
        </w:tc>
        <w:tc>
          <w:tcPr>
            <w:tcW w:w="2410" w:type="dxa"/>
            <w:shd w:val="clear" w:color="auto" w:fill="auto"/>
          </w:tcPr>
          <w:p w14:paraId="08F91C31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7BB48E2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1276" w:rsidRPr="00573E72" w14:paraId="7BA362F5" w14:textId="77777777" w:rsidTr="00E17F64">
        <w:trPr>
          <w:cantSplit/>
        </w:trPr>
        <w:tc>
          <w:tcPr>
            <w:tcW w:w="596" w:type="dxa"/>
          </w:tcPr>
          <w:p w14:paraId="4B3E92ED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6" w:type="dxa"/>
          </w:tcPr>
          <w:p w14:paraId="3A9767A3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5D6FB460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3" w:type="dxa"/>
          </w:tcPr>
          <w:p w14:paraId="2167B0C0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1F4827B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C3E5C29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auto"/>
          </w:tcPr>
          <w:p w14:paraId="3F626291" w14:textId="77777777" w:rsidR="00C61276" w:rsidRPr="002E7DC8" w:rsidRDefault="00C61276" w:rsidP="00B93868">
            <w:pPr>
              <w:pStyle w:val="Bullet"/>
              <w:spacing w:before="120" w:after="120"/>
            </w:pPr>
          </w:p>
        </w:tc>
        <w:tc>
          <w:tcPr>
            <w:tcW w:w="3656" w:type="dxa"/>
            <w:shd w:val="clear" w:color="auto" w:fill="auto"/>
          </w:tcPr>
          <w:p w14:paraId="3C6C2E11" w14:textId="77777777" w:rsidR="00C61276" w:rsidRPr="002E7DC8" w:rsidRDefault="00C61276" w:rsidP="00AF75B9">
            <w:pPr>
              <w:pStyle w:val="Bullet"/>
              <w:spacing w:before="120" w:after="120"/>
            </w:pPr>
            <w:r w:rsidRPr="002E7DC8">
              <w:t xml:space="preserve">Eine risikobasierte </w:t>
            </w:r>
            <w:r w:rsidR="00AF75B9" w:rsidRPr="005222A0">
              <w:t>Stichprobe</w:t>
            </w:r>
            <w:r w:rsidR="00AF75B9" w:rsidRPr="002E7DC8">
              <w:t xml:space="preserve"> </w:t>
            </w:r>
            <w:r w:rsidRPr="002E7DC8">
              <w:t xml:space="preserve">von Kundenportfolios </w:t>
            </w:r>
            <w:r w:rsidR="00AF75B9" w:rsidRPr="005222A0">
              <w:t>dahingehend</w:t>
            </w:r>
            <w:r w:rsidR="00AF75B9" w:rsidRPr="002E7DC8">
              <w:t xml:space="preserve"> </w:t>
            </w:r>
            <w:r w:rsidR="00E06332" w:rsidRPr="005222A0">
              <w:t>prüfen</w:t>
            </w:r>
            <w:r w:rsidRPr="002E7DC8">
              <w:t xml:space="preserve">, ob </w:t>
            </w:r>
            <w:r w:rsidR="00D93D06" w:rsidRPr="002E7DC8">
              <w:t>bei der Anlageberatung</w:t>
            </w:r>
            <w:r w:rsidR="00D93D06" w:rsidRPr="002E7DC8" w:rsidDel="00D93D06">
              <w:t xml:space="preserve"> </w:t>
            </w:r>
            <w:r w:rsidR="00D93D06" w:rsidRPr="002E7DC8">
              <w:t xml:space="preserve">eine angemessene </w:t>
            </w:r>
            <w:r w:rsidRPr="002E7DC8">
              <w:t xml:space="preserve">Diversifizierung </w:t>
            </w:r>
            <w:r w:rsidR="00D93D06" w:rsidRPr="002E7DC8">
              <w:t>berücksichtigt wird</w:t>
            </w:r>
            <w:r w:rsidRPr="002E7DC8">
              <w:t>.</w:t>
            </w:r>
          </w:p>
        </w:tc>
        <w:tc>
          <w:tcPr>
            <w:tcW w:w="2410" w:type="dxa"/>
            <w:shd w:val="clear" w:color="auto" w:fill="auto"/>
          </w:tcPr>
          <w:p w14:paraId="1D301067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7F20B2B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1276" w:rsidRPr="00573E72" w14:paraId="4FF523EE" w14:textId="77777777" w:rsidTr="00E17F64">
        <w:trPr>
          <w:cantSplit/>
        </w:trPr>
        <w:tc>
          <w:tcPr>
            <w:tcW w:w="596" w:type="dxa"/>
          </w:tcPr>
          <w:p w14:paraId="46185840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2EFE63D8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70493214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73" w:type="dxa"/>
          </w:tcPr>
          <w:p w14:paraId="43131696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(X)</w:t>
            </w:r>
            <w:r>
              <w:rPr>
                <w:rStyle w:val="Funotenzeichen"/>
                <w:b/>
              </w:rPr>
              <w:footnoteReference w:id="7"/>
            </w:r>
          </w:p>
        </w:tc>
        <w:tc>
          <w:tcPr>
            <w:tcW w:w="567" w:type="dxa"/>
            <w:shd w:val="clear" w:color="auto" w:fill="auto"/>
          </w:tcPr>
          <w:p w14:paraId="4E5652EE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0B85784" w14:textId="77777777" w:rsidR="00C61276" w:rsidRPr="00A627BB" w:rsidRDefault="00C61276" w:rsidP="00AA41EC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Best</w:t>
            </w:r>
            <w:r w:rsidR="00AA41EC">
              <w:rPr>
                <w:b/>
                <w:sz w:val="16"/>
              </w:rPr>
              <w:t xml:space="preserve"> Execution</w:t>
            </w:r>
          </w:p>
        </w:tc>
        <w:tc>
          <w:tcPr>
            <w:tcW w:w="3856" w:type="dxa"/>
            <w:shd w:val="clear" w:color="auto" w:fill="auto"/>
          </w:tcPr>
          <w:p w14:paraId="1B0241BD" w14:textId="77777777" w:rsidR="00C61276" w:rsidRPr="002E7DC8" w:rsidRDefault="00C61276" w:rsidP="00AF75B9">
            <w:pPr>
              <w:pStyle w:val="Bullet"/>
              <w:spacing w:before="120" w:after="120"/>
            </w:pPr>
            <w:r w:rsidRPr="002E7DC8">
              <w:t xml:space="preserve">Anhand von Befragungen und der Durchsicht relevanter Dokumente beurteilen, ob die internen Richtlinien (Dokumentation), Systeme und </w:t>
            </w:r>
            <w:r w:rsidR="00AF75B9" w:rsidRPr="005222A0">
              <w:t>Kontrollprozesse</w:t>
            </w:r>
            <w:r w:rsidR="00AF75B9" w:rsidRPr="002E7DC8">
              <w:t xml:space="preserve"> </w:t>
            </w:r>
            <w:r w:rsidRPr="002E7DC8">
              <w:t xml:space="preserve">für die </w:t>
            </w:r>
            <w:r w:rsidR="007E3639" w:rsidRPr="002E7DC8">
              <w:t>bestmögliche Erfüllung</w:t>
            </w:r>
            <w:r w:rsidRPr="002E7DC8">
              <w:t xml:space="preserve"> von Kundenaufträgen angemessen sind.</w:t>
            </w:r>
          </w:p>
        </w:tc>
        <w:tc>
          <w:tcPr>
            <w:tcW w:w="3656" w:type="dxa"/>
            <w:shd w:val="clear" w:color="auto" w:fill="auto"/>
          </w:tcPr>
          <w:p w14:paraId="40A0C0E2" w14:textId="77777777" w:rsidR="00C61276" w:rsidRPr="002E7DC8" w:rsidRDefault="00C61276" w:rsidP="00AF75B9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6"/>
                <w:szCs w:val="16"/>
              </w:rPr>
            </w:pPr>
            <w:r w:rsidRPr="002E7DC8">
              <w:rPr>
                <w:sz w:val="16"/>
              </w:rPr>
              <w:t xml:space="preserve">Relevante Dokumente beschaffen und eine </w:t>
            </w:r>
            <w:r w:rsidR="00AF75B9" w:rsidRPr="005222A0">
              <w:rPr>
                <w:sz w:val="16"/>
              </w:rPr>
              <w:t>Stichprobe</w:t>
            </w:r>
            <w:r w:rsidR="00AF75B9" w:rsidRPr="006912A5">
              <w:rPr>
                <w:sz w:val="16"/>
              </w:rPr>
              <w:t xml:space="preserve"> </w:t>
            </w:r>
            <w:r w:rsidRPr="006912A5">
              <w:rPr>
                <w:sz w:val="16"/>
              </w:rPr>
              <w:t>von ausgeführten Kundenaufträgen prüfen</w:t>
            </w:r>
            <w:r w:rsidR="002E7DC8" w:rsidRPr="006912A5">
              <w:rPr>
                <w:sz w:val="16"/>
              </w:rPr>
              <w:t xml:space="preserve">. </w:t>
            </w:r>
            <w:r w:rsidR="00AF75B9" w:rsidRPr="005222A0">
              <w:rPr>
                <w:sz w:val="16"/>
              </w:rPr>
              <w:t>Nachweise erhalten, dass</w:t>
            </w:r>
            <w:r w:rsidR="00AF75B9" w:rsidRPr="006912A5">
              <w:rPr>
                <w:sz w:val="16"/>
              </w:rPr>
              <w:t xml:space="preserve"> </w:t>
            </w:r>
            <w:r w:rsidRPr="006912A5">
              <w:rPr>
                <w:sz w:val="16"/>
              </w:rPr>
              <w:t xml:space="preserve">sie im Hinblick auf Ort, Zeit und </w:t>
            </w:r>
            <w:r w:rsidR="00CF7726" w:rsidRPr="006912A5">
              <w:rPr>
                <w:sz w:val="16"/>
              </w:rPr>
              <w:t xml:space="preserve">Menge </w:t>
            </w:r>
            <w:r w:rsidRPr="006912A5">
              <w:rPr>
                <w:sz w:val="16"/>
              </w:rPr>
              <w:t xml:space="preserve">bestmöglich </w:t>
            </w:r>
            <w:r w:rsidR="007E3639" w:rsidRPr="006912A5">
              <w:rPr>
                <w:sz w:val="16"/>
              </w:rPr>
              <w:t xml:space="preserve">erfüllt </w:t>
            </w:r>
            <w:r w:rsidR="0075675D" w:rsidRPr="006912A5">
              <w:rPr>
                <w:sz w:val="16"/>
              </w:rPr>
              <w:t>wurden</w:t>
            </w:r>
            <w:r w:rsidRPr="006912A5">
              <w:rPr>
                <w:sz w:val="1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214740B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5B4B0F3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1276" w:rsidRPr="00573E72" w14:paraId="43711928" w14:textId="77777777" w:rsidTr="00E17F64">
        <w:trPr>
          <w:cantSplit/>
        </w:trPr>
        <w:tc>
          <w:tcPr>
            <w:tcW w:w="596" w:type="dxa"/>
          </w:tcPr>
          <w:p w14:paraId="0A705082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X</w:t>
            </w:r>
          </w:p>
        </w:tc>
        <w:tc>
          <w:tcPr>
            <w:tcW w:w="596" w:type="dxa"/>
          </w:tcPr>
          <w:p w14:paraId="11CD460C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0B050464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73" w:type="dxa"/>
          </w:tcPr>
          <w:p w14:paraId="5A86357C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9BEC8FC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7315DD0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Darlehensgeschäfte mit Wertschriften (SLB)</w:t>
            </w:r>
          </w:p>
        </w:tc>
        <w:tc>
          <w:tcPr>
            <w:tcW w:w="3856" w:type="dxa"/>
            <w:shd w:val="clear" w:color="auto" w:fill="auto"/>
          </w:tcPr>
          <w:p w14:paraId="1BE8CE7B" w14:textId="77777777" w:rsidR="00C61276" w:rsidRPr="00EB30C0" w:rsidRDefault="00C61276" w:rsidP="007E3639">
            <w:pPr>
              <w:pStyle w:val="Bullet"/>
              <w:spacing w:before="120" w:after="120"/>
            </w:pPr>
            <w:r>
              <w:t xml:space="preserve">Anhand von Befragungen und der Durchsicht relevanter Dokumente beurteilen, ob die </w:t>
            </w:r>
            <w:r w:rsidR="007E3639">
              <w:t xml:space="preserve">Prozesse </w:t>
            </w:r>
            <w:r>
              <w:t>und Vertragsvorlagen im Hinblick auf die Einhaltung der SLB-Anforderungen und -Verbote angemessen sind.</w:t>
            </w:r>
          </w:p>
        </w:tc>
        <w:tc>
          <w:tcPr>
            <w:tcW w:w="3656" w:type="dxa"/>
            <w:shd w:val="clear" w:color="auto" w:fill="auto"/>
          </w:tcPr>
          <w:p w14:paraId="4D45F6F6" w14:textId="77777777" w:rsidR="00C61276" w:rsidRPr="00EB30C0" w:rsidRDefault="00C61276" w:rsidP="00636CEE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Eine Stichprobe von SLB-Verträgen, Konto- und Depotauszügen daraufhin prüfen, ob die </w:t>
            </w:r>
            <w:r w:rsidR="00636CEE">
              <w:rPr>
                <w:sz w:val="16"/>
              </w:rPr>
              <w:t xml:space="preserve">Regulierungen </w:t>
            </w:r>
            <w:r>
              <w:rPr>
                <w:sz w:val="16"/>
              </w:rPr>
              <w:t>eingehalten w</w:t>
            </w:r>
            <w:r w:rsidR="00CF7726">
              <w:rPr>
                <w:sz w:val="16"/>
              </w:rPr>
              <w:t>e</w:t>
            </w:r>
            <w:r>
              <w:rPr>
                <w:sz w:val="16"/>
              </w:rPr>
              <w:t>rden.</w:t>
            </w:r>
          </w:p>
        </w:tc>
        <w:tc>
          <w:tcPr>
            <w:tcW w:w="2410" w:type="dxa"/>
            <w:shd w:val="clear" w:color="auto" w:fill="auto"/>
          </w:tcPr>
          <w:p w14:paraId="102010A4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92B0BD1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1276" w:rsidRPr="00573E72" w14:paraId="73908364" w14:textId="77777777" w:rsidTr="00E17F64">
        <w:trPr>
          <w:cantSplit/>
        </w:trPr>
        <w:tc>
          <w:tcPr>
            <w:tcW w:w="596" w:type="dxa"/>
          </w:tcPr>
          <w:p w14:paraId="64DEF144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57DAA075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794A91C6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73" w:type="dxa"/>
          </w:tcPr>
          <w:p w14:paraId="3CC76100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7E11172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0671117" w14:textId="77777777" w:rsidR="00C61276" w:rsidRPr="00EB30C0" w:rsidRDefault="00845A33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Risikoaufklärung</w:t>
            </w:r>
          </w:p>
          <w:p w14:paraId="2D076E8E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auto"/>
          </w:tcPr>
          <w:p w14:paraId="11291734" w14:textId="77777777" w:rsidR="00C61276" w:rsidRPr="00EB30C0" w:rsidRDefault="00C61276" w:rsidP="00B93868">
            <w:pPr>
              <w:pStyle w:val="Bullet"/>
              <w:spacing w:before="120" w:after="120"/>
            </w:pPr>
            <w:r>
              <w:t xml:space="preserve">Anhand von Befragungen und der Durchsicht relevanter Dokumente beurteilen, ob die standardisierten Instrumente und </w:t>
            </w:r>
            <w:r w:rsidR="007E3639">
              <w:t>Prozesse</w:t>
            </w:r>
            <w:r>
              <w:t>, inklusive Dokumentation, mit denen die Kunden über Risiken informiert werden (Verkaufs- und Beratungsprozesse), angemessen sind.</w:t>
            </w:r>
          </w:p>
        </w:tc>
        <w:tc>
          <w:tcPr>
            <w:tcW w:w="3656" w:type="dxa"/>
            <w:shd w:val="clear" w:color="auto" w:fill="auto"/>
          </w:tcPr>
          <w:p w14:paraId="706BE2A8" w14:textId="77777777" w:rsidR="00C61276" w:rsidRPr="002E7DC8" w:rsidRDefault="00C61276" w:rsidP="00AF75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 w:rsidRPr="002E7DC8">
              <w:rPr>
                <w:sz w:val="16"/>
              </w:rPr>
              <w:t xml:space="preserve">Eine Stichprobe </w:t>
            </w:r>
            <w:r w:rsidR="00AF75B9" w:rsidRPr="005222A0">
              <w:rPr>
                <w:sz w:val="16"/>
              </w:rPr>
              <w:t>dahingehend prüfen</w:t>
            </w:r>
            <w:r w:rsidRPr="002E7DC8">
              <w:rPr>
                <w:sz w:val="16"/>
              </w:rPr>
              <w:t xml:space="preserve">, ob die </w:t>
            </w:r>
            <w:r w:rsidR="003E42CD" w:rsidRPr="002E7DC8">
              <w:rPr>
                <w:sz w:val="16"/>
              </w:rPr>
              <w:t>Risikoa</w:t>
            </w:r>
            <w:r w:rsidR="00227E1A" w:rsidRPr="002E7DC8">
              <w:rPr>
                <w:sz w:val="16"/>
              </w:rPr>
              <w:t>uf</w:t>
            </w:r>
            <w:r w:rsidR="003E42CD" w:rsidRPr="002E7DC8">
              <w:rPr>
                <w:sz w:val="16"/>
              </w:rPr>
              <w:t xml:space="preserve">klärung </w:t>
            </w:r>
            <w:r w:rsidRPr="002E7DC8">
              <w:rPr>
                <w:sz w:val="16"/>
              </w:rPr>
              <w:t xml:space="preserve">korrekt und </w:t>
            </w:r>
            <w:r w:rsidR="003E42CD" w:rsidRPr="002E7DC8">
              <w:rPr>
                <w:sz w:val="16"/>
              </w:rPr>
              <w:t>vollständig erfolgt ist</w:t>
            </w:r>
            <w:r w:rsidRPr="002E7DC8">
              <w:rPr>
                <w:sz w:val="16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14:paraId="75E32CC8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739E846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1276" w:rsidRPr="00EB30C0" w14:paraId="7334723C" w14:textId="77777777" w:rsidTr="00E17F64">
        <w:trPr>
          <w:cantSplit/>
        </w:trPr>
        <w:tc>
          <w:tcPr>
            <w:tcW w:w="596" w:type="dxa"/>
          </w:tcPr>
          <w:p w14:paraId="0A0D9BDA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6" w:type="dxa"/>
          </w:tcPr>
          <w:p w14:paraId="4720ABDF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(X)</w:t>
            </w:r>
            <w:r>
              <w:rPr>
                <w:rStyle w:val="Funotenzeichen"/>
                <w:b/>
              </w:rPr>
              <w:footnoteReference w:id="8"/>
            </w:r>
          </w:p>
        </w:tc>
        <w:tc>
          <w:tcPr>
            <w:tcW w:w="596" w:type="dxa"/>
          </w:tcPr>
          <w:p w14:paraId="4B6E7442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3" w:type="dxa"/>
          </w:tcPr>
          <w:p w14:paraId="676EF78B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71B7B18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44E1B43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Schriftliche Protokolle</w:t>
            </w:r>
          </w:p>
        </w:tc>
        <w:tc>
          <w:tcPr>
            <w:tcW w:w="3856" w:type="dxa"/>
            <w:shd w:val="clear" w:color="auto" w:fill="auto"/>
          </w:tcPr>
          <w:p w14:paraId="2378C77D" w14:textId="77777777" w:rsidR="00C61276" w:rsidRPr="002E7DC8" w:rsidRDefault="00C61276" w:rsidP="005A3A3C">
            <w:pPr>
              <w:pStyle w:val="Bullet"/>
              <w:spacing w:before="120" w:after="120"/>
            </w:pPr>
            <w:r w:rsidRPr="002E7DC8">
              <w:t xml:space="preserve">Anhand von Befragungen und der Durchsicht relevanter Dokumente beurteilen, ob die standardisierten Instrumente und </w:t>
            </w:r>
            <w:r w:rsidR="005A3A3C" w:rsidRPr="002E7DC8">
              <w:t xml:space="preserve">Prozesse </w:t>
            </w:r>
            <w:r w:rsidRPr="002E7DC8">
              <w:t>für die Erstellung von Protokollen gemäss Art. 24 Abs. 3 KAG</w:t>
            </w:r>
            <w:r w:rsidR="00E06332" w:rsidRPr="002E7DC8">
              <w:t xml:space="preserve"> </w:t>
            </w:r>
            <w:r w:rsidR="00E06332" w:rsidRPr="005222A0">
              <w:t xml:space="preserve">und </w:t>
            </w:r>
            <w:r w:rsidR="00C61B2F" w:rsidRPr="005222A0">
              <w:t>Art</w:t>
            </w:r>
            <w:r w:rsidR="004B4941" w:rsidRPr="002E7DC8">
              <w:t>.</w:t>
            </w:r>
            <w:r w:rsidR="00C61B2F" w:rsidRPr="005222A0">
              <w:t xml:space="preserve"> 34a KKV</w:t>
            </w:r>
            <w:r w:rsidR="005A3A3C" w:rsidRPr="005222A0">
              <w:t xml:space="preserve"> angemessen sind</w:t>
            </w:r>
            <w:r w:rsidRPr="005222A0">
              <w:t>.</w:t>
            </w:r>
          </w:p>
        </w:tc>
        <w:tc>
          <w:tcPr>
            <w:tcW w:w="3656" w:type="dxa"/>
            <w:shd w:val="clear" w:color="auto" w:fill="auto"/>
          </w:tcPr>
          <w:p w14:paraId="6B89BA55" w14:textId="77777777" w:rsidR="00C61276" w:rsidRPr="002E7DC8" w:rsidRDefault="00E06332" w:rsidP="00B93868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6"/>
                <w:szCs w:val="16"/>
              </w:rPr>
            </w:pPr>
            <w:r w:rsidRPr="005222A0">
              <w:rPr>
                <w:sz w:val="16"/>
              </w:rPr>
              <w:t>Stichprobenbasierte Prüfung von</w:t>
            </w:r>
            <w:r w:rsidR="00C61276" w:rsidRPr="005222A0">
              <w:rPr>
                <w:sz w:val="16"/>
              </w:rPr>
              <w:t xml:space="preserve"> Protokolle</w:t>
            </w:r>
            <w:r w:rsidRPr="005222A0">
              <w:rPr>
                <w:sz w:val="16"/>
              </w:rPr>
              <w:t>n auf Angemessenheit</w:t>
            </w:r>
            <w:r w:rsidR="00C61276" w:rsidRPr="005222A0">
              <w:rPr>
                <w:sz w:val="16"/>
              </w:rPr>
              <w:t xml:space="preserve"> (Art. 24 Abs. 3 KAG</w:t>
            </w:r>
            <w:r w:rsidR="00C61B2F" w:rsidRPr="005222A0">
              <w:rPr>
                <w:sz w:val="16"/>
              </w:rPr>
              <w:t>, Art. 34a KKV</w:t>
            </w:r>
            <w:r w:rsidR="00C61276" w:rsidRPr="005222A0">
              <w:rPr>
                <w:sz w:val="16"/>
              </w:rPr>
              <w:t>).</w:t>
            </w:r>
          </w:p>
          <w:p w14:paraId="1DBE4A5D" w14:textId="77777777" w:rsidR="00C61276" w:rsidRPr="002E7DC8" w:rsidRDefault="00C61276" w:rsidP="00B93868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8379273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6FA163F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1276" w:rsidRPr="00573E72" w14:paraId="03350BD1" w14:textId="77777777" w:rsidTr="00E17F64">
        <w:trPr>
          <w:cantSplit/>
        </w:trPr>
        <w:tc>
          <w:tcPr>
            <w:tcW w:w="596" w:type="dxa"/>
          </w:tcPr>
          <w:p w14:paraId="3E0F51AC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6" w:type="dxa"/>
          </w:tcPr>
          <w:p w14:paraId="6CBD0049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29C0D154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73" w:type="dxa"/>
          </w:tcPr>
          <w:p w14:paraId="652B5111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9D1D2F1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1963242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Vereinfachte Prospekte zu institutseigenen strukturierten Produkte</w:t>
            </w:r>
            <w:r w:rsidR="00814B7E">
              <w:rPr>
                <w:b/>
                <w:sz w:val="16"/>
              </w:rPr>
              <w:t>n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856" w:type="dxa"/>
            <w:shd w:val="clear" w:color="auto" w:fill="auto"/>
          </w:tcPr>
          <w:p w14:paraId="4A12C520" w14:textId="77777777" w:rsidR="00C61276" w:rsidRPr="002E7DC8" w:rsidRDefault="00C61276" w:rsidP="00B93868">
            <w:pPr>
              <w:pStyle w:val="Bullet"/>
              <w:spacing w:before="120" w:after="120"/>
            </w:pPr>
            <w:r w:rsidRPr="002E7DC8">
              <w:t>Anhand von Befragungen und der Durchsicht relevanter Dokumente folgende Punkte beurteilen:</w:t>
            </w:r>
          </w:p>
          <w:p w14:paraId="4D212A7A" w14:textId="77777777" w:rsidR="00C61276" w:rsidRPr="002E7DC8" w:rsidRDefault="005A3A3C" w:rsidP="005A3A3C">
            <w:pPr>
              <w:pStyle w:val="Bullet"/>
              <w:spacing w:before="120" w:after="120"/>
            </w:pPr>
            <w:r w:rsidRPr="002E7DC8">
              <w:t>G</w:t>
            </w:r>
            <w:r w:rsidR="00C61276" w:rsidRPr="002E7DC8">
              <w:t xml:space="preserve">esetzliche Konformität gemäss Art. 5 Abs. 2 KAG und </w:t>
            </w:r>
            <w:r w:rsidRPr="002E7DC8">
              <w:t xml:space="preserve">den </w:t>
            </w:r>
            <w:r w:rsidR="00C61276" w:rsidRPr="002E7DC8">
              <w:t>technische</w:t>
            </w:r>
            <w:r w:rsidRPr="002E7DC8">
              <w:t>n</w:t>
            </w:r>
            <w:r w:rsidR="00C61276" w:rsidRPr="002E7DC8">
              <w:t xml:space="preserve"> Bestimmungen bezüglich vereinfachter Prospekte zu institutseigenen strukturierten Produkten</w:t>
            </w:r>
            <w:r w:rsidRPr="002E7DC8">
              <w:t xml:space="preserve"> und k</w:t>
            </w:r>
            <w:r w:rsidR="00C61276" w:rsidRPr="002E7DC8">
              <w:t>ostenlose Abgabe gemäss Art. 5 Abs. 3 KAG.</w:t>
            </w:r>
          </w:p>
        </w:tc>
        <w:tc>
          <w:tcPr>
            <w:tcW w:w="3656" w:type="dxa"/>
            <w:shd w:val="clear" w:color="auto" w:fill="auto"/>
          </w:tcPr>
          <w:p w14:paraId="0C675999" w14:textId="77777777" w:rsidR="00C61276" w:rsidRPr="002E7DC8" w:rsidRDefault="00C61276" w:rsidP="00AF75B9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6"/>
                <w:szCs w:val="16"/>
              </w:rPr>
            </w:pPr>
            <w:r w:rsidRPr="002E7DC8">
              <w:rPr>
                <w:sz w:val="16"/>
              </w:rPr>
              <w:t xml:space="preserve">Eine </w:t>
            </w:r>
            <w:r w:rsidR="00AF75B9" w:rsidRPr="005222A0">
              <w:rPr>
                <w:sz w:val="16"/>
              </w:rPr>
              <w:t>Stichprobe</w:t>
            </w:r>
            <w:r w:rsidR="00AF75B9" w:rsidRPr="002E7DC8">
              <w:rPr>
                <w:sz w:val="16"/>
              </w:rPr>
              <w:t xml:space="preserve"> </w:t>
            </w:r>
            <w:r w:rsidRPr="002E7DC8">
              <w:rPr>
                <w:sz w:val="16"/>
              </w:rPr>
              <w:t xml:space="preserve">vereinfachter Prospekte daraufhin prüfen, ob sie </w:t>
            </w:r>
            <w:r w:rsidR="005A3A3C" w:rsidRPr="002E7DC8">
              <w:rPr>
                <w:sz w:val="16"/>
              </w:rPr>
              <w:t xml:space="preserve">im Einklang mit </w:t>
            </w:r>
            <w:r w:rsidRPr="002E7DC8">
              <w:rPr>
                <w:sz w:val="16"/>
              </w:rPr>
              <w:t>Art. 5 Abs. 2 KAG und der technischen Selbstregulierung sind und kostenlos abgegeben werden.</w:t>
            </w:r>
          </w:p>
        </w:tc>
        <w:tc>
          <w:tcPr>
            <w:tcW w:w="2410" w:type="dxa"/>
            <w:shd w:val="clear" w:color="auto" w:fill="auto"/>
          </w:tcPr>
          <w:p w14:paraId="73E4FCCC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2C3237C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1276" w:rsidRPr="00573E72" w14:paraId="59A6FFAF" w14:textId="77777777" w:rsidTr="00E17F64">
        <w:trPr>
          <w:cantSplit/>
        </w:trPr>
        <w:tc>
          <w:tcPr>
            <w:tcW w:w="596" w:type="dxa"/>
          </w:tcPr>
          <w:p w14:paraId="2512F425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6" w:type="dxa"/>
          </w:tcPr>
          <w:p w14:paraId="632CF127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4E2C6179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3" w:type="dxa"/>
          </w:tcPr>
          <w:p w14:paraId="17A445E9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41AC527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20A23E9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Vertrieb gemäss Bewilligungsverfahren</w:t>
            </w:r>
          </w:p>
        </w:tc>
        <w:tc>
          <w:tcPr>
            <w:tcW w:w="3856" w:type="dxa"/>
            <w:shd w:val="clear" w:color="auto" w:fill="auto"/>
          </w:tcPr>
          <w:p w14:paraId="3A108B12" w14:textId="77777777" w:rsidR="00C61276" w:rsidRPr="00EB30C0" w:rsidRDefault="00C61276" w:rsidP="00967560">
            <w:pPr>
              <w:pStyle w:val="Bullet"/>
              <w:spacing w:before="120" w:after="120"/>
            </w:pPr>
            <w:r>
              <w:t xml:space="preserve">Anhand von Befragungen und der Durchsicht relevanter Dokumente beurteilen, ob die Bewilligungsrichtlinien für den Produktvertrieb angemessen sind. Komplexe Finanzinstrumente dürfen nur von </w:t>
            </w:r>
            <w:r w:rsidR="00967560">
              <w:t xml:space="preserve">fachkundigen </w:t>
            </w:r>
            <w:r>
              <w:t xml:space="preserve">Mitarbeitenden vertrieben werden. </w:t>
            </w:r>
          </w:p>
        </w:tc>
        <w:tc>
          <w:tcPr>
            <w:tcW w:w="3656" w:type="dxa"/>
            <w:shd w:val="clear" w:color="auto" w:fill="auto"/>
          </w:tcPr>
          <w:p w14:paraId="27B3FAD2" w14:textId="77777777" w:rsidR="00C61276" w:rsidRPr="002E7DC8" w:rsidRDefault="006D48F2" w:rsidP="006D48F2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6"/>
                <w:szCs w:val="16"/>
              </w:rPr>
            </w:pPr>
            <w:r w:rsidRPr="005222A0">
              <w:rPr>
                <w:sz w:val="16"/>
              </w:rPr>
              <w:t>Risikobasierte Prüfung zur Beurteilung</w:t>
            </w:r>
            <w:r w:rsidR="00C61276" w:rsidRPr="005222A0">
              <w:rPr>
                <w:sz w:val="16"/>
              </w:rPr>
              <w:t xml:space="preserve">, </w:t>
            </w:r>
            <w:r w:rsidR="00E06332" w:rsidRPr="005222A0">
              <w:rPr>
                <w:sz w:val="16"/>
              </w:rPr>
              <w:t>ob</w:t>
            </w:r>
            <w:r w:rsidR="00C61276" w:rsidRPr="002E7DC8">
              <w:rPr>
                <w:sz w:val="16"/>
              </w:rPr>
              <w:t xml:space="preserve"> komplexe Finanzprodukte von </w:t>
            </w:r>
            <w:r w:rsidR="00967560" w:rsidRPr="002E7DC8">
              <w:rPr>
                <w:sz w:val="16"/>
              </w:rPr>
              <w:t xml:space="preserve">fachkundigen </w:t>
            </w:r>
            <w:r w:rsidR="00C61276" w:rsidRPr="002E7DC8">
              <w:rPr>
                <w:sz w:val="16"/>
              </w:rPr>
              <w:t>Mitarbeitenden vertrieben werden.</w:t>
            </w:r>
          </w:p>
        </w:tc>
        <w:tc>
          <w:tcPr>
            <w:tcW w:w="2410" w:type="dxa"/>
            <w:shd w:val="clear" w:color="auto" w:fill="auto"/>
          </w:tcPr>
          <w:p w14:paraId="3EAA167E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E2DAF33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1276" w:rsidRPr="00573E72" w14:paraId="3A7091E2" w14:textId="77777777" w:rsidTr="00E17F64">
        <w:trPr>
          <w:cantSplit/>
        </w:trPr>
        <w:tc>
          <w:tcPr>
            <w:tcW w:w="596" w:type="dxa"/>
          </w:tcPr>
          <w:p w14:paraId="76ABB357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340BF77C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4A2212A8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3" w:type="dxa"/>
          </w:tcPr>
          <w:p w14:paraId="1832A33B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9ACCCFF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541462E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Retrozessionen</w:t>
            </w:r>
          </w:p>
        </w:tc>
        <w:tc>
          <w:tcPr>
            <w:tcW w:w="3856" w:type="dxa"/>
            <w:shd w:val="clear" w:color="auto" w:fill="auto"/>
          </w:tcPr>
          <w:p w14:paraId="542E09A2" w14:textId="77777777" w:rsidR="00C61276" w:rsidRPr="00EB30C0" w:rsidRDefault="00C61276" w:rsidP="00B93868">
            <w:pPr>
              <w:pStyle w:val="Bullet"/>
              <w:spacing w:before="120" w:after="120"/>
            </w:pPr>
            <w:r>
              <w:t>Anhand von Befragungen und der Durchsicht relevanter Dokumente folgende Punkte beurteilen:</w:t>
            </w:r>
          </w:p>
          <w:p w14:paraId="05346B2A" w14:textId="77777777" w:rsidR="00C61276" w:rsidRPr="00EB30C0" w:rsidRDefault="00C61276" w:rsidP="00B93868">
            <w:pPr>
              <w:pStyle w:val="Bullet"/>
              <w:numPr>
                <w:ilvl w:val="0"/>
                <w:numId w:val="11"/>
              </w:numPr>
              <w:spacing w:before="120" w:after="120"/>
              <w:ind w:left="201" w:hanging="201"/>
            </w:pPr>
            <w:r>
              <w:t xml:space="preserve">Einhaltung </w:t>
            </w:r>
            <w:r w:rsidR="00FF3199">
              <w:t xml:space="preserve">von </w:t>
            </w:r>
            <w:r w:rsidR="00FF3199" w:rsidRPr="002E7DC8">
              <w:t xml:space="preserve">einschlägigen </w:t>
            </w:r>
            <w:r w:rsidRPr="002E7DC8">
              <w:t>Bestimmungen der Richtlinie</w:t>
            </w:r>
            <w:r w:rsidR="00AF75B9" w:rsidRPr="002E7DC8">
              <w:t xml:space="preserve"> </w:t>
            </w:r>
            <w:r w:rsidR="00AF75B9" w:rsidRPr="005222A0">
              <w:t>der Schweizerischen Bankierverei</w:t>
            </w:r>
            <w:r w:rsidR="00D91DB5" w:rsidRPr="002E7DC8">
              <w:t>ni</w:t>
            </w:r>
            <w:r w:rsidR="00AF75B9" w:rsidRPr="005222A0">
              <w:t>gung</w:t>
            </w:r>
            <w:r w:rsidRPr="005222A0">
              <w:t xml:space="preserve"> f</w:t>
            </w:r>
            <w:r w:rsidRPr="002E7DC8">
              <w:t>ür Vermögensverwaltungsaufträge bezüglich Provisionen an Vermögensverwalter</w:t>
            </w:r>
            <w:r>
              <w:t xml:space="preserve"> (Retrozessionen);</w:t>
            </w:r>
          </w:p>
          <w:p w14:paraId="46FFDF88" w14:textId="77777777" w:rsidR="00C61276" w:rsidRPr="00EB30C0" w:rsidRDefault="00666F54" w:rsidP="00B93868">
            <w:pPr>
              <w:pStyle w:val="Bullet"/>
              <w:numPr>
                <w:ilvl w:val="0"/>
                <w:numId w:val="11"/>
              </w:numPr>
              <w:spacing w:before="120" w:after="120"/>
              <w:ind w:left="201" w:hanging="201"/>
            </w:pPr>
            <w:r>
              <w:t xml:space="preserve">Massnahmen des Instituts zur Handhabung von Retrozessionen in der Anlageberatung und/oder </w:t>
            </w:r>
            <w:r w:rsidR="00FF3199">
              <w:t>bei Execution-Only-Geschäften</w:t>
            </w:r>
            <w:r>
              <w:t>;</w:t>
            </w:r>
          </w:p>
          <w:p w14:paraId="612F43DD" w14:textId="77777777" w:rsidR="004F096C" w:rsidRPr="00EB30C0" w:rsidRDefault="00CF7726" w:rsidP="004F096C">
            <w:pPr>
              <w:pStyle w:val="Bullet"/>
              <w:numPr>
                <w:ilvl w:val="0"/>
                <w:numId w:val="11"/>
              </w:numPr>
              <w:spacing w:before="120" w:after="120"/>
              <w:ind w:left="201" w:hanging="201"/>
            </w:pPr>
            <w:r>
              <w:t xml:space="preserve">Sicherstellung einer </w:t>
            </w:r>
            <w:r w:rsidR="00FF3199">
              <w:t>transparente</w:t>
            </w:r>
            <w:r>
              <w:t>n</w:t>
            </w:r>
            <w:r w:rsidR="00FF3199">
              <w:t xml:space="preserve"> Offenlegung der </w:t>
            </w:r>
            <w:r>
              <w:t>als</w:t>
            </w:r>
            <w:r w:rsidR="00FF3199">
              <w:t xml:space="preserve"> Vertrieb</w:t>
            </w:r>
            <w:r>
              <w:t>sträger erhaltenen</w:t>
            </w:r>
            <w:r w:rsidR="00C61276">
              <w:t xml:space="preserve"> Retrozessionen.</w:t>
            </w:r>
          </w:p>
        </w:tc>
        <w:tc>
          <w:tcPr>
            <w:tcW w:w="3656" w:type="dxa"/>
            <w:shd w:val="clear" w:color="auto" w:fill="auto"/>
          </w:tcPr>
          <w:p w14:paraId="6D4B5EDB" w14:textId="77777777" w:rsidR="00C61276" w:rsidRPr="002E7DC8" w:rsidRDefault="00AF75B9" w:rsidP="00D91DB5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6"/>
                <w:szCs w:val="16"/>
              </w:rPr>
            </w:pPr>
            <w:r w:rsidRPr="005222A0">
              <w:rPr>
                <w:sz w:val="16"/>
              </w:rPr>
              <w:t xml:space="preserve">Für eine </w:t>
            </w:r>
            <w:r w:rsidR="00C61276" w:rsidRPr="005222A0">
              <w:rPr>
                <w:sz w:val="16"/>
              </w:rPr>
              <w:t xml:space="preserve">risikobasierte </w:t>
            </w:r>
            <w:r w:rsidRPr="005222A0">
              <w:rPr>
                <w:sz w:val="16"/>
              </w:rPr>
              <w:t>Stichprobe</w:t>
            </w:r>
            <w:r w:rsidRPr="002E7DC8">
              <w:rPr>
                <w:sz w:val="16"/>
              </w:rPr>
              <w:t xml:space="preserve"> </w:t>
            </w:r>
            <w:r w:rsidR="00C61276" w:rsidRPr="002E7DC8">
              <w:rPr>
                <w:sz w:val="16"/>
              </w:rPr>
              <w:t xml:space="preserve">die Dokumentation untersuchen, mit </w:t>
            </w:r>
            <w:r w:rsidRPr="005222A0">
              <w:rPr>
                <w:sz w:val="16"/>
              </w:rPr>
              <w:t>welcher</w:t>
            </w:r>
            <w:r w:rsidRPr="002E7DC8">
              <w:rPr>
                <w:sz w:val="16"/>
              </w:rPr>
              <w:t xml:space="preserve"> </w:t>
            </w:r>
            <w:r w:rsidR="00C61276" w:rsidRPr="002E7DC8">
              <w:rPr>
                <w:sz w:val="16"/>
              </w:rPr>
              <w:t>die Kundschaft darüber informiert wird, dass und in welchem Umfang die Bank Retrozessionen erhält (inklusive der allgemeinen Bestimmungen) und sie auf Angemessenheit und Korrektheit prüfen.</w:t>
            </w:r>
          </w:p>
        </w:tc>
        <w:tc>
          <w:tcPr>
            <w:tcW w:w="2410" w:type="dxa"/>
            <w:shd w:val="clear" w:color="auto" w:fill="auto"/>
          </w:tcPr>
          <w:p w14:paraId="7F82F523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E032A09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1276" w:rsidRPr="004D0D5A" w14:paraId="58053C40" w14:textId="77777777" w:rsidTr="00E17F64">
        <w:tc>
          <w:tcPr>
            <w:tcW w:w="15190" w:type="dxa"/>
            <w:gridSpan w:val="10"/>
            <w:shd w:val="pct10" w:color="auto" w:fill="auto"/>
          </w:tcPr>
          <w:p w14:paraId="0B995330" w14:textId="77777777" w:rsidR="00C61276" w:rsidRPr="00E924DA" w:rsidRDefault="00C61276" w:rsidP="000916AF">
            <w:pPr>
              <w:pageBreakBefore/>
              <w:spacing w:before="120" w:after="120" w:line="240" w:lineRule="auto"/>
              <w:rPr>
                <w:rFonts w:cs="Arial"/>
                <w:i/>
                <w:sz w:val="16"/>
                <w:szCs w:val="16"/>
                <w:highlight w:val="yellow"/>
                <w:lang w:val="en-US"/>
              </w:rPr>
            </w:pPr>
            <w:r w:rsidRPr="00E924DA">
              <w:rPr>
                <w:i/>
                <w:sz w:val="16"/>
                <w:lang w:val="en-US"/>
              </w:rPr>
              <w:lastRenderedPageBreak/>
              <w:t xml:space="preserve">Confirmation of the appropriateness of the measures taken to provide training and further education in </w:t>
            </w:r>
            <w:r w:rsidRPr="00E924DA">
              <w:rPr>
                <w:lang w:val="en-US"/>
              </w:rPr>
              <w:t xml:space="preserve">□ </w:t>
            </w:r>
            <w:r w:rsidRPr="00E924DA">
              <w:rPr>
                <w:i/>
                <w:sz w:val="16"/>
                <w:lang w:val="en-US"/>
              </w:rPr>
              <w:t xml:space="preserve">individual portfolio management, </w:t>
            </w:r>
            <w:r w:rsidRPr="00E924DA">
              <w:rPr>
                <w:lang w:val="en-US"/>
              </w:rPr>
              <w:t xml:space="preserve">□ </w:t>
            </w:r>
            <w:r w:rsidRPr="00E924DA">
              <w:rPr>
                <w:i/>
                <w:sz w:val="16"/>
                <w:lang w:val="en-US"/>
              </w:rPr>
              <w:t xml:space="preserve">investment advisory services, </w:t>
            </w:r>
            <w:r w:rsidRPr="00E924DA">
              <w:rPr>
                <w:lang w:val="en-US"/>
              </w:rPr>
              <w:t xml:space="preserve">□ </w:t>
            </w:r>
            <w:r w:rsidRPr="00E924DA">
              <w:rPr>
                <w:i/>
                <w:sz w:val="16"/>
                <w:lang w:val="en-US"/>
              </w:rPr>
              <w:t xml:space="preserve">executing transactions and </w:t>
            </w:r>
            <w:r w:rsidRPr="00E924DA">
              <w:rPr>
                <w:lang w:val="en-US"/>
              </w:rPr>
              <w:t xml:space="preserve">□ </w:t>
            </w:r>
            <w:r w:rsidRPr="00E924DA">
              <w:rPr>
                <w:i/>
                <w:sz w:val="16"/>
                <w:lang w:val="en-US"/>
              </w:rPr>
              <w:t>distribution of collective investment schemes.</w:t>
            </w:r>
          </w:p>
          <w:p w14:paraId="141901E0" w14:textId="77777777" w:rsidR="00C61276" w:rsidRPr="00A0080D" w:rsidRDefault="00C61276" w:rsidP="000916AF">
            <w:pPr>
              <w:pStyle w:val="FINMAGliederungEbene1"/>
              <w:pageBreakBefore/>
              <w:numPr>
                <w:ilvl w:val="0"/>
                <w:numId w:val="0"/>
              </w:numPr>
              <w:spacing w:before="120" w:after="120" w:line="240" w:lineRule="auto"/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</w:rPr>
              <w:t xml:space="preserve">Bestätigung, dass die Massnahmen im Bereich der Aus- und Weiterbildung bezüglich </w:t>
            </w:r>
            <w:r>
              <w:t xml:space="preserve">□ </w:t>
            </w:r>
            <w:r>
              <w:rPr>
                <w:i/>
                <w:sz w:val="16"/>
              </w:rPr>
              <w:t xml:space="preserve">individueller Vermögensverwaltung, </w:t>
            </w:r>
            <w:r>
              <w:t xml:space="preserve">□ </w:t>
            </w:r>
            <w:r>
              <w:rPr>
                <w:i/>
                <w:sz w:val="16"/>
              </w:rPr>
              <w:t xml:space="preserve">Anlageberatung, </w:t>
            </w:r>
            <w:r>
              <w:t xml:space="preserve">□ </w:t>
            </w:r>
            <w:r>
              <w:rPr>
                <w:i/>
                <w:sz w:val="16"/>
              </w:rPr>
              <w:t xml:space="preserve">Transaktionsausführung und </w:t>
            </w:r>
            <w:r>
              <w:t xml:space="preserve">□ </w:t>
            </w:r>
            <w:r>
              <w:rPr>
                <w:i/>
                <w:sz w:val="16"/>
              </w:rPr>
              <w:t>Vertrieb kollektiver Kapitalanlagen angemessen waren.</w:t>
            </w:r>
          </w:p>
          <w:p w14:paraId="1E69B303" w14:textId="77777777" w:rsidR="00C61276" w:rsidRPr="00E924DA" w:rsidRDefault="00C61276" w:rsidP="000916AF">
            <w:pPr>
              <w:pStyle w:val="FINMAGliederungEbene1"/>
              <w:pageBreakBefore/>
              <w:numPr>
                <w:ilvl w:val="0"/>
                <w:numId w:val="0"/>
              </w:numPr>
              <w:spacing w:before="120" w:after="120" w:line="240" w:lineRule="auto"/>
              <w:rPr>
                <w:bCs/>
                <w:i/>
                <w:sz w:val="16"/>
                <w:szCs w:val="16"/>
                <w:highlight w:val="yellow"/>
                <w:lang w:val="fr-CH"/>
              </w:rPr>
            </w:pPr>
            <w:r w:rsidRPr="00E924DA">
              <w:rPr>
                <w:i/>
                <w:sz w:val="16"/>
                <w:lang w:val="fr-CH"/>
              </w:rPr>
              <w:t xml:space="preserve">Confirmation que les mesures portant sur la formation (initiale et continue) en matière de </w:t>
            </w:r>
            <w:r w:rsidRPr="00E924DA">
              <w:rPr>
                <w:lang w:val="fr-CH"/>
              </w:rPr>
              <w:t xml:space="preserve">□ </w:t>
            </w:r>
            <w:r w:rsidRPr="00E924DA">
              <w:rPr>
                <w:i/>
                <w:sz w:val="16"/>
                <w:lang w:val="fr-CH"/>
              </w:rPr>
              <w:t xml:space="preserve">gestion de fortune individuelle, </w:t>
            </w:r>
            <w:r w:rsidRPr="00E924DA">
              <w:rPr>
                <w:lang w:val="fr-CH"/>
              </w:rPr>
              <w:t xml:space="preserve">□ </w:t>
            </w:r>
            <w:r w:rsidRPr="00E924DA">
              <w:rPr>
                <w:i/>
                <w:sz w:val="16"/>
                <w:lang w:val="fr-CH"/>
              </w:rPr>
              <w:t xml:space="preserve">conseil en placement, </w:t>
            </w:r>
            <w:r w:rsidRPr="00E924DA">
              <w:rPr>
                <w:lang w:val="fr-CH"/>
              </w:rPr>
              <w:t xml:space="preserve">□ </w:t>
            </w:r>
            <w:r w:rsidRPr="00E924DA">
              <w:rPr>
                <w:i/>
                <w:sz w:val="16"/>
                <w:lang w:val="fr-CH"/>
              </w:rPr>
              <w:t xml:space="preserve">exécution de transactions et </w:t>
            </w:r>
            <w:r w:rsidRPr="00E924DA">
              <w:rPr>
                <w:lang w:val="fr-CH"/>
              </w:rPr>
              <w:t xml:space="preserve">□ </w:t>
            </w:r>
            <w:r w:rsidRPr="00E924DA">
              <w:rPr>
                <w:i/>
                <w:sz w:val="16"/>
                <w:lang w:val="fr-CH"/>
              </w:rPr>
              <w:t>distribution de placements collectifs étaient appropriées.</w:t>
            </w:r>
          </w:p>
        </w:tc>
      </w:tr>
      <w:tr w:rsidR="00C61276" w:rsidRPr="00573E72" w14:paraId="1FA454EB" w14:textId="77777777" w:rsidTr="00E17F64">
        <w:trPr>
          <w:trHeight w:val="623"/>
        </w:trPr>
        <w:tc>
          <w:tcPr>
            <w:tcW w:w="596" w:type="dxa"/>
          </w:tcPr>
          <w:p w14:paraId="5BE54C00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06A1734C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7AD0CF2C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73" w:type="dxa"/>
          </w:tcPr>
          <w:p w14:paraId="37A8BD67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F76D9FB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14:paraId="6D95498C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Aus- und Weiterbildung</w:t>
            </w:r>
          </w:p>
        </w:tc>
        <w:tc>
          <w:tcPr>
            <w:tcW w:w="3856" w:type="dxa"/>
            <w:shd w:val="clear" w:color="auto" w:fill="auto"/>
          </w:tcPr>
          <w:p w14:paraId="1333781F" w14:textId="77777777" w:rsidR="00C61276" w:rsidRPr="002E7DC8" w:rsidRDefault="00C61276" w:rsidP="00B93868">
            <w:pPr>
              <w:pStyle w:val="Bullet"/>
              <w:spacing w:before="120" w:after="120"/>
            </w:pPr>
            <w:r w:rsidRPr="002E7DC8">
              <w:t xml:space="preserve">Anhand von Befragungen und der Durchsicht relevanter Dokumente beurteilen, ob die </w:t>
            </w:r>
            <w:r w:rsidRPr="005222A0">
              <w:t>Schulungsprogramme</w:t>
            </w:r>
            <w:r w:rsidR="006D48F2" w:rsidRPr="005222A0">
              <w:t xml:space="preserve"> und/oder Zertifizierungen</w:t>
            </w:r>
            <w:r w:rsidRPr="005222A0">
              <w:t xml:space="preserve"> für</w:t>
            </w:r>
            <w:r w:rsidRPr="002E7DC8">
              <w:t xml:space="preserve"> Kundenberater und andere </w:t>
            </w:r>
            <w:r w:rsidR="00541485" w:rsidRPr="005222A0">
              <w:t>Mitarbeiter</w:t>
            </w:r>
            <w:r w:rsidR="00541485" w:rsidRPr="002E7DC8">
              <w:t xml:space="preserve"> </w:t>
            </w:r>
            <w:r w:rsidRPr="002E7DC8">
              <w:t xml:space="preserve">mit Kundenkontakt angemessen sind, inklusive </w:t>
            </w:r>
            <w:r w:rsidR="005D1996" w:rsidRPr="002E7DC8">
              <w:t>der Weitergabe</w:t>
            </w:r>
            <w:r w:rsidRPr="002E7DC8">
              <w:t xml:space="preserve"> von Fachwissen zu:</w:t>
            </w:r>
          </w:p>
          <w:p w14:paraId="38940545" w14:textId="77777777" w:rsidR="00C61276" w:rsidRPr="002E7DC8" w:rsidRDefault="00C61276" w:rsidP="00B93868">
            <w:pPr>
              <w:pStyle w:val="Bullet"/>
              <w:numPr>
                <w:ilvl w:val="0"/>
                <w:numId w:val="11"/>
              </w:numPr>
              <w:spacing w:before="120" w:after="120"/>
              <w:ind w:left="201" w:hanging="201"/>
            </w:pPr>
            <w:r w:rsidRPr="002E7DC8">
              <w:t>Finanzinstrumenten (inklusive Produktkomplexität, -risiken, -</w:t>
            </w:r>
            <w:r w:rsidR="00541485" w:rsidRPr="005222A0">
              <w:t>spezifikationen</w:t>
            </w:r>
            <w:r w:rsidRPr="002E7DC8">
              <w:t xml:space="preserve">); </w:t>
            </w:r>
          </w:p>
          <w:p w14:paraId="219AF0E6" w14:textId="77777777" w:rsidR="00C61276" w:rsidRPr="002E7DC8" w:rsidRDefault="00C61276" w:rsidP="00B93868">
            <w:pPr>
              <w:pStyle w:val="Bullet"/>
              <w:numPr>
                <w:ilvl w:val="0"/>
                <w:numId w:val="11"/>
              </w:numPr>
              <w:spacing w:before="120" w:after="120"/>
              <w:ind w:left="201" w:hanging="201"/>
            </w:pPr>
            <w:r w:rsidRPr="002E7DC8">
              <w:t>Verhaltensanforderungen (Anwendung interner und externer Bestimmungen) und internen Standards (z.</w:t>
            </w:r>
            <w:r w:rsidR="005D1996" w:rsidRPr="002E7DC8">
              <w:t> </w:t>
            </w:r>
            <w:r w:rsidRPr="002E7DC8">
              <w:t>B. ethische Standards, Kundensegmentierung);</w:t>
            </w:r>
          </w:p>
          <w:p w14:paraId="5018704F" w14:textId="77777777" w:rsidR="00C61276" w:rsidRPr="002E7DC8" w:rsidRDefault="00C61276" w:rsidP="00B93868">
            <w:pPr>
              <w:pStyle w:val="Bullet"/>
              <w:numPr>
                <w:ilvl w:val="0"/>
                <w:numId w:val="11"/>
              </w:numPr>
              <w:spacing w:before="120" w:after="120"/>
              <w:ind w:left="201" w:hanging="201"/>
            </w:pPr>
            <w:r w:rsidRPr="002E7DC8">
              <w:t>internen Prozessen und Systemen.</w:t>
            </w:r>
          </w:p>
          <w:p w14:paraId="54996ED9" w14:textId="77777777" w:rsidR="00C61276" w:rsidRPr="002E7DC8" w:rsidRDefault="00C61276" w:rsidP="00B93868">
            <w:pPr>
              <w:pStyle w:val="Bullet"/>
              <w:spacing w:before="120" w:after="120"/>
            </w:pPr>
            <w:r w:rsidRPr="002E7DC8">
              <w:t xml:space="preserve">Anhand von Befragungen und der Durchsicht relevanter Dokumente </w:t>
            </w:r>
            <w:r w:rsidRPr="005222A0">
              <w:t>beurteilen, ob die Massnahmen zur regelmässigen Wissensauffrischung</w:t>
            </w:r>
            <w:r w:rsidR="00C31DE1" w:rsidRPr="005222A0">
              <w:t>/Weiterbildung</w:t>
            </w:r>
            <w:r w:rsidRPr="005222A0">
              <w:t xml:space="preserve"> angemessen</w:t>
            </w:r>
            <w:r w:rsidRPr="002E7DC8">
              <w:t xml:space="preserve"> sind.</w:t>
            </w:r>
          </w:p>
        </w:tc>
        <w:tc>
          <w:tcPr>
            <w:tcW w:w="3656" w:type="dxa"/>
            <w:shd w:val="clear" w:color="auto" w:fill="auto"/>
          </w:tcPr>
          <w:p w14:paraId="1D3E671B" w14:textId="77777777" w:rsidR="00C61276" w:rsidRPr="002E7DC8" w:rsidRDefault="00C61276" w:rsidP="00B938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E063C57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045C506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61276" w:rsidRPr="00573E72" w14:paraId="1A2ED272" w14:textId="77777777" w:rsidTr="00E17F64">
        <w:tc>
          <w:tcPr>
            <w:tcW w:w="596" w:type="dxa"/>
          </w:tcPr>
          <w:p w14:paraId="7E5A77C3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6FB15D1D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96" w:type="dxa"/>
          </w:tcPr>
          <w:p w14:paraId="024E0352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73" w:type="dxa"/>
          </w:tcPr>
          <w:p w14:paraId="05E215EB" w14:textId="77777777" w:rsidR="00C61276" w:rsidRPr="00093ECF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67" w:type="dxa"/>
            <w:vMerge/>
            <w:shd w:val="clear" w:color="auto" w:fill="auto"/>
          </w:tcPr>
          <w:p w14:paraId="4D6F8388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A15DADA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auto"/>
          </w:tcPr>
          <w:p w14:paraId="4379C1AD" w14:textId="77777777" w:rsidR="00C61276" w:rsidRPr="002E7DC8" w:rsidRDefault="00C61276" w:rsidP="00B93868">
            <w:pPr>
              <w:pStyle w:val="Bullet"/>
              <w:spacing w:before="120" w:after="120"/>
            </w:pPr>
            <w:r w:rsidRPr="002E7DC8">
              <w:t>Anhand von Befragungen und der Durchsicht relevanter Dokumente beurteilen, ob die Teilnahme der Mitarbeitenden an internen und externen Kursen dokumentiert und überwacht wird.</w:t>
            </w:r>
          </w:p>
        </w:tc>
        <w:tc>
          <w:tcPr>
            <w:tcW w:w="3656" w:type="dxa"/>
            <w:shd w:val="clear" w:color="auto" w:fill="auto"/>
          </w:tcPr>
          <w:p w14:paraId="3107D394" w14:textId="77777777" w:rsidR="00C61276" w:rsidRPr="002E7DC8" w:rsidRDefault="00B97FC6" w:rsidP="005414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 w:rsidRPr="002E7DC8">
              <w:rPr>
                <w:sz w:val="16"/>
              </w:rPr>
              <w:t>Auf</w:t>
            </w:r>
            <w:r w:rsidR="00541485" w:rsidRPr="002E7DC8">
              <w:rPr>
                <w:sz w:val="16"/>
              </w:rPr>
              <w:t xml:space="preserve"> </w:t>
            </w:r>
            <w:r w:rsidR="00541485" w:rsidRPr="005222A0">
              <w:rPr>
                <w:sz w:val="16"/>
              </w:rPr>
              <w:t>Basis einer</w:t>
            </w:r>
            <w:r w:rsidRPr="005222A0">
              <w:rPr>
                <w:sz w:val="16"/>
              </w:rPr>
              <w:t xml:space="preserve"> risikobasierte</w:t>
            </w:r>
            <w:r w:rsidR="00541485" w:rsidRPr="005222A0">
              <w:rPr>
                <w:sz w:val="16"/>
              </w:rPr>
              <w:t>n</w:t>
            </w:r>
            <w:r w:rsidRPr="005222A0">
              <w:rPr>
                <w:sz w:val="16"/>
              </w:rPr>
              <w:t xml:space="preserve"> </w:t>
            </w:r>
            <w:r w:rsidR="00541485" w:rsidRPr="005222A0">
              <w:rPr>
                <w:sz w:val="16"/>
              </w:rPr>
              <w:t>Stichprobe prüfen</w:t>
            </w:r>
            <w:r w:rsidR="009C7C30" w:rsidRPr="002E7DC8">
              <w:rPr>
                <w:sz w:val="1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44CA46B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B4C5391" w14:textId="77777777" w:rsidR="00C61276" w:rsidRPr="00EB30C0" w:rsidRDefault="00C61276" w:rsidP="00B93868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114C210E" w14:textId="77777777" w:rsidR="00C61276" w:rsidRPr="004B2F5C" w:rsidRDefault="00C61276" w:rsidP="00B93868">
      <w:pPr>
        <w:spacing w:before="120" w:after="120" w:line="240" w:lineRule="auto"/>
        <w:jc w:val="center"/>
        <w:rPr>
          <w:rFonts w:cs="Arial"/>
          <w:sz w:val="16"/>
          <w:szCs w:val="16"/>
        </w:rPr>
      </w:pPr>
    </w:p>
    <w:p w14:paraId="0A99E33A" w14:textId="4334AA37" w:rsidR="002367F0" w:rsidRDefault="00C61276" w:rsidP="000916AF">
      <w:pPr>
        <w:spacing w:before="120" w:after="120" w:line="240" w:lineRule="auto"/>
        <w:jc w:val="center"/>
      </w:pPr>
      <w:r>
        <w:rPr>
          <w:sz w:val="16"/>
        </w:rPr>
        <w:t>********************************</w:t>
      </w:r>
    </w:p>
    <w:bookmarkEnd w:id="0"/>
    <w:p w14:paraId="4CAEF060" w14:textId="77777777" w:rsidR="002A48CF" w:rsidRPr="00573E72" w:rsidRDefault="002A48CF" w:rsidP="00B93868">
      <w:pPr>
        <w:spacing w:before="120" w:after="120" w:line="240" w:lineRule="auto"/>
        <w:rPr>
          <w:sz w:val="2"/>
        </w:rPr>
      </w:pPr>
    </w:p>
    <w:sectPr w:rsidR="002A48CF" w:rsidRPr="00573E72" w:rsidSect="000916AF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6838" w:h="11906" w:orient="landscape" w:code="9"/>
      <w:pgMar w:top="1871" w:right="1134" w:bottom="1276" w:left="1134" w:header="198" w:footer="26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F9DF2" w14:textId="77777777" w:rsidR="0022236A" w:rsidRDefault="0022236A">
      <w:r>
        <w:separator/>
      </w:r>
    </w:p>
  </w:endnote>
  <w:endnote w:type="continuationSeparator" w:id="0">
    <w:p w14:paraId="3CD59D8B" w14:textId="77777777" w:rsidR="0022236A" w:rsidRDefault="0022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0" w:type="pct"/>
      <w:tblCellMar>
        <w:right w:w="0" w:type="dxa"/>
      </w:tblCellMar>
      <w:tblLook w:val="04A0" w:firstRow="1" w:lastRow="0" w:firstColumn="1" w:lastColumn="0" w:noHBand="0" w:noVBand="1"/>
    </w:tblPr>
    <w:tblGrid>
      <w:gridCol w:w="14744"/>
      <w:gridCol w:w="8165"/>
      <w:gridCol w:w="2355"/>
    </w:tblGrid>
    <w:tr w:rsidR="0022236A" w14:paraId="25B574EA" w14:textId="77777777" w:rsidTr="00554E71">
      <w:tc>
        <w:tcPr>
          <w:tcW w:w="2917" w:type="pct"/>
          <w:tcMar>
            <w:left w:w="0" w:type="dxa"/>
          </w:tcMar>
        </w:tcPr>
        <w:p w14:paraId="10BC99E7" w14:textId="05A65C92" w:rsidR="0022236A" w:rsidRDefault="0022236A" w:rsidP="006424F7">
          <w:pPr>
            <w:tabs>
              <w:tab w:val="left" w:pos="1859"/>
              <w:tab w:val="right" w:pos="14317"/>
            </w:tabs>
            <w:spacing w:before="120" w:line="240" w:lineRule="auto"/>
            <w:rPr>
              <w:sz w:val="16"/>
            </w:rPr>
          </w:pPr>
          <w:r>
            <w:rPr>
              <w:sz w:val="16"/>
            </w:rPr>
            <w:t xml:space="preserve">Für </w:t>
          </w:r>
          <w:r w:rsidR="00B70738">
            <w:rPr>
              <w:sz w:val="16"/>
            </w:rPr>
            <w:t>die</w:t>
          </w:r>
          <w:r>
            <w:rPr>
              <w:sz w:val="16"/>
            </w:rPr>
            <w:t xml:space="preserve"> Prüfgebiet</w:t>
          </w:r>
          <w:r w:rsidR="00B70738">
            <w:rPr>
              <w:sz w:val="16"/>
            </w:rPr>
            <w:t>e</w:t>
          </w:r>
          <w:r>
            <w:rPr>
              <w:sz w:val="16"/>
            </w:rPr>
            <w:t xml:space="preserve"> „Geschäftsrisiken – Risikomanagement / Risiken aus indifferenten Geschäften / Verhaltensregeln gegenüber Kunden“ anwendbare Prüfungshandlungen</w:t>
          </w:r>
        </w:p>
        <w:p w14:paraId="1D0E1D32" w14:textId="0D3D9C70" w:rsidR="0022236A" w:rsidRPr="003C4F72" w:rsidRDefault="0022236A" w:rsidP="006424F7">
          <w:pPr>
            <w:tabs>
              <w:tab w:val="left" w:pos="1859"/>
              <w:tab w:val="right" w:pos="14745"/>
            </w:tabs>
            <w:spacing w:after="120" w:line="240" w:lineRule="auto"/>
            <w:rPr>
              <w:sz w:val="16"/>
              <w:szCs w:val="16"/>
            </w:rPr>
          </w:pPr>
          <w:r>
            <w:rPr>
              <w:sz w:val="16"/>
            </w:rPr>
            <w:t xml:space="preserve">Version vom 31. März 2020, anwendbar ab Prüfperiode 2020 (Prüfjahre beginnend am 01.01.2020 oder später), sofern das Institut die Verhaltensregeln nach FIDLEG </w:t>
          </w:r>
          <w:r w:rsidRPr="0022236A">
            <w:rPr>
              <w:b/>
              <w:sz w:val="16"/>
            </w:rPr>
            <w:t>nicht</w:t>
          </w:r>
          <w:r>
            <w:rPr>
              <w:sz w:val="16"/>
            </w:rPr>
            <w:t xml:space="preserve"> vorzeitig anwendet</w:t>
          </w:r>
          <w:r>
            <w:rPr>
              <w:sz w:val="16"/>
            </w:rPr>
            <w:tab/>
            <w:t xml:space="preserve">Seite </w:t>
          </w:r>
          <w:r w:rsidRPr="005061E9">
            <w:rPr>
              <w:sz w:val="16"/>
              <w:szCs w:val="16"/>
            </w:rPr>
            <w:fldChar w:fldCharType="begin"/>
          </w:r>
          <w:r w:rsidRPr="005061E9">
            <w:rPr>
              <w:sz w:val="16"/>
              <w:szCs w:val="16"/>
            </w:rPr>
            <w:instrText xml:space="preserve"> PAGE   \* MERGEFORMAT </w:instrText>
          </w:r>
          <w:r w:rsidRPr="005061E9">
            <w:rPr>
              <w:sz w:val="16"/>
              <w:szCs w:val="16"/>
            </w:rPr>
            <w:fldChar w:fldCharType="separate"/>
          </w:r>
          <w:r w:rsidR="00B70738">
            <w:rPr>
              <w:noProof/>
              <w:sz w:val="16"/>
              <w:szCs w:val="16"/>
            </w:rPr>
            <w:t>13</w:t>
          </w:r>
          <w:r w:rsidRPr="005061E9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1616" w:type="pct"/>
          <w:tcMar>
            <w:left w:w="0" w:type="dxa"/>
          </w:tcMar>
        </w:tcPr>
        <w:p w14:paraId="4182C61B" w14:textId="77777777" w:rsidR="0022236A" w:rsidRDefault="0022236A" w:rsidP="00455E44">
          <w:pPr>
            <w:pStyle w:val="Fuzeile"/>
            <w:tabs>
              <w:tab w:val="clear" w:pos="8618"/>
            </w:tabs>
          </w:pPr>
        </w:p>
      </w:tc>
      <w:tc>
        <w:tcPr>
          <w:tcW w:w="466" w:type="pct"/>
          <w:tcMar>
            <w:left w:w="0" w:type="dxa"/>
          </w:tcMar>
        </w:tcPr>
        <w:p w14:paraId="50F6C376" w14:textId="295CF19F" w:rsidR="0022236A" w:rsidRPr="00D81961" w:rsidRDefault="0022236A" w:rsidP="00D81961">
          <w:pPr>
            <w:pStyle w:val="Fuzeile"/>
            <w:tabs>
              <w:tab w:val="clear" w:pos="8618"/>
              <w:tab w:val="left" w:pos="1473"/>
            </w:tabs>
            <w:ind w:right="29"/>
            <w:rPr>
              <w:sz w:val="15"/>
              <w:szCs w:val="15"/>
            </w:rPr>
          </w:pPr>
          <w:r w:rsidRPr="00D81961">
            <w:rPr>
              <w:sz w:val="15"/>
              <w:szCs w:val="15"/>
            </w:rPr>
            <w:fldChar w:fldCharType="begin"/>
          </w:r>
          <w:r w:rsidRPr="00D81961">
            <w:rPr>
              <w:sz w:val="15"/>
              <w:szCs w:val="15"/>
            </w:rPr>
            <w:instrText xml:space="preserve"> PAGE </w:instrText>
          </w:r>
          <w:r w:rsidRPr="00D81961">
            <w:rPr>
              <w:sz w:val="15"/>
              <w:szCs w:val="15"/>
            </w:rPr>
            <w:fldChar w:fldCharType="separate"/>
          </w:r>
          <w:r w:rsidR="00B70738">
            <w:rPr>
              <w:noProof/>
              <w:sz w:val="15"/>
              <w:szCs w:val="15"/>
            </w:rPr>
            <w:t>13</w:t>
          </w:r>
          <w:r w:rsidRPr="00D81961">
            <w:rPr>
              <w:noProof/>
              <w:sz w:val="15"/>
              <w:szCs w:val="15"/>
            </w:rPr>
            <w:fldChar w:fldCharType="end"/>
          </w:r>
          <w:r>
            <w:rPr>
              <w:sz w:val="15"/>
            </w:rPr>
            <w:t>/</w:t>
          </w:r>
          <w:r w:rsidRPr="00D81961">
            <w:rPr>
              <w:sz w:val="15"/>
              <w:szCs w:val="15"/>
            </w:rPr>
            <w:fldChar w:fldCharType="begin"/>
          </w:r>
          <w:r w:rsidRPr="00D81961">
            <w:rPr>
              <w:sz w:val="15"/>
              <w:szCs w:val="15"/>
            </w:rPr>
            <w:instrText xml:space="preserve"> NUMPAGES </w:instrText>
          </w:r>
          <w:r w:rsidRPr="00D81961">
            <w:rPr>
              <w:sz w:val="15"/>
              <w:szCs w:val="15"/>
            </w:rPr>
            <w:fldChar w:fldCharType="separate"/>
          </w:r>
          <w:r w:rsidR="00B70738">
            <w:rPr>
              <w:noProof/>
              <w:sz w:val="15"/>
              <w:szCs w:val="15"/>
            </w:rPr>
            <w:t>13</w:t>
          </w:r>
          <w:r w:rsidRPr="00D81961">
            <w:rPr>
              <w:noProof/>
              <w:sz w:val="15"/>
              <w:szCs w:val="15"/>
            </w:rPr>
            <w:fldChar w:fldCharType="end"/>
          </w:r>
        </w:p>
      </w:tc>
    </w:tr>
  </w:tbl>
  <w:p w14:paraId="3D52EFD4" w14:textId="77777777" w:rsidR="0022236A" w:rsidRDefault="0022236A" w:rsidP="00975547">
    <w:pPr>
      <w:pStyle w:val="Fuzeile"/>
      <w:tabs>
        <w:tab w:val="clear" w:pos="8618"/>
        <w:tab w:val="right" w:pos="14600"/>
      </w:tabs>
      <w:ind w:left="-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1590"/>
      <w:gridCol w:w="2487"/>
    </w:tblGrid>
    <w:tr w:rsidR="0022236A" w:rsidRPr="005C2899" w14:paraId="41EB240F" w14:textId="77777777" w:rsidTr="00E57A42">
      <w:tc>
        <w:tcPr>
          <w:tcW w:w="11590" w:type="dxa"/>
          <w:shd w:val="clear" w:color="auto" w:fill="auto"/>
        </w:tcPr>
        <w:p w14:paraId="2E00AF35" w14:textId="77777777" w:rsidR="0022236A" w:rsidRDefault="0022236A" w:rsidP="005C2899">
          <w:pPr>
            <w:pStyle w:val="Fuzeile"/>
            <w:spacing w:line="240" w:lineRule="auto"/>
          </w:pPr>
          <w:bookmarkStart w:id="2" w:name="BkmBarcode01" w:colFirst="1" w:colLast="1"/>
          <w:r>
            <w:t>Laupenstrasse 27</w:t>
          </w:r>
        </w:p>
        <w:p w14:paraId="6B4E4284" w14:textId="77777777" w:rsidR="0022236A" w:rsidRDefault="0022236A" w:rsidP="005C2899">
          <w:pPr>
            <w:pStyle w:val="Fuzeile"/>
            <w:spacing w:line="240" w:lineRule="auto"/>
          </w:pPr>
          <w:r>
            <w:t>3003 Bern</w:t>
          </w:r>
        </w:p>
        <w:p w14:paraId="345ABFFC" w14:textId="77777777" w:rsidR="0022236A" w:rsidRDefault="0022236A" w:rsidP="005C2899">
          <w:pPr>
            <w:pStyle w:val="Fuzeile"/>
            <w:spacing w:line="240" w:lineRule="auto"/>
          </w:pPr>
          <w:r>
            <w:t>Tel. +41 (0)31 327 91 00</w:t>
          </w:r>
        </w:p>
        <w:p w14:paraId="1883EE1B" w14:textId="77777777" w:rsidR="0022236A" w:rsidRDefault="0022236A" w:rsidP="005C2899">
          <w:pPr>
            <w:pStyle w:val="Fuzeile"/>
            <w:spacing w:line="240" w:lineRule="auto"/>
          </w:pPr>
          <w:r>
            <w:t>Fax +41 (0)31 327 91 01</w:t>
          </w:r>
        </w:p>
        <w:p w14:paraId="18524732" w14:textId="77777777" w:rsidR="0022236A" w:rsidRPr="005C2899" w:rsidRDefault="0022236A" w:rsidP="005C2899">
          <w:pPr>
            <w:pStyle w:val="Fuzeile"/>
            <w:spacing w:line="240" w:lineRule="auto"/>
          </w:pPr>
          <w:hyperlink r:id="rId1" w:history="1">
            <w:r w:rsidRPr="003B057D">
              <w:rPr>
                <w:rStyle w:val="Hyperlink"/>
              </w:rPr>
              <w:t>www.finma.ch</w:t>
            </w:r>
          </w:hyperlink>
          <w:r>
            <w:t xml:space="preserve"> </w:t>
          </w:r>
        </w:p>
      </w:tc>
      <w:tc>
        <w:tcPr>
          <w:tcW w:w="2487" w:type="dxa"/>
          <w:vMerge w:val="restart"/>
          <w:shd w:val="clear" w:color="auto" w:fill="auto"/>
          <w:vAlign w:val="bottom"/>
        </w:tcPr>
        <w:p w14:paraId="27820449" w14:textId="77777777" w:rsidR="0022236A" w:rsidRPr="005C2899" w:rsidRDefault="0022236A" w:rsidP="00E57A42">
          <w:pPr>
            <w:pStyle w:val="Fuzeile"/>
            <w:spacing w:line="240" w:lineRule="auto"/>
            <w:jc w:val="right"/>
          </w:pPr>
        </w:p>
      </w:tc>
    </w:tr>
    <w:tr w:rsidR="0022236A" w:rsidRPr="005C2899" w14:paraId="18AF5C61" w14:textId="77777777" w:rsidTr="00E57A42">
      <w:tc>
        <w:tcPr>
          <w:tcW w:w="11590" w:type="dxa"/>
          <w:shd w:val="clear" w:color="auto" w:fill="auto"/>
        </w:tcPr>
        <w:p w14:paraId="74D32E7C" w14:textId="77777777" w:rsidR="0022236A" w:rsidRPr="005C2899" w:rsidRDefault="0022236A" w:rsidP="00E57A42">
          <w:pPr>
            <w:pStyle w:val="Fuzeile"/>
            <w:spacing w:line="240" w:lineRule="auto"/>
          </w:pPr>
        </w:p>
      </w:tc>
      <w:tc>
        <w:tcPr>
          <w:tcW w:w="2487" w:type="dxa"/>
          <w:vMerge/>
          <w:shd w:val="clear" w:color="auto" w:fill="auto"/>
        </w:tcPr>
        <w:p w14:paraId="64AB3F7C" w14:textId="77777777" w:rsidR="0022236A" w:rsidRPr="005C2899" w:rsidRDefault="0022236A" w:rsidP="00E57A42">
          <w:pPr>
            <w:pStyle w:val="Fuzeile"/>
            <w:spacing w:line="240" w:lineRule="auto"/>
          </w:pPr>
        </w:p>
      </w:tc>
    </w:tr>
    <w:tr w:rsidR="0022236A" w:rsidRPr="00680FFB" w14:paraId="3968096C" w14:textId="77777777" w:rsidTr="00E57A42">
      <w:tc>
        <w:tcPr>
          <w:tcW w:w="11590" w:type="dxa"/>
          <w:shd w:val="clear" w:color="auto" w:fill="auto"/>
        </w:tcPr>
        <w:p w14:paraId="1A77B109" w14:textId="1A848456" w:rsidR="0022236A" w:rsidRPr="00E57A42" w:rsidRDefault="0022236A" w:rsidP="00E57A42">
          <w:pPr>
            <w:pStyle w:val="Fuzeile"/>
            <w:spacing w:line="240" w:lineRule="auto"/>
            <w:rPr>
              <w:rFonts w:cs="Arial"/>
              <w:sz w:val="12"/>
              <w:szCs w:val="12"/>
            </w:rPr>
          </w:pPr>
          <w:r w:rsidRPr="00E57A42">
            <w:rPr>
              <w:sz w:val="12"/>
              <w:szCs w:val="12"/>
            </w:rPr>
            <w:fldChar w:fldCharType="begin"/>
          </w:r>
          <w:r w:rsidRPr="00E57A42">
            <w:rPr>
              <w:sz w:val="12"/>
              <w:szCs w:val="12"/>
            </w:rPr>
            <w:instrText xml:space="preserve"> IF "</w:instrText>
          </w:r>
          <w:r w:rsidRPr="00E57A42">
            <w:rPr>
              <w:sz w:val="12"/>
              <w:szCs w:val="12"/>
            </w:rPr>
            <w:fldChar w:fldCharType="begin"/>
          </w:r>
          <w:r w:rsidRPr="00E57A42">
            <w:rPr>
              <w:sz w:val="12"/>
              <w:szCs w:val="12"/>
            </w:rPr>
            <w:instrText xml:space="preserve"> DOCPROPERTY "geschaeft_id" </w:instrText>
          </w:r>
          <w:r w:rsidRPr="00E57A42">
            <w:rPr>
              <w:sz w:val="12"/>
              <w:szCs w:val="12"/>
            </w:rPr>
            <w:fldChar w:fldCharType="separate"/>
          </w:r>
          <w:r>
            <w:rPr>
              <w:b/>
              <w:bCs/>
              <w:sz w:val="12"/>
              <w:szCs w:val="12"/>
              <w:lang w:val="de-DE"/>
            </w:rPr>
            <w:instrText>Fehler! Unbekannter Name für Dokument-Eigenschaft.</w:instrText>
          </w:r>
          <w:r w:rsidRPr="00E57A42">
            <w:rPr>
              <w:sz w:val="12"/>
              <w:szCs w:val="12"/>
            </w:rPr>
            <w:fldChar w:fldCharType="end"/>
          </w:r>
          <w:r w:rsidRPr="00E57A42">
            <w:rPr>
              <w:sz w:val="12"/>
              <w:szCs w:val="12"/>
            </w:rPr>
            <w:instrText>"="</w:instrText>
          </w:r>
          <w:r w:rsidRPr="00E57A42">
            <w:rPr>
              <w:rStyle w:val="FINMARf-AktnrZchn"/>
              <w:sz w:val="12"/>
              <w:szCs w:val="12"/>
            </w:rPr>
            <w:fldChar w:fldCharType="begin"/>
          </w:r>
          <w:r w:rsidRPr="00E57A42">
            <w:rPr>
              <w:rStyle w:val="FINMARf-AktnrZchn"/>
              <w:sz w:val="12"/>
              <w:szCs w:val="12"/>
            </w:rPr>
            <w:instrText xml:space="preserve"> DOCPROPERTY "NotExist" </w:instrText>
          </w:r>
          <w:r w:rsidRPr="00E57A42">
            <w:rPr>
              <w:rStyle w:val="FINMARf-AktnrZchn"/>
              <w:sz w:val="12"/>
              <w:szCs w:val="12"/>
            </w:rPr>
            <w:fldChar w:fldCharType="separate"/>
          </w:r>
          <w:r>
            <w:rPr>
              <w:rStyle w:val="FINMARf-AktnrZchn"/>
              <w:b/>
              <w:bCs/>
              <w:sz w:val="12"/>
              <w:szCs w:val="12"/>
              <w:lang w:val="de-DE"/>
            </w:rPr>
            <w:instrText>Fehler! Unbekannter Name für Dokument-Eigenschaft.</w:instrText>
          </w:r>
          <w:r w:rsidRPr="00E57A42">
            <w:rPr>
              <w:rStyle w:val="FINMARf-AktnrZchn"/>
              <w:sz w:val="12"/>
              <w:szCs w:val="12"/>
            </w:rPr>
            <w:fldChar w:fldCharType="end"/>
          </w:r>
          <w:r w:rsidRPr="00E57A42">
            <w:rPr>
              <w:sz w:val="12"/>
              <w:szCs w:val="12"/>
            </w:rPr>
            <w:instrText>" "" "</w:instrText>
          </w:r>
          <w:r w:rsidRPr="00E57A42">
            <w:rPr>
              <w:sz w:val="12"/>
              <w:szCs w:val="12"/>
            </w:rPr>
            <w:fldChar w:fldCharType="begin"/>
          </w:r>
          <w:r w:rsidRPr="00E57A42">
            <w:rPr>
              <w:sz w:val="12"/>
              <w:szCs w:val="12"/>
            </w:rPr>
            <w:instrText xml:space="preserve"> DOCPROPERTY "geschaeft_id" </w:instrText>
          </w:r>
          <w:r w:rsidRPr="00E57A42">
            <w:rPr>
              <w:sz w:val="12"/>
              <w:szCs w:val="12"/>
            </w:rPr>
            <w:fldChar w:fldCharType="end"/>
          </w:r>
          <w:r w:rsidRPr="00E57A42">
            <w:rPr>
              <w:sz w:val="12"/>
              <w:szCs w:val="12"/>
            </w:rPr>
            <w:instrText xml:space="preserve">" </w:instrText>
          </w:r>
          <w:r w:rsidRPr="00E57A42">
            <w:rPr>
              <w:sz w:val="12"/>
              <w:szCs w:val="12"/>
            </w:rPr>
            <w:fldChar w:fldCharType="end"/>
          </w:r>
          <w:r w:rsidRPr="00E57A42">
            <w:rPr>
              <w:sz w:val="12"/>
              <w:szCs w:val="12"/>
            </w:rPr>
            <w:fldChar w:fldCharType="begin"/>
          </w:r>
          <w:r w:rsidRPr="00E57A42">
            <w:rPr>
              <w:sz w:val="12"/>
              <w:szCs w:val="12"/>
            </w:rPr>
            <w:instrText xml:space="preserve"> IF "</w:instrText>
          </w:r>
          <w:r w:rsidRPr="00E57A42">
            <w:rPr>
              <w:sz w:val="12"/>
              <w:szCs w:val="12"/>
            </w:rPr>
            <w:fldChar w:fldCharType="begin"/>
          </w:r>
          <w:r w:rsidRPr="00E57A42">
            <w:rPr>
              <w:sz w:val="12"/>
              <w:szCs w:val="12"/>
            </w:rPr>
            <w:instrText xml:space="preserve"> DOCPROPERTY "aktionswert" </w:instrText>
          </w:r>
          <w:r w:rsidRPr="00E57A42">
            <w:rPr>
              <w:sz w:val="12"/>
              <w:szCs w:val="12"/>
            </w:rPr>
            <w:fldChar w:fldCharType="separate"/>
          </w:r>
          <w:r>
            <w:rPr>
              <w:b/>
              <w:bCs/>
              <w:sz w:val="12"/>
              <w:szCs w:val="12"/>
              <w:lang w:val="de-DE"/>
            </w:rPr>
            <w:instrText>Fehler! Unbekannter Name für Dokument-Eigenschaft.</w:instrText>
          </w:r>
          <w:r w:rsidRPr="00E57A42">
            <w:rPr>
              <w:sz w:val="12"/>
              <w:szCs w:val="12"/>
            </w:rPr>
            <w:fldChar w:fldCharType="end"/>
          </w:r>
          <w:r w:rsidRPr="00E57A42">
            <w:rPr>
              <w:sz w:val="12"/>
              <w:szCs w:val="12"/>
            </w:rPr>
            <w:instrText>"="</w:instrText>
          </w:r>
          <w:r w:rsidRPr="00E57A42">
            <w:rPr>
              <w:rStyle w:val="FINMARf-AktnrZchn"/>
              <w:sz w:val="12"/>
              <w:szCs w:val="12"/>
            </w:rPr>
            <w:fldChar w:fldCharType="begin"/>
          </w:r>
          <w:r w:rsidRPr="00E57A42">
            <w:rPr>
              <w:rStyle w:val="FINMARf-AktnrZchn"/>
              <w:sz w:val="12"/>
              <w:szCs w:val="12"/>
            </w:rPr>
            <w:instrText xml:space="preserve"> DOCPROPERTY "NotExist" </w:instrText>
          </w:r>
          <w:r w:rsidRPr="00E57A42">
            <w:rPr>
              <w:rStyle w:val="FINMARf-AktnrZchn"/>
              <w:sz w:val="12"/>
              <w:szCs w:val="12"/>
            </w:rPr>
            <w:fldChar w:fldCharType="separate"/>
          </w:r>
          <w:r>
            <w:rPr>
              <w:rStyle w:val="FINMARf-AktnrZchn"/>
              <w:b/>
              <w:bCs/>
              <w:sz w:val="12"/>
              <w:szCs w:val="12"/>
              <w:lang w:val="de-DE"/>
            </w:rPr>
            <w:instrText>Fehler! Unbekannter Name für Dokument-Eigenschaft.</w:instrText>
          </w:r>
          <w:r w:rsidRPr="00E57A42">
            <w:rPr>
              <w:rStyle w:val="FINMARf-AktnrZchn"/>
              <w:sz w:val="12"/>
              <w:szCs w:val="12"/>
            </w:rPr>
            <w:fldChar w:fldCharType="end"/>
          </w:r>
          <w:r w:rsidRPr="00E57A42">
            <w:rPr>
              <w:sz w:val="12"/>
              <w:szCs w:val="12"/>
            </w:rPr>
            <w:instrText>" "" "</w:instrText>
          </w:r>
          <w:r w:rsidRPr="00E57A42">
            <w:rPr>
              <w:sz w:val="12"/>
              <w:szCs w:val="12"/>
            </w:rPr>
            <w:fldChar w:fldCharType="begin"/>
          </w:r>
          <w:r w:rsidRPr="00E57A42">
            <w:rPr>
              <w:sz w:val="12"/>
              <w:szCs w:val="12"/>
            </w:rPr>
            <w:instrText xml:space="preserve"> DOCPROPERTY "aktionswert" </w:instrText>
          </w:r>
          <w:r w:rsidRPr="00E57A42">
            <w:rPr>
              <w:sz w:val="12"/>
              <w:szCs w:val="12"/>
            </w:rPr>
            <w:fldChar w:fldCharType="end"/>
          </w:r>
          <w:r w:rsidRPr="00E57A42">
            <w:rPr>
              <w:sz w:val="12"/>
              <w:szCs w:val="12"/>
            </w:rPr>
            <w:instrText xml:space="preserve">" </w:instrText>
          </w:r>
          <w:r w:rsidRPr="00E57A42">
            <w:rPr>
              <w:sz w:val="12"/>
              <w:szCs w:val="12"/>
            </w:rPr>
            <w:fldChar w:fldCharType="end"/>
          </w:r>
          <w:r w:rsidRPr="00E57A42">
            <w:rPr>
              <w:sz w:val="12"/>
              <w:szCs w:val="12"/>
            </w:rPr>
            <w:fldChar w:fldCharType="begin"/>
          </w:r>
          <w:r w:rsidRPr="00E57A42">
            <w:rPr>
              <w:sz w:val="12"/>
              <w:szCs w:val="12"/>
            </w:rPr>
            <w:instrText xml:space="preserve"> IF "</w:instrText>
          </w:r>
          <w:r w:rsidRPr="00E57A42">
            <w:rPr>
              <w:sz w:val="12"/>
              <w:szCs w:val="12"/>
            </w:rPr>
            <w:fldChar w:fldCharType="begin"/>
          </w:r>
          <w:r w:rsidRPr="00E57A42">
            <w:rPr>
              <w:sz w:val="12"/>
              <w:szCs w:val="12"/>
            </w:rPr>
            <w:instrText xml:space="preserve"> DOCPROPERTY "aktionswert" </w:instrText>
          </w:r>
          <w:r w:rsidRPr="00E57A42">
            <w:rPr>
              <w:sz w:val="12"/>
              <w:szCs w:val="12"/>
            </w:rPr>
            <w:fldChar w:fldCharType="separate"/>
          </w:r>
          <w:r>
            <w:rPr>
              <w:b/>
              <w:bCs/>
              <w:sz w:val="12"/>
              <w:szCs w:val="12"/>
              <w:lang w:val="de-DE"/>
            </w:rPr>
            <w:instrText>Fehler! Unbekannter Name für Dokument-Eigenschaft.</w:instrText>
          </w:r>
          <w:r w:rsidRPr="00E57A42">
            <w:rPr>
              <w:sz w:val="12"/>
              <w:szCs w:val="12"/>
            </w:rPr>
            <w:fldChar w:fldCharType="end"/>
          </w:r>
          <w:r w:rsidRPr="00E57A42">
            <w:rPr>
              <w:sz w:val="12"/>
              <w:szCs w:val="12"/>
            </w:rPr>
            <w:instrText xml:space="preserve">"="" ";" "" </w:instrText>
          </w:r>
          <w:r>
            <w:rPr>
              <w:sz w:val="12"/>
              <w:szCs w:val="12"/>
            </w:rPr>
            <w:fldChar w:fldCharType="separate"/>
          </w:r>
          <w:r w:rsidRPr="00E57A42">
            <w:rPr>
              <w:sz w:val="12"/>
              <w:szCs w:val="12"/>
            </w:rPr>
            <w:fldChar w:fldCharType="end"/>
          </w:r>
          <w:r w:rsidRPr="00E57A42">
            <w:rPr>
              <w:sz w:val="12"/>
              <w:szCs w:val="12"/>
            </w:rPr>
            <w:t>b1004961-0000568</w:t>
          </w:r>
        </w:p>
      </w:tc>
      <w:tc>
        <w:tcPr>
          <w:tcW w:w="2487" w:type="dxa"/>
          <w:vMerge/>
          <w:shd w:val="clear" w:color="auto" w:fill="auto"/>
        </w:tcPr>
        <w:p w14:paraId="7CCF57CB" w14:textId="77777777" w:rsidR="0022236A" w:rsidRPr="00465386" w:rsidRDefault="0022236A" w:rsidP="00E57A42">
          <w:pPr>
            <w:pStyle w:val="Fuzeile"/>
            <w:spacing w:line="240" w:lineRule="auto"/>
          </w:pPr>
        </w:p>
      </w:tc>
    </w:tr>
  </w:tbl>
  <w:bookmarkEnd w:id="2"/>
  <w:p w14:paraId="673E45AE" w14:textId="77777777" w:rsidR="0022236A" w:rsidRPr="00F768F1" w:rsidRDefault="0022236A" w:rsidP="00F768F1">
    <w:pPr>
      <w:pStyle w:val="Fuzeile"/>
      <w:spacing w:line="240" w:lineRule="auto"/>
      <w:rPr>
        <w:sz w:val="2"/>
        <w:szCs w:val="2"/>
      </w:rPr>
    </w:pPr>
    <w:r>
      <w:rPr>
        <w:sz w:val="12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04766" w14:textId="77777777" w:rsidR="0022236A" w:rsidRDefault="0022236A">
      <w:r>
        <w:separator/>
      </w:r>
    </w:p>
  </w:footnote>
  <w:footnote w:type="continuationSeparator" w:id="0">
    <w:p w14:paraId="1F97A086" w14:textId="77777777" w:rsidR="0022236A" w:rsidRDefault="0022236A">
      <w:r>
        <w:continuationSeparator/>
      </w:r>
    </w:p>
  </w:footnote>
  <w:footnote w:id="1">
    <w:p w14:paraId="49C8CA94" w14:textId="77777777" w:rsidR="0022236A" w:rsidRPr="00C47F27" w:rsidRDefault="0022236A" w:rsidP="00C61276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rPr>
          <w:sz w:val="16"/>
        </w:rPr>
        <w:t xml:space="preserve"> Die Bestätigung gilt für die effektiv bearbeiteten Prüfgebiete. Bitte kreuzen Sie das entsprechende Feld an.</w:t>
      </w:r>
    </w:p>
  </w:footnote>
  <w:footnote w:id="2">
    <w:p w14:paraId="37105D04" w14:textId="77777777" w:rsidR="0022236A" w:rsidRPr="00C47F27" w:rsidRDefault="0022236A" w:rsidP="00C61276">
      <w:pPr>
        <w:pStyle w:val="Funotentext"/>
      </w:pPr>
      <w:r>
        <w:rPr>
          <w:rStyle w:val="Funotenzeichen"/>
        </w:rPr>
        <w:footnoteRef/>
      </w:r>
      <w:r>
        <w:rPr>
          <w:sz w:val="16"/>
        </w:rPr>
        <w:t xml:space="preserve"> Die Bestätigung gilt für die effektiv bearbeiteten Prüfgebiete. Bitte kreuzen Sie das entsprechende Feld an.</w:t>
      </w:r>
    </w:p>
  </w:footnote>
  <w:footnote w:id="3">
    <w:p w14:paraId="09CD46B6" w14:textId="77777777" w:rsidR="0022236A" w:rsidRPr="00C47F27" w:rsidRDefault="0022236A" w:rsidP="00C61276">
      <w:pPr>
        <w:pStyle w:val="Funotentext"/>
      </w:pPr>
      <w:r>
        <w:rPr>
          <w:rStyle w:val="Funotenzeichen"/>
        </w:rPr>
        <w:footnoteRef/>
      </w:r>
      <w:r>
        <w:rPr>
          <w:sz w:val="16"/>
        </w:rPr>
        <w:t xml:space="preserve"> Die Bestätigung gilt für die effektiv bearbeiteten Prüfgebiete. Bitte kreuzen Sie das entsprechende Feld an.</w:t>
      </w:r>
    </w:p>
  </w:footnote>
  <w:footnote w:id="4">
    <w:p w14:paraId="231E68F2" w14:textId="77777777" w:rsidR="0022236A" w:rsidRPr="00277A18" w:rsidRDefault="0022236A">
      <w:pPr>
        <w:pStyle w:val="Funotentext"/>
        <w:rPr>
          <w:sz w:val="16"/>
          <w:szCs w:val="16"/>
        </w:rPr>
      </w:pPr>
      <w:r w:rsidRPr="00277A18">
        <w:rPr>
          <w:rStyle w:val="Funotenzeichen"/>
          <w:sz w:val="16"/>
          <w:szCs w:val="16"/>
        </w:rPr>
        <w:footnoteRef/>
      </w:r>
      <w:r w:rsidRPr="00277A18">
        <w:rPr>
          <w:sz w:val="16"/>
          <w:szCs w:val="16"/>
        </w:rPr>
        <w:t xml:space="preserve"> Gilt für </w:t>
      </w:r>
      <w:r>
        <w:rPr>
          <w:sz w:val="16"/>
          <w:szCs w:val="16"/>
        </w:rPr>
        <w:t xml:space="preserve">die </w:t>
      </w:r>
      <w:r w:rsidRPr="00277A18">
        <w:rPr>
          <w:sz w:val="16"/>
          <w:szCs w:val="16"/>
        </w:rPr>
        <w:t>Anlageberatung, falls das Anlageuniversum kollektive Kapitalanlagen beinhaltet.</w:t>
      </w:r>
    </w:p>
  </w:footnote>
  <w:footnote w:id="5">
    <w:p w14:paraId="60ACC190" w14:textId="77777777" w:rsidR="0022236A" w:rsidRPr="00277A18" w:rsidRDefault="0022236A" w:rsidP="00AE64CF">
      <w:pPr>
        <w:pStyle w:val="Funotentext"/>
        <w:rPr>
          <w:sz w:val="16"/>
          <w:szCs w:val="16"/>
        </w:rPr>
      </w:pPr>
      <w:r w:rsidRPr="00277A18">
        <w:rPr>
          <w:rStyle w:val="Funotenzeichen"/>
          <w:sz w:val="16"/>
          <w:szCs w:val="16"/>
        </w:rPr>
        <w:footnoteRef/>
      </w:r>
      <w:r w:rsidRPr="00277A18">
        <w:rPr>
          <w:sz w:val="16"/>
          <w:szCs w:val="16"/>
        </w:rPr>
        <w:t xml:space="preserve"> Gilt für </w:t>
      </w:r>
      <w:r>
        <w:rPr>
          <w:sz w:val="16"/>
          <w:szCs w:val="16"/>
        </w:rPr>
        <w:t xml:space="preserve">die </w:t>
      </w:r>
      <w:r w:rsidRPr="00277A18">
        <w:rPr>
          <w:sz w:val="16"/>
          <w:szCs w:val="16"/>
        </w:rPr>
        <w:t>Anlageberatung, falls das Anlageuniversum kollektive Kapitalanlagen beinhaltet.</w:t>
      </w:r>
    </w:p>
  </w:footnote>
  <w:footnote w:id="6">
    <w:p w14:paraId="5E8A8D3F" w14:textId="77777777" w:rsidR="0022236A" w:rsidRDefault="0022236A" w:rsidP="00AE64CF">
      <w:pPr>
        <w:pStyle w:val="Funotentext"/>
      </w:pPr>
      <w:r w:rsidRPr="00277A18">
        <w:rPr>
          <w:rStyle w:val="Funotenzeichen"/>
          <w:sz w:val="16"/>
          <w:szCs w:val="16"/>
        </w:rPr>
        <w:footnoteRef/>
      </w:r>
      <w:r w:rsidRPr="00277A18">
        <w:rPr>
          <w:sz w:val="16"/>
          <w:szCs w:val="16"/>
        </w:rPr>
        <w:t xml:space="preserve"> Gilt für </w:t>
      </w:r>
      <w:r>
        <w:rPr>
          <w:sz w:val="16"/>
          <w:szCs w:val="16"/>
        </w:rPr>
        <w:t xml:space="preserve">die </w:t>
      </w:r>
      <w:r w:rsidRPr="00277A18">
        <w:rPr>
          <w:sz w:val="16"/>
          <w:szCs w:val="16"/>
        </w:rPr>
        <w:t>Anlageberatung, falls das Anlageuniversum kollektive Kapitalanlagen beinhaltet.</w:t>
      </w:r>
    </w:p>
  </w:footnote>
  <w:footnote w:id="7">
    <w:p w14:paraId="0459A539" w14:textId="77777777" w:rsidR="0022236A" w:rsidRPr="00E924DA" w:rsidRDefault="0022236A" w:rsidP="00C61276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rPr>
          <w:sz w:val="16"/>
        </w:rPr>
        <w:t xml:space="preserve"> Gilt für Exchange Traded Funds (ETFs).</w:t>
      </w:r>
    </w:p>
  </w:footnote>
  <w:footnote w:id="8">
    <w:p w14:paraId="7E242E6E" w14:textId="77777777" w:rsidR="0022236A" w:rsidRPr="00E924DA" w:rsidRDefault="0022236A" w:rsidP="00C61276">
      <w:pPr>
        <w:tabs>
          <w:tab w:val="left" w:pos="1859"/>
        </w:tabs>
        <w:rPr>
          <w:rFonts w:cs="Arial"/>
        </w:rPr>
      </w:pPr>
      <w:r>
        <w:rPr>
          <w:rStyle w:val="Funotenzeichen"/>
        </w:rPr>
        <w:footnoteRef/>
      </w:r>
      <w:r>
        <w:rPr>
          <w:sz w:val="16"/>
        </w:rPr>
        <w:t xml:space="preserve"> Gilt, wenn keine schriftlichen Beratungsvereinbarungen bestehen (siehe FINMA-Rundschreiben 2013/9 „Vertrieb kollektiver Kapitalanlagen“).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882" w:type="dxa"/>
      <w:tblLook w:val="01E0" w:firstRow="1" w:lastRow="1" w:firstColumn="1" w:lastColumn="1" w:noHBand="0" w:noVBand="0"/>
    </w:tblPr>
    <w:tblGrid>
      <w:gridCol w:w="10773"/>
      <w:gridCol w:w="7109"/>
    </w:tblGrid>
    <w:tr w:rsidR="0022236A" w:rsidRPr="00573E72" w14:paraId="7AA3BE83" w14:textId="77777777" w:rsidTr="0022236A">
      <w:trPr>
        <w:trHeight w:val="1277"/>
      </w:trPr>
      <w:tc>
        <w:tcPr>
          <w:tcW w:w="10773" w:type="dxa"/>
          <w:tcMar>
            <w:left w:w="0" w:type="dxa"/>
            <w:right w:w="0" w:type="dxa"/>
          </w:tcMar>
        </w:tcPr>
        <w:p w14:paraId="04B601F8" w14:textId="77777777" w:rsidR="0022236A" w:rsidRDefault="0022236A" w:rsidP="0022236A">
          <w:pPr>
            <w:pStyle w:val="Kopfzeile"/>
            <w:tabs>
              <w:tab w:val="clear" w:pos="4536"/>
              <w:tab w:val="clear" w:pos="9072"/>
              <w:tab w:val="left" w:pos="3402"/>
              <w:tab w:val="right" w:pos="14317"/>
            </w:tabs>
            <w:rPr>
              <w:rFonts w:cs="Arial"/>
              <w:sz w:val="16"/>
              <w:szCs w:val="16"/>
            </w:rPr>
          </w:pPr>
          <w:r>
            <w:rPr>
              <w:b/>
              <w:sz w:val="32"/>
              <w:szCs w:val="32"/>
            </w:rPr>
            <w:br/>
          </w:r>
          <w:r>
            <w:rPr>
              <w:b/>
              <w:sz w:val="16"/>
              <w:highlight w:val="yellow"/>
            </w:rPr>
            <w:t>[Institut XY]</w:t>
          </w:r>
          <w:r>
            <w:rPr>
              <w:b/>
              <w:sz w:val="16"/>
            </w:rPr>
            <w:tab/>
          </w:r>
          <w:r>
            <w:rPr>
              <w:sz w:val="16"/>
            </w:rPr>
            <w:t xml:space="preserve">Referenz: </w:t>
          </w:r>
          <w:r>
            <w:rPr>
              <w:sz w:val="16"/>
              <w:highlight w:val="yellow"/>
            </w:rPr>
            <w:t>[Referenz hinzufügen]</w:t>
          </w:r>
        </w:p>
        <w:p w14:paraId="557648F4" w14:textId="44CC67AF" w:rsidR="0022236A" w:rsidRPr="004D0D5A" w:rsidRDefault="0022236A" w:rsidP="0022236A">
          <w:pPr>
            <w:tabs>
              <w:tab w:val="left" w:pos="3402"/>
            </w:tabs>
            <w:rPr>
              <w:rFonts w:cs="Arial"/>
              <w:sz w:val="12"/>
              <w:szCs w:val="16"/>
            </w:rPr>
          </w:pPr>
          <w:r>
            <w:rPr>
              <w:sz w:val="16"/>
            </w:rPr>
            <w:t xml:space="preserve">Prüfperiode </w:t>
          </w:r>
          <w:r>
            <w:rPr>
              <w:sz w:val="16"/>
              <w:highlight w:val="yellow"/>
            </w:rPr>
            <w:t>20XX</w:t>
          </w:r>
          <w:r>
            <w:rPr>
              <w:b/>
              <w:sz w:val="32"/>
            </w:rPr>
            <w:t xml:space="preserve"> </w:t>
          </w:r>
          <w:r>
            <w:rPr>
              <w:b/>
              <w:sz w:val="32"/>
            </w:rPr>
            <w:tab/>
          </w:r>
          <w:r w:rsidRPr="004D0D5A">
            <w:rPr>
              <w:b/>
              <w:sz w:val="16"/>
            </w:rPr>
            <w:t xml:space="preserve">Risiken aus indifferenten Geschäften / Verhaltensregeln </w:t>
          </w:r>
          <w:r>
            <w:rPr>
              <w:b/>
              <w:sz w:val="16"/>
            </w:rPr>
            <w:t>gegenüber Kunden</w:t>
          </w:r>
          <w:r w:rsidRPr="008E3C27">
            <w:rPr>
              <w:b/>
              <w:sz w:val="32"/>
              <w:szCs w:val="32"/>
            </w:rPr>
            <w:fldChar w:fldCharType="begin"/>
          </w:r>
          <w:r w:rsidRPr="00573E72">
            <w:rPr>
              <w:b/>
              <w:sz w:val="32"/>
              <w:szCs w:val="32"/>
            </w:rPr>
            <w:instrText xml:space="preserve"> IF "</w:instrText>
          </w:r>
          <w:r w:rsidRPr="008E3C27">
            <w:rPr>
              <w:b/>
              <w:sz w:val="32"/>
              <w:szCs w:val="32"/>
            </w:rPr>
            <w:fldChar w:fldCharType="begin"/>
          </w:r>
          <w:r w:rsidRPr="00573E72">
            <w:rPr>
              <w:b/>
              <w:sz w:val="32"/>
              <w:szCs w:val="32"/>
            </w:rPr>
            <w:instrText xml:space="preserve"> DOCPROPERTY "feld_vertraulich" </w:instrText>
          </w:r>
          <w:r w:rsidRPr="008E3C27">
            <w:rPr>
              <w:b/>
              <w:sz w:val="32"/>
              <w:szCs w:val="32"/>
            </w:rPr>
            <w:fldChar w:fldCharType="separate"/>
          </w:r>
          <w:r>
            <w:rPr>
              <w:bCs/>
              <w:sz w:val="32"/>
              <w:szCs w:val="32"/>
              <w:lang w:val="de-DE"/>
            </w:rPr>
            <w:instrText>Fehler! Unbekannter Name für Dokument-Eigenschaft.</w:instrText>
          </w:r>
          <w:r w:rsidRPr="008E3C27">
            <w:rPr>
              <w:b/>
              <w:bCs/>
              <w:sz w:val="32"/>
              <w:szCs w:val="32"/>
            </w:rPr>
            <w:fldChar w:fldCharType="end"/>
          </w:r>
          <w:r w:rsidRPr="00573E72">
            <w:rPr>
              <w:b/>
              <w:sz w:val="32"/>
              <w:szCs w:val="32"/>
            </w:rPr>
            <w:instrText xml:space="preserve">"="Ja" "VERTRAULICH" "" </w:instrText>
          </w:r>
          <w:r w:rsidRPr="008E3C27">
            <w:rPr>
              <w:b/>
              <w:sz w:val="32"/>
              <w:szCs w:val="32"/>
            </w:rPr>
            <w:fldChar w:fldCharType="end"/>
          </w:r>
        </w:p>
      </w:tc>
      <w:tc>
        <w:tcPr>
          <w:tcW w:w="7109" w:type="dxa"/>
        </w:tcPr>
        <w:p w14:paraId="35D9ABE2" w14:textId="77777777" w:rsidR="0022236A" w:rsidRPr="00573E72" w:rsidRDefault="0022236A" w:rsidP="0022236A">
          <w:r>
            <w:rPr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 wp14:anchorId="76D09761" wp14:editId="3B4C64BE">
                <wp:simplePos x="0" y="0"/>
                <wp:positionH relativeFrom="column">
                  <wp:posOffset>478790</wp:posOffset>
                </wp:positionH>
                <wp:positionV relativeFrom="paragraph">
                  <wp:posOffset>288290</wp:posOffset>
                </wp:positionV>
                <wp:extent cx="1799590" cy="791845"/>
                <wp:effectExtent l="0" t="0" r="0" b="8255"/>
                <wp:wrapNone/>
                <wp:docPr id="10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40148A" w14:textId="77777777" w:rsidR="0022236A" w:rsidRPr="00110559" w:rsidRDefault="0022236A" w:rsidP="00F05C8A">
    <w:pPr>
      <w:spacing w:after="120" w:line="240" w:lineRule="auto"/>
      <w:ind w:right="11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882" w:type="dxa"/>
      <w:tblLook w:val="01E0" w:firstRow="1" w:lastRow="1" w:firstColumn="1" w:lastColumn="1" w:noHBand="0" w:noVBand="0"/>
    </w:tblPr>
    <w:tblGrid>
      <w:gridCol w:w="10773"/>
      <w:gridCol w:w="7109"/>
    </w:tblGrid>
    <w:tr w:rsidR="0022236A" w:rsidRPr="00573E72" w14:paraId="3BC21FEF" w14:textId="77777777" w:rsidTr="004D0D5A">
      <w:trPr>
        <w:trHeight w:val="1277"/>
      </w:trPr>
      <w:tc>
        <w:tcPr>
          <w:tcW w:w="10773" w:type="dxa"/>
          <w:tcMar>
            <w:left w:w="0" w:type="dxa"/>
            <w:right w:w="0" w:type="dxa"/>
          </w:tcMar>
        </w:tcPr>
        <w:p w14:paraId="3D350E32" w14:textId="77777777" w:rsidR="0022236A" w:rsidRDefault="0022236A" w:rsidP="004D0D5A">
          <w:pPr>
            <w:pStyle w:val="Kopfzeile"/>
            <w:tabs>
              <w:tab w:val="clear" w:pos="4536"/>
              <w:tab w:val="clear" w:pos="9072"/>
              <w:tab w:val="left" w:pos="3402"/>
              <w:tab w:val="right" w:pos="14317"/>
            </w:tabs>
            <w:rPr>
              <w:rFonts w:cs="Arial"/>
              <w:sz w:val="16"/>
              <w:szCs w:val="16"/>
            </w:rPr>
          </w:pPr>
          <w:r>
            <w:rPr>
              <w:b/>
              <w:sz w:val="32"/>
              <w:szCs w:val="32"/>
            </w:rPr>
            <w:br/>
          </w:r>
          <w:r>
            <w:rPr>
              <w:b/>
              <w:sz w:val="16"/>
              <w:highlight w:val="yellow"/>
            </w:rPr>
            <w:t>[Institut XY]</w:t>
          </w:r>
          <w:r>
            <w:rPr>
              <w:b/>
              <w:sz w:val="16"/>
            </w:rPr>
            <w:tab/>
          </w:r>
          <w:r>
            <w:rPr>
              <w:sz w:val="16"/>
            </w:rPr>
            <w:t xml:space="preserve">Referenz: </w:t>
          </w:r>
          <w:r>
            <w:rPr>
              <w:sz w:val="16"/>
              <w:highlight w:val="yellow"/>
            </w:rPr>
            <w:t>[Referenz hinzufügen]</w:t>
          </w:r>
        </w:p>
        <w:p w14:paraId="3D45DCB5" w14:textId="0825592E" w:rsidR="0022236A" w:rsidRPr="004D0D5A" w:rsidRDefault="0022236A" w:rsidP="004D0D5A">
          <w:pPr>
            <w:tabs>
              <w:tab w:val="left" w:pos="3402"/>
            </w:tabs>
            <w:rPr>
              <w:rFonts w:cs="Arial"/>
              <w:sz w:val="12"/>
              <w:szCs w:val="16"/>
            </w:rPr>
          </w:pPr>
          <w:r>
            <w:rPr>
              <w:sz w:val="16"/>
            </w:rPr>
            <w:t xml:space="preserve">Prüfperiode </w:t>
          </w:r>
          <w:r>
            <w:rPr>
              <w:sz w:val="16"/>
              <w:highlight w:val="yellow"/>
            </w:rPr>
            <w:t>20XX</w:t>
          </w:r>
          <w:r>
            <w:rPr>
              <w:b/>
              <w:sz w:val="32"/>
            </w:rPr>
            <w:t xml:space="preserve"> </w:t>
          </w:r>
          <w:r>
            <w:rPr>
              <w:b/>
              <w:sz w:val="32"/>
            </w:rPr>
            <w:tab/>
          </w:r>
          <w:r w:rsidRPr="004D0D5A">
            <w:rPr>
              <w:b/>
              <w:sz w:val="16"/>
            </w:rPr>
            <w:t xml:space="preserve">Risiken aus indifferenten Geschäften / Verhaltensregeln </w:t>
          </w:r>
          <w:r>
            <w:rPr>
              <w:b/>
              <w:sz w:val="16"/>
            </w:rPr>
            <w:t>gegenüber Kunden</w:t>
          </w:r>
          <w:r w:rsidRPr="008E3C27">
            <w:rPr>
              <w:b/>
              <w:sz w:val="32"/>
              <w:szCs w:val="32"/>
            </w:rPr>
            <w:fldChar w:fldCharType="begin"/>
          </w:r>
          <w:r w:rsidRPr="00573E72">
            <w:rPr>
              <w:b/>
              <w:sz w:val="32"/>
              <w:szCs w:val="32"/>
            </w:rPr>
            <w:instrText xml:space="preserve"> IF "</w:instrText>
          </w:r>
          <w:r w:rsidRPr="008E3C27">
            <w:rPr>
              <w:b/>
              <w:sz w:val="32"/>
              <w:szCs w:val="32"/>
            </w:rPr>
            <w:fldChar w:fldCharType="begin"/>
          </w:r>
          <w:r w:rsidRPr="00573E72">
            <w:rPr>
              <w:b/>
              <w:sz w:val="32"/>
              <w:szCs w:val="32"/>
            </w:rPr>
            <w:instrText xml:space="preserve"> DOCPROPERTY "feld_vertraulich" </w:instrText>
          </w:r>
          <w:r w:rsidRPr="008E3C27">
            <w:rPr>
              <w:b/>
              <w:sz w:val="32"/>
              <w:szCs w:val="32"/>
            </w:rPr>
            <w:fldChar w:fldCharType="separate"/>
          </w:r>
          <w:r>
            <w:rPr>
              <w:bCs/>
              <w:sz w:val="32"/>
              <w:szCs w:val="32"/>
              <w:lang w:val="de-DE"/>
            </w:rPr>
            <w:instrText>Fehler! Unbekannter Name für Dokument-Eigenschaft.</w:instrText>
          </w:r>
          <w:r w:rsidRPr="008E3C27">
            <w:rPr>
              <w:b/>
              <w:bCs/>
              <w:sz w:val="32"/>
              <w:szCs w:val="32"/>
            </w:rPr>
            <w:fldChar w:fldCharType="end"/>
          </w:r>
          <w:r w:rsidRPr="00573E72">
            <w:rPr>
              <w:b/>
              <w:sz w:val="32"/>
              <w:szCs w:val="32"/>
            </w:rPr>
            <w:instrText xml:space="preserve">"="Ja" "VERTRAULICH" "" </w:instrText>
          </w:r>
          <w:r w:rsidRPr="008E3C27">
            <w:rPr>
              <w:b/>
              <w:sz w:val="32"/>
              <w:szCs w:val="32"/>
            </w:rPr>
            <w:fldChar w:fldCharType="end"/>
          </w:r>
        </w:p>
      </w:tc>
      <w:tc>
        <w:tcPr>
          <w:tcW w:w="7109" w:type="dxa"/>
        </w:tcPr>
        <w:p w14:paraId="3C30EB5D" w14:textId="77777777" w:rsidR="0022236A" w:rsidRPr="00573E72" w:rsidRDefault="0022236A" w:rsidP="00455E44">
          <w:r>
            <w:rPr>
              <w:noProof/>
              <w:lang w:bidi="ar-SA"/>
            </w:rPr>
            <w:drawing>
              <wp:anchor distT="0" distB="0" distL="114300" distR="114300" simplePos="0" relativeHeight="251657216" behindDoc="0" locked="0" layoutInCell="1" allowOverlap="1" wp14:anchorId="6A8CEB12" wp14:editId="6BDB83EB">
                <wp:simplePos x="0" y="0"/>
                <wp:positionH relativeFrom="column">
                  <wp:posOffset>478790</wp:posOffset>
                </wp:positionH>
                <wp:positionV relativeFrom="paragraph">
                  <wp:posOffset>288290</wp:posOffset>
                </wp:positionV>
                <wp:extent cx="1799590" cy="791845"/>
                <wp:effectExtent l="0" t="0" r="0" b="8255"/>
                <wp:wrapNone/>
                <wp:docPr id="11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14FE2CD" w14:textId="77777777" w:rsidR="0022236A" w:rsidRPr="00573E72" w:rsidRDefault="0022236A" w:rsidP="00110559">
    <w:pPr>
      <w:pStyle w:val="Kopfzeile"/>
      <w:spacing w:after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20E"/>
    <w:multiLevelType w:val="hybridMultilevel"/>
    <w:tmpl w:val="88C693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7116"/>
    <w:multiLevelType w:val="hybridMultilevel"/>
    <w:tmpl w:val="8162055C"/>
    <w:lvl w:ilvl="0" w:tplc="08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6FA25D5"/>
    <w:multiLevelType w:val="hybridMultilevel"/>
    <w:tmpl w:val="2376C3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6245C1D"/>
    <w:multiLevelType w:val="hybridMultilevel"/>
    <w:tmpl w:val="84BECC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92D4D"/>
    <w:multiLevelType w:val="hybridMultilevel"/>
    <w:tmpl w:val="4830F0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9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0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613BCF"/>
    <w:multiLevelType w:val="hybridMultilevel"/>
    <w:tmpl w:val="077C92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xml_1" w:val="&lt;?xml version=&quot;1.0&quot; encoding=&quot;utf-8&quot;?&gt;&lt;docugate ResetInterfaceCacheAfterDocCreation=&quot;false&quot; FreeDocumentSelection=&quot;true&quot; xmlns=&quot;http://www.docugate.com/2014/dgxml&quot;&gt;&lt;template doclanguage=&quot;Deutsch&quot; id=&quot;&quot; workflowdocumentid=&quot;f8ba1d52-560d-45fb-9901-1a5409497208&quot;&gt;&lt;docproperties&gt;&lt;saveaslocation&gt;https://org.finma.ch/sites/8010-T/Dossiers/Suitability/Neue Prüfprogramme Suitability&lt;/saveaslocation&gt;&lt;dossier_id&gt;8010-T-2-9515&lt;/dossier_id&gt;&lt;dossier_titel&gt;Suitability&lt;/dossier_titel&gt;&lt;dossier_aktenzeichen&gt;8010-T-2-9515 - 00 Allgemeines&lt;/dossier_aktenzeichen&gt;&lt;dossier_osp_nr&gt;00&lt;/dossier_osp_nr&gt;&lt;dossier_kategorie&gt;&lt;/dossier_kategorie&gt;&lt;geschaeft_id&gt;&lt;/geschaeft_id&gt;&lt;geschaeft_federfuehrende_oe&gt;M-GWS&lt;/geschaeft_federfuehrende_oe&gt;&lt;geschaeft_datum_eroeffnen&gt;&lt;/geschaeft_datum_eroeffnen&gt;&lt;aktionsname /&gt;&lt;aktionswert /&gt;&lt;addresses /&gt;&lt;/docproperties&gt;&lt;/template&gt;&lt;/docugate&gt;"/>
  </w:docVars>
  <w:rsids>
    <w:rsidRoot w:val="00DF574D"/>
    <w:rsid w:val="00001DEA"/>
    <w:rsid w:val="0001718E"/>
    <w:rsid w:val="00017F57"/>
    <w:rsid w:val="000239AE"/>
    <w:rsid w:val="00024D4C"/>
    <w:rsid w:val="000259BF"/>
    <w:rsid w:val="000339C7"/>
    <w:rsid w:val="00034B30"/>
    <w:rsid w:val="0003730B"/>
    <w:rsid w:val="00040135"/>
    <w:rsid w:val="00044074"/>
    <w:rsid w:val="00044974"/>
    <w:rsid w:val="0005143E"/>
    <w:rsid w:val="00054651"/>
    <w:rsid w:val="000550D5"/>
    <w:rsid w:val="000572FE"/>
    <w:rsid w:val="000632D8"/>
    <w:rsid w:val="00070974"/>
    <w:rsid w:val="00070A8C"/>
    <w:rsid w:val="00075CE8"/>
    <w:rsid w:val="00077666"/>
    <w:rsid w:val="000822DF"/>
    <w:rsid w:val="000837C2"/>
    <w:rsid w:val="000904A3"/>
    <w:rsid w:val="000916AF"/>
    <w:rsid w:val="00094E88"/>
    <w:rsid w:val="000A436A"/>
    <w:rsid w:val="000A4F31"/>
    <w:rsid w:val="000B4554"/>
    <w:rsid w:val="000B5284"/>
    <w:rsid w:val="000C2AE3"/>
    <w:rsid w:val="000C2E06"/>
    <w:rsid w:val="000C66F6"/>
    <w:rsid w:val="000D10F4"/>
    <w:rsid w:val="000D337E"/>
    <w:rsid w:val="000D6C35"/>
    <w:rsid w:val="000D7CB9"/>
    <w:rsid w:val="000E18F2"/>
    <w:rsid w:val="000E40E6"/>
    <w:rsid w:val="000E612D"/>
    <w:rsid w:val="000F453A"/>
    <w:rsid w:val="00102D94"/>
    <w:rsid w:val="00110559"/>
    <w:rsid w:val="00115168"/>
    <w:rsid w:val="00122506"/>
    <w:rsid w:val="0012587A"/>
    <w:rsid w:val="00133115"/>
    <w:rsid w:val="00133196"/>
    <w:rsid w:val="001339A4"/>
    <w:rsid w:val="0013549E"/>
    <w:rsid w:val="0014461A"/>
    <w:rsid w:val="001479FA"/>
    <w:rsid w:val="00150782"/>
    <w:rsid w:val="00150E8B"/>
    <w:rsid w:val="00164BF6"/>
    <w:rsid w:val="001656C2"/>
    <w:rsid w:val="0017124A"/>
    <w:rsid w:val="001749D6"/>
    <w:rsid w:val="00184666"/>
    <w:rsid w:val="001866C3"/>
    <w:rsid w:val="0018719C"/>
    <w:rsid w:val="00190D92"/>
    <w:rsid w:val="00191717"/>
    <w:rsid w:val="001A0D35"/>
    <w:rsid w:val="001A758E"/>
    <w:rsid w:val="001B0BA4"/>
    <w:rsid w:val="001B4054"/>
    <w:rsid w:val="001B76E5"/>
    <w:rsid w:val="001C1D62"/>
    <w:rsid w:val="001C25B1"/>
    <w:rsid w:val="001C2ADC"/>
    <w:rsid w:val="001C303F"/>
    <w:rsid w:val="001C5E3A"/>
    <w:rsid w:val="001D5782"/>
    <w:rsid w:val="001E5350"/>
    <w:rsid w:val="001E78B6"/>
    <w:rsid w:val="001F0E1C"/>
    <w:rsid w:val="001F2706"/>
    <w:rsid w:val="001F5F4A"/>
    <w:rsid w:val="001F6403"/>
    <w:rsid w:val="001F7678"/>
    <w:rsid w:val="002040C6"/>
    <w:rsid w:val="00204B23"/>
    <w:rsid w:val="002065DD"/>
    <w:rsid w:val="0021274A"/>
    <w:rsid w:val="00217AA6"/>
    <w:rsid w:val="00221F14"/>
    <w:rsid w:val="0022236A"/>
    <w:rsid w:val="00227E1A"/>
    <w:rsid w:val="00227FBC"/>
    <w:rsid w:val="002367F0"/>
    <w:rsid w:val="002436E4"/>
    <w:rsid w:val="00245584"/>
    <w:rsid w:val="00245CAC"/>
    <w:rsid w:val="00246290"/>
    <w:rsid w:val="002476AC"/>
    <w:rsid w:val="00256539"/>
    <w:rsid w:val="00256FE8"/>
    <w:rsid w:val="00264805"/>
    <w:rsid w:val="00265230"/>
    <w:rsid w:val="00272766"/>
    <w:rsid w:val="002762D3"/>
    <w:rsid w:val="00277A18"/>
    <w:rsid w:val="00282AA1"/>
    <w:rsid w:val="00283AA5"/>
    <w:rsid w:val="00284BA0"/>
    <w:rsid w:val="00284C59"/>
    <w:rsid w:val="002851F7"/>
    <w:rsid w:val="00286E08"/>
    <w:rsid w:val="00294A59"/>
    <w:rsid w:val="002963D8"/>
    <w:rsid w:val="0029670F"/>
    <w:rsid w:val="002A0835"/>
    <w:rsid w:val="002A48CF"/>
    <w:rsid w:val="002B0C66"/>
    <w:rsid w:val="002B137C"/>
    <w:rsid w:val="002B158A"/>
    <w:rsid w:val="002B20EB"/>
    <w:rsid w:val="002B490E"/>
    <w:rsid w:val="002B4D96"/>
    <w:rsid w:val="002B6C7D"/>
    <w:rsid w:val="002B7513"/>
    <w:rsid w:val="002C2B70"/>
    <w:rsid w:val="002C2BEB"/>
    <w:rsid w:val="002C5C51"/>
    <w:rsid w:val="002D5975"/>
    <w:rsid w:val="002E20C7"/>
    <w:rsid w:val="002E2B5D"/>
    <w:rsid w:val="002E4B22"/>
    <w:rsid w:val="002E6021"/>
    <w:rsid w:val="002E6B63"/>
    <w:rsid w:val="002E7DC8"/>
    <w:rsid w:val="002F1A39"/>
    <w:rsid w:val="002F60F9"/>
    <w:rsid w:val="002F639F"/>
    <w:rsid w:val="003051D1"/>
    <w:rsid w:val="003138FC"/>
    <w:rsid w:val="00316E19"/>
    <w:rsid w:val="00323761"/>
    <w:rsid w:val="00330C32"/>
    <w:rsid w:val="00334224"/>
    <w:rsid w:val="0033442E"/>
    <w:rsid w:val="003344A8"/>
    <w:rsid w:val="00336E1C"/>
    <w:rsid w:val="00346326"/>
    <w:rsid w:val="00346735"/>
    <w:rsid w:val="00355146"/>
    <w:rsid w:val="00363C7A"/>
    <w:rsid w:val="0037152B"/>
    <w:rsid w:val="00373E11"/>
    <w:rsid w:val="00383A52"/>
    <w:rsid w:val="00383C92"/>
    <w:rsid w:val="0039235E"/>
    <w:rsid w:val="00392743"/>
    <w:rsid w:val="003979F8"/>
    <w:rsid w:val="003A7B8B"/>
    <w:rsid w:val="003B057D"/>
    <w:rsid w:val="003B08C0"/>
    <w:rsid w:val="003B702C"/>
    <w:rsid w:val="003C07DB"/>
    <w:rsid w:val="003C4F72"/>
    <w:rsid w:val="003C79A3"/>
    <w:rsid w:val="003D247A"/>
    <w:rsid w:val="003D3866"/>
    <w:rsid w:val="003D4AA3"/>
    <w:rsid w:val="003D7D00"/>
    <w:rsid w:val="003E11DF"/>
    <w:rsid w:val="003E231A"/>
    <w:rsid w:val="003E3CDF"/>
    <w:rsid w:val="003E42CD"/>
    <w:rsid w:val="003E495A"/>
    <w:rsid w:val="003E51DE"/>
    <w:rsid w:val="003E5765"/>
    <w:rsid w:val="003E6DDE"/>
    <w:rsid w:val="003F0C61"/>
    <w:rsid w:val="003F2BD8"/>
    <w:rsid w:val="003F2D1A"/>
    <w:rsid w:val="003F6470"/>
    <w:rsid w:val="004040EA"/>
    <w:rsid w:val="004118FB"/>
    <w:rsid w:val="00413781"/>
    <w:rsid w:val="00413E4A"/>
    <w:rsid w:val="0041661A"/>
    <w:rsid w:val="004261E4"/>
    <w:rsid w:val="00433182"/>
    <w:rsid w:val="0043428C"/>
    <w:rsid w:val="00434D41"/>
    <w:rsid w:val="00434E66"/>
    <w:rsid w:val="00436730"/>
    <w:rsid w:val="00437412"/>
    <w:rsid w:val="00455E44"/>
    <w:rsid w:val="004576AD"/>
    <w:rsid w:val="004622A6"/>
    <w:rsid w:val="00463F41"/>
    <w:rsid w:val="004653AF"/>
    <w:rsid w:val="00467F27"/>
    <w:rsid w:val="00481503"/>
    <w:rsid w:val="00483662"/>
    <w:rsid w:val="00484767"/>
    <w:rsid w:val="00486E38"/>
    <w:rsid w:val="00490FFE"/>
    <w:rsid w:val="00496E97"/>
    <w:rsid w:val="004A246D"/>
    <w:rsid w:val="004A59C6"/>
    <w:rsid w:val="004A5CA4"/>
    <w:rsid w:val="004A6911"/>
    <w:rsid w:val="004A6E1E"/>
    <w:rsid w:val="004A7D92"/>
    <w:rsid w:val="004B2A5D"/>
    <w:rsid w:val="004B474C"/>
    <w:rsid w:val="004B4941"/>
    <w:rsid w:val="004D0D5A"/>
    <w:rsid w:val="004E0524"/>
    <w:rsid w:val="004E0892"/>
    <w:rsid w:val="004E1F00"/>
    <w:rsid w:val="004E607E"/>
    <w:rsid w:val="004F096C"/>
    <w:rsid w:val="004F0AAC"/>
    <w:rsid w:val="004F21F9"/>
    <w:rsid w:val="004F3803"/>
    <w:rsid w:val="00506263"/>
    <w:rsid w:val="005129AF"/>
    <w:rsid w:val="005222A0"/>
    <w:rsid w:val="00522989"/>
    <w:rsid w:val="00522BD0"/>
    <w:rsid w:val="00524470"/>
    <w:rsid w:val="005270D9"/>
    <w:rsid w:val="0053429C"/>
    <w:rsid w:val="00541485"/>
    <w:rsid w:val="005537F5"/>
    <w:rsid w:val="005540EA"/>
    <w:rsid w:val="00554E71"/>
    <w:rsid w:val="00560231"/>
    <w:rsid w:val="00562E3C"/>
    <w:rsid w:val="00564295"/>
    <w:rsid w:val="00573E72"/>
    <w:rsid w:val="005757B5"/>
    <w:rsid w:val="00577C59"/>
    <w:rsid w:val="00580090"/>
    <w:rsid w:val="00591E6F"/>
    <w:rsid w:val="0059311E"/>
    <w:rsid w:val="00593545"/>
    <w:rsid w:val="005A3A3C"/>
    <w:rsid w:val="005A7056"/>
    <w:rsid w:val="005B16DF"/>
    <w:rsid w:val="005C2899"/>
    <w:rsid w:val="005C4B62"/>
    <w:rsid w:val="005D1996"/>
    <w:rsid w:val="005D5B0E"/>
    <w:rsid w:val="005D6250"/>
    <w:rsid w:val="005D6470"/>
    <w:rsid w:val="005D6615"/>
    <w:rsid w:val="005D6D65"/>
    <w:rsid w:val="005E54C6"/>
    <w:rsid w:val="005E5E1B"/>
    <w:rsid w:val="005E60B5"/>
    <w:rsid w:val="005E7938"/>
    <w:rsid w:val="00611174"/>
    <w:rsid w:val="00612AA8"/>
    <w:rsid w:val="00612B14"/>
    <w:rsid w:val="006134BA"/>
    <w:rsid w:val="0061402B"/>
    <w:rsid w:val="00615BBC"/>
    <w:rsid w:val="00620145"/>
    <w:rsid w:val="00623792"/>
    <w:rsid w:val="0063696E"/>
    <w:rsid w:val="00636CEE"/>
    <w:rsid w:val="006424F7"/>
    <w:rsid w:val="00642686"/>
    <w:rsid w:val="0064776F"/>
    <w:rsid w:val="00650307"/>
    <w:rsid w:val="00663F13"/>
    <w:rsid w:val="00666DEC"/>
    <w:rsid w:val="00666F54"/>
    <w:rsid w:val="0067305E"/>
    <w:rsid w:val="0067414F"/>
    <w:rsid w:val="00674B76"/>
    <w:rsid w:val="00677627"/>
    <w:rsid w:val="00680FFB"/>
    <w:rsid w:val="00681A03"/>
    <w:rsid w:val="0068364B"/>
    <w:rsid w:val="00690971"/>
    <w:rsid w:val="006912A5"/>
    <w:rsid w:val="0069568B"/>
    <w:rsid w:val="0069682B"/>
    <w:rsid w:val="006B79C7"/>
    <w:rsid w:val="006C1E9A"/>
    <w:rsid w:val="006C47E6"/>
    <w:rsid w:val="006D2EED"/>
    <w:rsid w:val="006D48F2"/>
    <w:rsid w:val="006D6960"/>
    <w:rsid w:val="006D7DF4"/>
    <w:rsid w:val="006E437D"/>
    <w:rsid w:val="00704500"/>
    <w:rsid w:val="00704539"/>
    <w:rsid w:val="00705771"/>
    <w:rsid w:val="00713930"/>
    <w:rsid w:val="007143F3"/>
    <w:rsid w:val="00717ED2"/>
    <w:rsid w:val="00717FD6"/>
    <w:rsid w:val="00726258"/>
    <w:rsid w:val="00726BF6"/>
    <w:rsid w:val="00734124"/>
    <w:rsid w:val="00735F1E"/>
    <w:rsid w:val="00737AE2"/>
    <w:rsid w:val="007429E2"/>
    <w:rsid w:val="00743E6C"/>
    <w:rsid w:val="00746B4B"/>
    <w:rsid w:val="00753103"/>
    <w:rsid w:val="0075484F"/>
    <w:rsid w:val="0075675D"/>
    <w:rsid w:val="007616DB"/>
    <w:rsid w:val="00770DD1"/>
    <w:rsid w:val="00776A5D"/>
    <w:rsid w:val="0078347C"/>
    <w:rsid w:val="00786106"/>
    <w:rsid w:val="00790275"/>
    <w:rsid w:val="00790BF8"/>
    <w:rsid w:val="00792048"/>
    <w:rsid w:val="00793A68"/>
    <w:rsid w:val="007959C0"/>
    <w:rsid w:val="0079791A"/>
    <w:rsid w:val="007A1A6D"/>
    <w:rsid w:val="007B381C"/>
    <w:rsid w:val="007C2A10"/>
    <w:rsid w:val="007D125C"/>
    <w:rsid w:val="007D2BE4"/>
    <w:rsid w:val="007E3639"/>
    <w:rsid w:val="007E6551"/>
    <w:rsid w:val="007E67C6"/>
    <w:rsid w:val="007E7EB8"/>
    <w:rsid w:val="007F2827"/>
    <w:rsid w:val="007F3A3E"/>
    <w:rsid w:val="007F726C"/>
    <w:rsid w:val="0080672E"/>
    <w:rsid w:val="008072FC"/>
    <w:rsid w:val="00811A09"/>
    <w:rsid w:val="00812FC1"/>
    <w:rsid w:val="0081331F"/>
    <w:rsid w:val="008134A1"/>
    <w:rsid w:val="00814B7E"/>
    <w:rsid w:val="00816E00"/>
    <w:rsid w:val="00821DC3"/>
    <w:rsid w:val="00822FD8"/>
    <w:rsid w:val="00823401"/>
    <w:rsid w:val="00833A93"/>
    <w:rsid w:val="008340E6"/>
    <w:rsid w:val="00837421"/>
    <w:rsid w:val="008407CC"/>
    <w:rsid w:val="00841CE7"/>
    <w:rsid w:val="00845A33"/>
    <w:rsid w:val="00850A5C"/>
    <w:rsid w:val="008513BA"/>
    <w:rsid w:val="0085236A"/>
    <w:rsid w:val="00852539"/>
    <w:rsid w:val="00853200"/>
    <w:rsid w:val="008532AA"/>
    <w:rsid w:val="00855E9A"/>
    <w:rsid w:val="008620D4"/>
    <w:rsid w:val="00865782"/>
    <w:rsid w:val="0086701C"/>
    <w:rsid w:val="0086720C"/>
    <w:rsid w:val="008727E7"/>
    <w:rsid w:val="00880A2C"/>
    <w:rsid w:val="00890536"/>
    <w:rsid w:val="00890BCB"/>
    <w:rsid w:val="00891D70"/>
    <w:rsid w:val="008929EC"/>
    <w:rsid w:val="008964A8"/>
    <w:rsid w:val="008A56DC"/>
    <w:rsid w:val="008B79A3"/>
    <w:rsid w:val="008B7C0C"/>
    <w:rsid w:val="008D051F"/>
    <w:rsid w:val="008D1152"/>
    <w:rsid w:val="008D5F59"/>
    <w:rsid w:val="008D7B74"/>
    <w:rsid w:val="008E1FE5"/>
    <w:rsid w:val="008E3C27"/>
    <w:rsid w:val="0090503F"/>
    <w:rsid w:val="009127DB"/>
    <w:rsid w:val="009218DD"/>
    <w:rsid w:val="0093350E"/>
    <w:rsid w:val="00947854"/>
    <w:rsid w:val="0095032D"/>
    <w:rsid w:val="0095322B"/>
    <w:rsid w:val="009549EA"/>
    <w:rsid w:val="00962CA4"/>
    <w:rsid w:val="009656FF"/>
    <w:rsid w:val="00966ABD"/>
    <w:rsid w:val="00967560"/>
    <w:rsid w:val="0097124B"/>
    <w:rsid w:val="00973CB9"/>
    <w:rsid w:val="00974C5A"/>
    <w:rsid w:val="00975547"/>
    <w:rsid w:val="0097764B"/>
    <w:rsid w:val="0098479B"/>
    <w:rsid w:val="00986438"/>
    <w:rsid w:val="009867E7"/>
    <w:rsid w:val="009922AF"/>
    <w:rsid w:val="00993462"/>
    <w:rsid w:val="00995791"/>
    <w:rsid w:val="00995A1B"/>
    <w:rsid w:val="0099609A"/>
    <w:rsid w:val="009A248F"/>
    <w:rsid w:val="009B2B93"/>
    <w:rsid w:val="009C1700"/>
    <w:rsid w:val="009C519A"/>
    <w:rsid w:val="009C56B6"/>
    <w:rsid w:val="009C7C30"/>
    <w:rsid w:val="009D04F8"/>
    <w:rsid w:val="009F5D32"/>
    <w:rsid w:val="009F7A84"/>
    <w:rsid w:val="00A00EE2"/>
    <w:rsid w:val="00A05608"/>
    <w:rsid w:val="00A31916"/>
    <w:rsid w:val="00A359AF"/>
    <w:rsid w:val="00A402A1"/>
    <w:rsid w:val="00A42E51"/>
    <w:rsid w:val="00A45466"/>
    <w:rsid w:val="00A4656F"/>
    <w:rsid w:val="00A57519"/>
    <w:rsid w:val="00A61F4F"/>
    <w:rsid w:val="00A67C00"/>
    <w:rsid w:val="00A739E8"/>
    <w:rsid w:val="00A75767"/>
    <w:rsid w:val="00A81D10"/>
    <w:rsid w:val="00A92D7B"/>
    <w:rsid w:val="00AA3ABA"/>
    <w:rsid w:val="00AA41EC"/>
    <w:rsid w:val="00AA710D"/>
    <w:rsid w:val="00AB3066"/>
    <w:rsid w:val="00AB4C14"/>
    <w:rsid w:val="00AB7B8E"/>
    <w:rsid w:val="00AC4CA5"/>
    <w:rsid w:val="00AD0A33"/>
    <w:rsid w:val="00AD0E41"/>
    <w:rsid w:val="00AD31A1"/>
    <w:rsid w:val="00AD76C4"/>
    <w:rsid w:val="00AE3F6D"/>
    <w:rsid w:val="00AE5E7B"/>
    <w:rsid w:val="00AE64CF"/>
    <w:rsid w:val="00AF10E0"/>
    <w:rsid w:val="00AF4AB1"/>
    <w:rsid w:val="00AF4DE5"/>
    <w:rsid w:val="00AF6669"/>
    <w:rsid w:val="00AF75B9"/>
    <w:rsid w:val="00B14593"/>
    <w:rsid w:val="00B2083D"/>
    <w:rsid w:val="00B25686"/>
    <w:rsid w:val="00B307D3"/>
    <w:rsid w:val="00B32F56"/>
    <w:rsid w:val="00B33285"/>
    <w:rsid w:val="00B36C2C"/>
    <w:rsid w:val="00B406E3"/>
    <w:rsid w:val="00B458A4"/>
    <w:rsid w:val="00B46308"/>
    <w:rsid w:val="00B5655D"/>
    <w:rsid w:val="00B63F71"/>
    <w:rsid w:val="00B648BC"/>
    <w:rsid w:val="00B70245"/>
    <w:rsid w:val="00B70738"/>
    <w:rsid w:val="00B8153D"/>
    <w:rsid w:val="00B820E5"/>
    <w:rsid w:val="00B82809"/>
    <w:rsid w:val="00B87DE8"/>
    <w:rsid w:val="00B87DEA"/>
    <w:rsid w:val="00B935D8"/>
    <w:rsid w:val="00B93868"/>
    <w:rsid w:val="00B97FC6"/>
    <w:rsid w:val="00BA17F9"/>
    <w:rsid w:val="00BA1EE6"/>
    <w:rsid w:val="00BA7339"/>
    <w:rsid w:val="00BB402D"/>
    <w:rsid w:val="00BB4DD3"/>
    <w:rsid w:val="00BB6FAF"/>
    <w:rsid w:val="00BB73D3"/>
    <w:rsid w:val="00BB7A46"/>
    <w:rsid w:val="00BC1A89"/>
    <w:rsid w:val="00BE1352"/>
    <w:rsid w:val="00BE1601"/>
    <w:rsid w:val="00BE3929"/>
    <w:rsid w:val="00BE6BDC"/>
    <w:rsid w:val="00BF426A"/>
    <w:rsid w:val="00C008CD"/>
    <w:rsid w:val="00C027CB"/>
    <w:rsid w:val="00C03B9A"/>
    <w:rsid w:val="00C109AC"/>
    <w:rsid w:val="00C11981"/>
    <w:rsid w:val="00C20F8B"/>
    <w:rsid w:val="00C24659"/>
    <w:rsid w:val="00C24948"/>
    <w:rsid w:val="00C255A3"/>
    <w:rsid w:val="00C31DE1"/>
    <w:rsid w:val="00C405EB"/>
    <w:rsid w:val="00C40E27"/>
    <w:rsid w:val="00C42F0E"/>
    <w:rsid w:val="00C47F27"/>
    <w:rsid w:val="00C50442"/>
    <w:rsid w:val="00C56743"/>
    <w:rsid w:val="00C5701C"/>
    <w:rsid w:val="00C57E63"/>
    <w:rsid w:val="00C61276"/>
    <w:rsid w:val="00C61B2F"/>
    <w:rsid w:val="00C63247"/>
    <w:rsid w:val="00C67FD9"/>
    <w:rsid w:val="00C70711"/>
    <w:rsid w:val="00C713F2"/>
    <w:rsid w:val="00C7261D"/>
    <w:rsid w:val="00C76617"/>
    <w:rsid w:val="00C82116"/>
    <w:rsid w:val="00C82807"/>
    <w:rsid w:val="00C82B35"/>
    <w:rsid w:val="00C87DC0"/>
    <w:rsid w:val="00C96F8D"/>
    <w:rsid w:val="00C97F05"/>
    <w:rsid w:val="00CA3978"/>
    <w:rsid w:val="00CA4DC9"/>
    <w:rsid w:val="00CA6C7F"/>
    <w:rsid w:val="00CB31CE"/>
    <w:rsid w:val="00CB371C"/>
    <w:rsid w:val="00CB49B0"/>
    <w:rsid w:val="00CB514C"/>
    <w:rsid w:val="00CC1787"/>
    <w:rsid w:val="00CC3C9E"/>
    <w:rsid w:val="00CC3EC5"/>
    <w:rsid w:val="00CC3F01"/>
    <w:rsid w:val="00CC4905"/>
    <w:rsid w:val="00CD2D3D"/>
    <w:rsid w:val="00CD54EF"/>
    <w:rsid w:val="00CD55EB"/>
    <w:rsid w:val="00CD6272"/>
    <w:rsid w:val="00CE1FE0"/>
    <w:rsid w:val="00CE31DA"/>
    <w:rsid w:val="00CE4AC6"/>
    <w:rsid w:val="00CE6751"/>
    <w:rsid w:val="00CF1AE6"/>
    <w:rsid w:val="00CF6C27"/>
    <w:rsid w:val="00CF7726"/>
    <w:rsid w:val="00D07317"/>
    <w:rsid w:val="00D33C9A"/>
    <w:rsid w:val="00D35EE7"/>
    <w:rsid w:val="00D373FA"/>
    <w:rsid w:val="00D40DE0"/>
    <w:rsid w:val="00D464C3"/>
    <w:rsid w:val="00D46B6D"/>
    <w:rsid w:val="00D46F00"/>
    <w:rsid w:val="00D61E2D"/>
    <w:rsid w:val="00D64927"/>
    <w:rsid w:val="00D720D7"/>
    <w:rsid w:val="00D774F0"/>
    <w:rsid w:val="00D81961"/>
    <w:rsid w:val="00D87DBC"/>
    <w:rsid w:val="00D91816"/>
    <w:rsid w:val="00D91DB5"/>
    <w:rsid w:val="00D923FD"/>
    <w:rsid w:val="00D93D06"/>
    <w:rsid w:val="00DA53FB"/>
    <w:rsid w:val="00DA7AEF"/>
    <w:rsid w:val="00DB6CD6"/>
    <w:rsid w:val="00DB75A0"/>
    <w:rsid w:val="00DC2149"/>
    <w:rsid w:val="00DD2F77"/>
    <w:rsid w:val="00DD7EA1"/>
    <w:rsid w:val="00DF0C3B"/>
    <w:rsid w:val="00DF37EB"/>
    <w:rsid w:val="00DF495F"/>
    <w:rsid w:val="00DF574D"/>
    <w:rsid w:val="00E012B3"/>
    <w:rsid w:val="00E0267C"/>
    <w:rsid w:val="00E06332"/>
    <w:rsid w:val="00E159AC"/>
    <w:rsid w:val="00E17F64"/>
    <w:rsid w:val="00E2573D"/>
    <w:rsid w:val="00E34E0D"/>
    <w:rsid w:val="00E41223"/>
    <w:rsid w:val="00E41B7A"/>
    <w:rsid w:val="00E578EB"/>
    <w:rsid w:val="00E57A42"/>
    <w:rsid w:val="00E6438C"/>
    <w:rsid w:val="00E64FFD"/>
    <w:rsid w:val="00E71FC5"/>
    <w:rsid w:val="00E76066"/>
    <w:rsid w:val="00E77764"/>
    <w:rsid w:val="00E86E5D"/>
    <w:rsid w:val="00E870F8"/>
    <w:rsid w:val="00E924DA"/>
    <w:rsid w:val="00EA45B0"/>
    <w:rsid w:val="00EB2F65"/>
    <w:rsid w:val="00EC6C49"/>
    <w:rsid w:val="00ED79E4"/>
    <w:rsid w:val="00ED7C06"/>
    <w:rsid w:val="00EE21E1"/>
    <w:rsid w:val="00EE2C1F"/>
    <w:rsid w:val="00EE4B19"/>
    <w:rsid w:val="00EF4C7D"/>
    <w:rsid w:val="00EF73D2"/>
    <w:rsid w:val="00F018A5"/>
    <w:rsid w:val="00F03866"/>
    <w:rsid w:val="00F05C8A"/>
    <w:rsid w:val="00F0628B"/>
    <w:rsid w:val="00F0725C"/>
    <w:rsid w:val="00F2222B"/>
    <w:rsid w:val="00F24906"/>
    <w:rsid w:val="00F26AA3"/>
    <w:rsid w:val="00F27598"/>
    <w:rsid w:val="00F31890"/>
    <w:rsid w:val="00F32C28"/>
    <w:rsid w:val="00F3344A"/>
    <w:rsid w:val="00F37A04"/>
    <w:rsid w:val="00F444DA"/>
    <w:rsid w:val="00F56F44"/>
    <w:rsid w:val="00F57241"/>
    <w:rsid w:val="00F655EE"/>
    <w:rsid w:val="00F7199A"/>
    <w:rsid w:val="00F72DD4"/>
    <w:rsid w:val="00F73EFE"/>
    <w:rsid w:val="00F75CB4"/>
    <w:rsid w:val="00F76057"/>
    <w:rsid w:val="00F768F1"/>
    <w:rsid w:val="00F905EB"/>
    <w:rsid w:val="00F954F7"/>
    <w:rsid w:val="00F962D8"/>
    <w:rsid w:val="00F968B0"/>
    <w:rsid w:val="00F9773B"/>
    <w:rsid w:val="00FA142A"/>
    <w:rsid w:val="00FB12A7"/>
    <w:rsid w:val="00FB1AAC"/>
    <w:rsid w:val="00FB4118"/>
    <w:rsid w:val="00FC26D9"/>
    <w:rsid w:val="00FC2C37"/>
    <w:rsid w:val="00FC34F9"/>
    <w:rsid w:val="00FC59FA"/>
    <w:rsid w:val="00FD1B6A"/>
    <w:rsid w:val="00FD7B4C"/>
    <w:rsid w:val="00FE3758"/>
    <w:rsid w:val="00FE522D"/>
    <w:rsid w:val="00FE6301"/>
    <w:rsid w:val="00FF016B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880B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NMA Standard"/>
    <w:rsid w:val="00316E19"/>
    <w:pPr>
      <w:spacing w:line="260" w:lineRule="atLeast"/>
    </w:pPr>
    <w:rPr>
      <w:rFonts w:ascii="Arial" w:hAnsi="Arial"/>
      <w:lang w:bidi="de-CH"/>
    </w:rPr>
  </w:style>
  <w:style w:type="paragraph" w:styleId="berschrift1">
    <w:name w:val="heading 1"/>
    <w:aliases w:val="FINMA Überschrift 1"/>
    <w:basedOn w:val="Standard"/>
    <w:next w:val="Standard"/>
    <w:qFormat/>
    <w:rsid w:val="00D87DBC"/>
    <w:pPr>
      <w:keepNext/>
      <w:numPr>
        <w:numId w:val="6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Standard"/>
    <w:qFormat/>
    <w:rsid w:val="00D87DBC"/>
    <w:pPr>
      <w:keepNext/>
      <w:numPr>
        <w:ilvl w:val="1"/>
        <w:numId w:val="6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Standard"/>
    <w:qFormat/>
    <w:rsid w:val="00D87DBC"/>
    <w:pPr>
      <w:keepNext/>
      <w:numPr>
        <w:ilvl w:val="2"/>
        <w:numId w:val="6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Standard"/>
    <w:qFormat/>
    <w:rsid w:val="00D87DBC"/>
    <w:pPr>
      <w:keepNext/>
      <w:numPr>
        <w:ilvl w:val="3"/>
        <w:numId w:val="6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Standard"/>
    <w:qFormat/>
    <w:rsid w:val="00D87DBC"/>
    <w:pPr>
      <w:numPr>
        <w:ilvl w:val="4"/>
        <w:numId w:val="6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Standard"/>
    <w:qFormat/>
    <w:rsid w:val="00D87DBC"/>
    <w:pPr>
      <w:numPr>
        <w:ilvl w:val="5"/>
        <w:numId w:val="6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Standard"/>
    <w:qFormat/>
    <w:rsid w:val="00D87DBC"/>
    <w:pPr>
      <w:numPr>
        <w:ilvl w:val="6"/>
        <w:numId w:val="6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Standard"/>
    <w:qFormat/>
    <w:rsid w:val="00D87DBC"/>
    <w:pPr>
      <w:numPr>
        <w:ilvl w:val="7"/>
        <w:numId w:val="6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Standard"/>
    <w:qFormat/>
    <w:rsid w:val="00D87DBC"/>
    <w:pPr>
      <w:numPr>
        <w:ilvl w:val="8"/>
        <w:numId w:val="6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aliases w:val="FINMA Anrede"/>
    <w:basedOn w:val="Standard"/>
    <w:next w:val="Standard"/>
    <w:link w:val="AnredeZchn"/>
    <w:rsid w:val="00D87DBC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link w:val="Anrede"/>
    <w:rsid w:val="00D87DBC"/>
    <w:rPr>
      <w:rFonts w:ascii="Arial" w:hAnsi="Arial"/>
      <w:noProof/>
      <w:lang w:eastAsia="de-CH"/>
    </w:rPr>
  </w:style>
  <w:style w:type="paragraph" w:customStyle="1" w:styleId="FINMAAufzhlungEbene1">
    <w:name w:val="FINMA Aufzählung Ebene 1"/>
    <w:basedOn w:val="Standard"/>
    <w:qFormat/>
    <w:rsid w:val="00483662"/>
    <w:pPr>
      <w:numPr>
        <w:numId w:val="1"/>
      </w:numPr>
      <w:spacing w:after="80"/>
    </w:pPr>
  </w:style>
  <w:style w:type="paragraph" w:customStyle="1" w:styleId="FINMAAufzhlungEbene2">
    <w:name w:val="FINMA Aufzählung Ebene 2"/>
    <w:basedOn w:val="Standard"/>
    <w:qFormat/>
    <w:rsid w:val="00483662"/>
    <w:pPr>
      <w:numPr>
        <w:numId w:val="2"/>
      </w:numPr>
      <w:tabs>
        <w:tab w:val="left" w:pos="312"/>
      </w:tabs>
      <w:spacing w:after="80"/>
      <w:ind w:left="765" w:hanging="357"/>
    </w:pPr>
  </w:style>
  <w:style w:type="paragraph" w:customStyle="1" w:styleId="FINMAAufzhlungEbene3">
    <w:name w:val="FINMA Aufzählung Ebene 3"/>
    <w:basedOn w:val="Standard"/>
    <w:qFormat/>
    <w:rsid w:val="00483662"/>
    <w:pPr>
      <w:numPr>
        <w:numId w:val="3"/>
      </w:numPr>
      <w:tabs>
        <w:tab w:val="left" w:pos="1038"/>
      </w:tabs>
      <w:spacing w:after="80"/>
      <w:ind w:left="1077" w:hanging="357"/>
    </w:pPr>
  </w:style>
  <w:style w:type="paragraph" w:customStyle="1" w:styleId="FINMAAufzhlungEbene4">
    <w:name w:val="FINMA Aufzählung Ebene 4"/>
    <w:basedOn w:val="FINMAAufzhlungEbene3"/>
    <w:rsid w:val="003051D1"/>
    <w:pPr>
      <w:numPr>
        <w:numId w:val="4"/>
      </w:numPr>
      <w:tabs>
        <w:tab w:val="clear" w:pos="1038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D87DBC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D87DBC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483662"/>
    <w:pPr>
      <w:spacing w:before="260" w:after="260"/>
    </w:pPr>
  </w:style>
  <w:style w:type="paragraph" w:customStyle="1" w:styleId="FINMAGeheim">
    <w:name w:val="FINMA Geheim"/>
    <w:basedOn w:val="FINMAStandardAbsatz"/>
    <w:next w:val="FINMAStandardAbsatz"/>
    <w:rsid w:val="00D87DBC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483662"/>
    <w:pPr>
      <w:numPr>
        <w:numId w:val="5"/>
      </w:numPr>
      <w:spacing w:after="80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483662"/>
    <w:pPr>
      <w:numPr>
        <w:ilvl w:val="1"/>
        <w:numId w:val="5"/>
      </w:numPr>
      <w:spacing w:after="80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483662"/>
    <w:pPr>
      <w:numPr>
        <w:ilvl w:val="2"/>
        <w:numId w:val="5"/>
      </w:numPr>
      <w:spacing w:after="80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483662"/>
    <w:pPr>
      <w:numPr>
        <w:ilvl w:val="3"/>
        <w:numId w:val="5"/>
      </w:numPr>
      <w:spacing w:after="80"/>
    </w:pPr>
    <w:rPr>
      <w:rFonts w:cs="Arial"/>
      <w:szCs w:val="22"/>
    </w:rPr>
  </w:style>
  <w:style w:type="paragraph" w:customStyle="1" w:styleId="FINMAGrussformelFINMA">
    <w:name w:val="FINMA Grussformel FINMA"/>
    <w:basedOn w:val="Standard"/>
    <w:next w:val="FINMABeilagen"/>
    <w:rsid w:val="00D87DBC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D87DBC"/>
    <w:pPr>
      <w:tabs>
        <w:tab w:val="left" w:pos="1260"/>
      </w:tabs>
      <w:spacing w:after="0"/>
      <w:ind w:left="1259" w:hanging="1259"/>
    </w:pPr>
  </w:style>
  <w:style w:type="paragraph" w:customStyle="1" w:styleId="FINMANameundFunktion">
    <w:name w:val="FINMA Name und Funktion"/>
    <w:basedOn w:val="Standard"/>
    <w:rsid w:val="00D87DBC"/>
  </w:style>
  <w:style w:type="paragraph" w:customStyle="1" w:styleId="FINMAReferenuValue">
    <w:name w:val="FINMA ReferenuValue"/>
    <w:basedOn w:val="Standard"/>
    <w:rsid w:val="00D87DBC"/>
    <w:rPr>
      <w:sz w:val="16"/>
    </w:rPr>
  </w:style>
  <w:style w:type="paragraph" w:customStyle="1" w:styleId="FINMAReferenz">
    <w:name w:val="FINMA Referenz"/>
    <w:basedOn w:val="Standard"/>
    <w:rsid w:val="00D87DBC"/>
    <w:pPr>
      <w:framePr w:w="9171" w:h="1654" w:hSpace="142" w:wrap="around" w:vAnchor="text" w:hAnchor="page" w:x="1730" w:y="3034" w:anchorLock="1"/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D87DBC"/>
    <w:pPr>
      <w:framePr w:wrap="around"/>
    </w:pPr>
  </w:style>
  <w:style w:type="character" w:customStyle="1" w:styleId="FINMARf-AktnrZchn">
    <w:name w:val="FINMA Rf-Akt.nr. Zchn"/>
    <w:rsid w:val="00D87DBC"/>
    <w:rPr>
      <w:rFonts w:ascii="Arial" w:hAnsi="Arial"/>
      <w:sz w:val="16"/>
      <w:szCs w:val="16"/>
      <w:lang w:val="de-CH" w:eastAsia="de-CH" w:bidi="de-CH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D87DBC"/>
  </w:style>
  <w:style w:type="paragraph" w:customStyle="1" w:styleId="FINMATabellemitAufzzeichen">
    <w:name w:val="FINMA Tabelle mit Aufz.zeichen"/>
    <w:basedOn w:val="Standard"/>
    <w:rsid w:val="00D87DBC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D87DBC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D87DBC"/>
    <w:pPr>
      <w:spacing w:before="60" w:after="60"/>
    </w:pPr>
    <w:rPr>
      <w:b/>
      <w:bCs/>
      <w:szCs w:val="24"/>
    </w:rPr>
  </w:style>
  <w:style w:type="paragraph" w:customStyle="1" w:styleId="FINMATitel">
    <w:name w:val="FINMA Titel"/>
    <w:basedOn w:val="FINMAStandardAbsatz"/>
    <w:rsid w:val="001749D6"/>
    <w:rPr>
      <w:sz w:val="40"/>
    </w:rPr>
  </w:style>
  <w:style w:type="paragraph" w:customStyle="1" w:styleId="FINMAUntertitel">
    <w:name w:val="FINMA Untertitel"/>
    <w:basedOn w:val="Anrede"/>
    <w:rsid w:val="003E231A"/>
    <w:rPr>
      <w:sz w:val="36"/>
    </w:rPr>
  </w:style>
  <w:style w:type="paragraph" w:customStyle="1" w:styleId="FINMAVertraulichkeitsvermerk">
    <w:name w:val="FINMA Vertraulichkeitsvermerk"/>
    <w:basedOn w:val="Standard"/>
    <w:qFormat/>
    <w:rsid w:val="00D87DBC"/>
    <w:rPr>
      <w:b/>
      <w:sz w:val="16"/>
    </w:rPr>
  </w:style>
  <w:style w:type="paragraph" w:styleId="Fuzeile">
    <w:name w:val="footer"/>
    <w:aliases w:val="FINMA Fußzeile"/>
    <w:basedOn w:val="Standard"/>
    <w:link w:val="FuzeileZchn"/>
    <w:rsid w:val="00D87DBC"/>
    <w:pPr>
      <w:tabs>
        <w:tab w:val="right" w:pos="8618"/>
      </w:tabs>
    </w:pPr>
    <w:rPr>
      <w:sz w:val="16"/>
    </w:rPr>
  </w:style>
  <w:style w:type="character" w:customStyle="1" w:styleId="FuzeileZchn">
    <w:name w:val="Fußzeile Zchn"/>
    <w:aliases w:val="FINMA Fußzeile Zchn"/>
    <w:link w:val="Fuzeile"/>
    <w:rsid w:val="00D87DBC"/>
    <w:rPr>
      <w:rFonts w:ascii="Arial" w:hAnsi="Arial"/>
      <w:sz w:val="16"/>
      <w:lang w:eastAsia="de-CH"/>
    </w:rPr>
  </w:style>
  <w:style w:type="paragraph" w:styleId="Kopfzeile">
    <w:name w:val="header"/>
    <w:aliases w:val="FINMA Kopfzeile"/>
    <w:basedOn w:val="Standard"/>
    <w:link w:val="KopfzeileZchn"/>
    <w:uiPriority w:val="99"/>
    <w:rsid w:val="00D87D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link w:val="Kopfzeile"/>
    <w:uiPriority w:val="99"/>
    <w:rsid w:val="00D87DBC"/>
    <w:rPr>
      <w:rFonts w:ascii="Arial" w:hAnsi="Arial"/>
      <w:sz w:val="22"/>
      <w:lang w:eastAsia="de-CH"/>
    </w:rPr>
  </w:style>
  <w:style w:type="paragraph" w:styleId="Verzeichnis1">
    <w:name w:val="toc 1"/>
    <w:basedOn w:val="Standard"/>
    <w:next w:val="Standard"/>
    <w:autoRedefine/>
    <w:rsid w:val="00D87DBC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</w:rPr>
  </w:style>
  <w:style w:type="paragraph" w:styleId="Verzeichnis2">
    <w:name w:val="toc 2"/>
    <w:basedOn w:val="Standard"/>
    <w:next w:val="FINMAStandardAbsatz"/>
    <w:autoRedefine/>
    <w:rsid w:val="00D87DBC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</w:rPr>
  </w:style>
  <w:style w:type="paragraph" w:styleId="Verzeichnis3">
    <w:name w:val="toc 3"/>
    <w:basedOn w:val="Standard"/>
    <w:next w:val="FINMAStandardAbsatz"/>
    <w:autoRedefine/>
    <w:rsid w:val="00D87DBC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</w:rPr>
  </w:style>
  <w:style w:type="paragraph" w:styleId="Verzeichnis4">
    <w:name w:val="toc 4"/>
    <w:basedOn w:val="Standard"/>
    <w:next w:val="FINMAStandardAbsatz"/>
    <w:autoRedefine/>
    <w:rsid w:val="00D87DBC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</w:rPr>
  </w:style>
  <w:style w:type="paragraph" w:styleId="Verzeichnis5">
    <w:name w:val="toc 5"/>
    <w:basedOn w:val="Standard"/>
    <w:next w:val="FINMAStandardAbsatz"/>
    <w:autoRedefine/>
    <w:rsid w:val="00D87DBC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rsid w:val="00D87DBC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rsid w:val="00D87DBC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rsid w:val="00D87DBC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rsid w:val="00D87DBC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GliederungEbene5">
    <w:name w:val="FINMA Gliederung Ebene 5"/>
    <w:basedOn w:val="Standard"/>
    <w:rsid w:val="00CC3C9E"/>
    <w:pPr>
      <w:numPr>
        <w:numId w:val="7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styleId="Sprechblasentext">
    <w:name w:val="Balloon Text"/>
    <w:basedOn w:val="Standard"/>
    <w:link w:val="SprechblasentextZchn"/>
    <w:rsid w:val="00413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3E4A"/>
    <w:rPr>
      <w:rFonts w:ascii="Tahoma" w:hAnsi="Tahoma" w:cs="Tahoma"/>
      <w:sz w:val="16"/>
      <w:szCs w:val="16"/>
      <w:lang w:val="de-CH" w:eastAsia="de-CH"/>
    </w:rPr>
  </w:style>
  <w:style w:type="table" w:styleId="Tabellenraster">
    <w:name w:val="Table Grid"/>
    <w:basedOn w:val="NormaleTabelle"/>
    <w:rsid w:val="008D11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NMAMarginalDocvalue">
    <w:name w:val="FINMA Marginal Docvalue"/>
    <w:basedOn w:val="Kopfzeile"/>
    <w:rsid w:val="00D81961"/>
    <w:pPr>
      <w:framePr w:w="2835" w:wrap="around" w:vAnchor="page" w:hAnchor="page" w:xAlign="right" w:y="1419" w:anchorLock="1"/>
      <w:spacing w:after="120" w:line="180" w:lineRule="exact"/>
    </w:pPr>
    <w:rPr>
      <w:sz w:val="15"/>
    </w:rPr>
  </w:style>
  <w:style w:type="paragraph" w:styleId="Listenabsatz">
    <w:name w:val="List Paragraph"/>
    <w:basedOn w:val="Standard"/>
    <w:uiPriority w:val="34"/>
    <w:qFormat/>
    <w:rsid w:val="00C61276"/>
    <w:pPr>
      <w:spacing w:before="60" w:after="60" w:line="276" w:lineRule="auto"/>
      <w:ind w:left="720"/>
      <w:contextualSpacing/>
    </w:pPr>
    <w:rPr>
      <w:rFonts w:eastAsia="Calibri"/>
      <w:szCs w:val="22"/>
    </w:rPr>
  </w:style>
  <w:style w:type="paragraph" w:customStyle="1" w:styleId="Bullet">
    <w:name w:val="Bullet"/>
    <w:basedOn w:val="Listenabsatz"/>
    <w:qFormat/>
    <w:rsid w:val="00C61276"/>
    <w:pPr>
      <w:spacing w:line="240" w:lineRule="auto"/>
      <w:ind w:left="0"/>
      <w:contextualSpacing w:val="0"/>
    </w:pPr>
    <w:rPr>
      <w:rFonts w:cs="Arial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1276"/>
    <w:pPr>
      <w:spacing w:line="240" w:lineRule="auto"/>
    </w:pPr>
    <w:rPr>
      <w:rFonts w:eastAsia="Calibri"/>
    </w:rPr>
  </w:style>
  <w:style w:type="character" w:customStyle="1" w:styleId="FunotentextZchn">
    <w:name w:val="Fußnotentext Zchn"/>
    <w:link w:val="Funotentext"/>
    <w:uiPriority w:val="99"/>
    <w:semiHidden/>
    <w:rsid w:val="00C61276"/>
    <w:rPr>
      <w:rFonts w:ascii="Arial" w:eastAsia="Calibri" w:hAnsi="Arial"/>
      <w:lang w:eastAsia="de-CH"/>
    </w:rPr>
  </w:style>
  <w:style w:type="character" w:styleId="Funotenzeichen">
    <w:name w:val="footnote reference"/>
    <w:uiPriority w:val="99"/>
    <w:semiHidden/>
    <w:unhideWhenUsed/>
    <w:rsid w:val="00C61276"/>
    <w:rPr>
      <w:vertAlign w:val="superscript"/>
    </w:rPr>
  </w:style>
  <w:style w:type="paragraph" w:styleId="Kommentartext">
    <w:name w:val="annotation text"/>
    <w:link w:val="KommentartextZchn"/>
    <w:semiHidden/>
    <w:unhideWhenUsed/>
    <w:rPr>
      <w:lang w:bidi="de-CH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2222B"/>
    <w:rPr>
      <w:rFonts w:ascii="Arial" w:hAnsi="Arial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2222B"/>
  </w:style>
  <w:style w:type="character" w:customStyle="1" w:styleId="KommentarthemaZchn">
    <w:name w:val="Kommentarthema Zchn"/>
    <w:link w:val="Kommentarthema"/>
    <w:semiHidden/>
    <w:rsid w:val="00F2222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F2222B"/>
    <w:rPr>
      <w:rFonts w:ascii="Arial" w:hAnsi="Arial"/>
      <w:lang w:bidi="de-CH"/>
    </w:rPr>
  </w:style>
  <w:style w:type="character" w:styleId="Hyperlink">
    <w:name w:val="Hyperlink"/>
    <w:uiPriority w:val="99"/>
    <w:unhideWhenUsed/>
    <w:rsid w:val="00EE4B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m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ionswert xmlns="e41ec083-eb60-4400-a1ca-8b175769cd15" xsi:nil="true"/>
    <_dlc_DocId xmlns="e41ec083-eb60-4400-a1ca-8b175769cd15">b164912-0047710</_dlc_DocId>
    <FinmaPasswordProtected xmlns="e41ec083-eb60-4400-a1ca-8b175769cd15">false</FinmaPasswordProtected>
    <TaxCatchAll xmlns="e41ec083-eb60-4400-a1ca-8b175769cd15">
      <Value>1</Value>
    </TaxCatchAll>
    <_dlc_DocIdUrl xmlns="e41ec083-eb60-4400-a1ca-8b175769cd15">
      <Url>http://dms.finma.ch/containers/164912/_layouts/DocIdRedir.aspx?ID=b164912-0047710</Url>
      <Description>b164912-0047710</Description>
    </_dlc_DocIdUrl>
    <FinmaValidationDate xmlns="e41ec083-eb60-4400-a1ca-8b175769cd15">2020-04-22T06:47:54+00:00</FinmaValidationDate>
    <f6ac7f7711e24d149a1ab98f6cfad432 xmlns="e41ec083-eb60-4400-a1ca-8b175769cd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Aktiv</TermName>
          <TermId xmlns="http://schemas.microsoft.com/office/infopath/2007/PartnerControls">7439e81f-a110-4e88-a7af-acf8d4806223</TermId>
        </TermInfo>
      </Terms>
    </f6ac7f7711e24d149a1ab98f6cfad432>
    <FinmaDocumentDate xmlns="e41ec083-eb60-4400-a1ca-8b175769cd15">2020-04-22T06:47:54+00:00</FinmaDocumentDate>
    <FinmaValidationResult xmlns="e41ec083-eb60-4400-a1ca-8b175769cd15" xsi:nil="true"/>
    <FinmaObjectName xmlns="e41ec083-eb60-4400-a1ca-8b175769cd15">F00164912</FinmaObjectName>
    <h5452bf913d342ef967d06fb0970c0a5 xmlns="e41ec083-eb60-4400-a1ca-8b175769cd15">
      <Terms xmlns="http://schemas.microsoft.com/office/infopath/2007/PartnerControls"/>
    </h5452bf913d342ef967d06fb0970c0a5>
    <g1c9cab47ab34847b4ac830bba5063b0 xmlns="e41ec083-eb60-4400-a1ca-8b175769cd15">
      <Terms xmlns="http://schemas.microsoft.com/office/infopath/2007/PartnerControls"/>
    </g1c9cab47ab34847b4ac830bba5063b0>
    <FinmaCaseDescription xmlns="e41ec083-eb60-4400-a1ca-8b175769cd15">Verantwortliche Koordination Prüfwesen (G01009336)</FinmaCaseDescription>
    <FinmaCaseID xmlns="e41ec083-eb60-4400-a1ca-8b175769cd15">G01009336</FinmaCaseID>
    <n1f5c6536ac648a38ad663cdf8bd44e6 xmlns="e41ec083-eb60-4400-a1ca-8b175769cd15">
      <Terms xmlns="http://schemas.microsoft.com/office/infopath/2007/PartnerControls"/>
    </n1f5c6536ac648a38ad663cdf8bd44e6>
    <FinmaObjectId xmlns="e41ec083-eb60-4400-a1ca-8b175769cd15">Eidgenössische Finanzmarktaufsicht FINMA (F00164912)</FinmaObjectId>
  </documentManagement>
</p:properties>
</file>

<file path=customXml/item2.xml><?xml version="1.0" encoding="utf-8"?>
<?mso-contentType ?>
<FormUrls xmlns="http://schemas.microsoft.com/sharepoint/v3/contenttype/forms/url">
  <Edit>_layouts/finma.portal.dms/EditFinmaDocumentProperties.aspx</Edit>
</FormUrls>
</file>

<file path=customXml/item3.xml><?xml version="1.0" encoding="utf-8"?>
<LongProperties xmlns="http://schemas.microsoft.com/office/2006/metadata/longProperties"/>
</file>

<file path=customXml/item4.xml><?xml version="1.0" encoding="utf-8"?>
<document xmlns="http://www.docugate.com/2015/docugatedatastorexml">
  <snapins xmlns=""/>
</document>
</file>

<file path=customXml/item5.xml><?xml version="1.0" encoding="utf-8"?>
<docugate xmlns="http://www.docugate.com/2014/dgxml" ResetInterfaceCacheAfterDocCreation="false" FreeDocumentSelection="true">
  <template doclanguage="Deutsch" id="" workflowdocumentid="f8ba1d52-560d-45fb-9901-1a5409497208">
    <docproperties>
      <saveaslocation>https://org.finma.ch/sites/8010-T/Dossiers/Suitability/Neue Prüfprogramme Suitability</saveaslocation>
      <dossier_id>8010-T-2-9515</dossier_id>
      <dossier_titel>Suitability</dossier_titel>
      <dossier_aktenzeichen>8010-T-2-9515 - 00 Allgemeines</dossier_aktenzeichen>
      <dossier_osp_nr>00</dossier_osp_nr>
      <dossier_kategorie>
      </dossier_kategorie>
      <geschaeft_id>
      </geschaeft_id>
      <geschaeft_federfuehrende_oe>M-GWS</geschaeft_federfuehrende_oe>
      <geschaeft_datum_eroeffnen>
      </geschaeft_datum_eroeffnen>
      <aktionsname/>
      <aktionswert/>
      <addresses/>
    </docproperties>
  </template>
</docugate>
</file>

<file path=customXml/item6.xml><?xml version="1.0" encoding="utf-8"?>
<?mso-contentType ?>
<SharedContentType xmlns="Microsoft.SharePoint.Taxonomy.ContentTypeSync" SourceId="b0c6d588-e963-47ff-a8de-5cb02962fb18" ContentTypeId="0x0101004F8CB72C5020684296180AE4B309ADAF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GDok Document" ma:contentTypeID="0x0101003A499141982C43AFAF241BDE541C18D500F5B3EB93A2E6FC40BDA27E9A03F99C52" ma:contentTypeVersion="18" ma:contentTypeDescription="Create a new document." ma:contentTypeScope="" ma:versionID="04eebac017c0ff8e67ba2371f1f5ae67">
  <xsd:schema xmlns:xsd="http://www.w3.org/2001/XMLSchema" xmlns:xs="http://www.w3.org/2001/XMLSchema" xmlns:p="http://schemas.microsoft.com/office/2006/metadata/properties" xmlns:ns2="e41ec083-eb60-4400-a1ca-8b175769cd15" targetNamespace="http://schemas.microsoft.com/office/2006/metadata/properties" ma:root="true" ma:fieldsID="717c16d44b7eff26d5d25af0687c82f9" ns2:_="">
    <xsd:import namespace="e41ec083-eb60-4400-a1ca-8b175769cd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nmaDocumentDate" minOccurs="0"/>
                <xsd:element ref="ns2:FinmaCaseDescription" minOccurs="0"/>
                <xsd:element ref="ns2:f6ac7f7711e24d149a1ab98f6cfad432" minOccurs="0"/>
                <xsd:element ref="ns2:TaxCatchAll" minOccurs="0"/>
                <xsd:element ref="ns2:TaxCatchAllLabel" minOccurs="0"/>
                <xsd:element ref="ns2:FinmaCaseID" minOccurs="0"/>
                <xsd:element ref="ns2:g1c9cab47ab34847b4ac830bba5063b0" minOccurs="0"/>
                <xsd:element ref="ns2:h5452bf913d342ef967d06fb0970c0a5" minOccurs="0"/>
                <xsd:element ref="ns2:n1f5c6536ac648a38ad663cdf8bd44e6" minOccurs="0"/>
                <xsd:element ref="ns2:FinmaPasswordProtected" minOccurs="0"/>
                <xsd:element ref="ns2:FinmaValidationDate" minOccurs="0"/>
                <xsd:element ref="ns2:FinmaValidationResult" minOccurs="0"/>
                <xsd:element ref="ns2:FinmaObjectId" minOccurs="0"/>
                <xsd:element ref="ns2:FinmaObjectName" minOccurs="0"/>
                <xsd:element ref="ns2:Aktionsw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ec083-eb60-4400-a1ca-8b175769c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maDocumentDate" ma:index="11" nillable="true" ma:displayName="Dokument Datum" ma:format="DateOnly" ma:internalName="FinmaDocumentDate">
      <xsd:simpleType>
        <xsd:restriction base="dms:DateTime"/>
      </xsd:simpleType>
    </xsd:element>
    <xsd:element name="FinmaCaseDescription" ma:index="12" nillable="true" ma:displayName="Geschäfts Bezeichnung" ma:default="Verantwortliche Koordination Prüfwesen (G01009336)" ma:internalName="FinmaCaseDescription">
      <xsd:simpleType>
        <xsd:restriction base="dms:Text">
          <xsd:maxLength value="255"/>
        </xsd:restriction>
      </xsd:simpleType>
    </xsd:element>
    <xsd:element name="f6ac7f7711e24d149a1ab98f6cfad432" ma:index="13" nillable="true" ma:taxonomy="true" ma:internalName="f6ac7f7711e24d149a1ab98f6cfad432" ma:taxonomyFieldName="FinmaCaseStatus" ma:displayName="Geschäfts Status" ma:default="1;#Aktiv|7439e81f-a110-4e88-a7af-acf8d4806223" ma:fieldId="{f6ac7f77-11e2-4d14-9a1a-b98f6cfad432}" ma:sspId="1614e331-078d-4830-aac2-889f77d1de05" ma:termSetId="fbd22871-fe11-4cfd-b99d-0f5fc7eae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feb4887-3879-4340-9b30-50fa0091cdea}" ma:internalName="TaxCatchAll" ma:showField="CatchAllData" ma:web="e41ec083-eb60-4400-a1ca-8b175769c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feb4887-3879-4340-9b30-50fa0091cdea}" ma:internalName="TaxCatchAllLabel" ma:readOnly="true" ma:showField="CatchAllDataLabel" ma:web="e41ec083-eb60-4400-a1ca-8b175769c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maCaseID" ma:index="17" nillable="true" ma:displayName="Geschäfts ID" ma:default="G01009336" ma:internalName="FinmaCaseID">
      <xsd:simpleType>
        <xsd:restriction base="dms:Text">
          <xsd:maxLength value="255"/>
        </xsd:restriction>
      </xsd:simpleType>
    </xsd:element>
    <xsd:element name="g1c9cab47ab34847b4ac830bba5063b0" ma:index="18" nillable="true" ma:taxonomy="true" ma:internalName="g1c9cab47ab34847b4ac830bba5063b0" ma:taxonomyFieldName="FinmaCatchphrases" ma:displayName="Schlagwort" ma:fieldId="{01c9cab4-7ab3-4847-b4ac-830bba5063b0}" ma:taxonomyMulti="true" ma:sspId="1614e331-078d-4830-aac2-889f77d1de05" ma:termSetId="35ed469d-bfb4-4e58-83fd-01918edae1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452bf913d342ef967d06fb0970c0a5" ma:index="20" nillable="true" ma:taxonomy="true" ma:internalName="h5452bf913d342ef967d06fb0970c0a5" ma:taxonomyFieldName="FinmaCategory" ma:displayName="Kategorie" ma:fieldId="{15452bf9-13d3-42ef-967d-06fb0970c0a5}" ma:sspId="1614e331-078d-4830-aac2-889f77d1de05" ma:termSetId="76a2fa96-3e9b-4d62-901d-d1895154867f" ma:anchorId="de8e377e-5092-4bcb-9739-6ef0d154a6b9" ma:open="false" ma:isKeyword="false">
      <xsd:complexType>
        <xsd:sequence>
          <xsd:element ref="pc:Terms" minOccurs="0" maxOccurs="1"/>
        </xsd:sequence>
      </xsd:complexType>
    </xsd:element>
    <xsd:element name="n1f5c6536ac648a38ad663cdf8bd44e6" ma:index="22" nillable="true" ma:taxonomy="true" ma:internalName="n1f5c6536ac648a38ad663cdf8bd44e6" ma:taxonomyFieldName="FinmaCrmEntityIDs" ma:displayName="CRM Verknüpfung IDs" ma:fieldId="{71f5c653-6ac6-48a3-8ad6-63cdf8bd44e6}" ma:taxonomyMulti="true" ma:sspId="1614e331-078d-4830-aac2-889f77d1de05" ma:termSetId="007556a7-71c6-4a46-9c24-71f35aa16e93" ma:anchorId="fc6e2f94-ec5b-4b25-829d-c96b59440ef4" ma:open="true" ma:isKeyword="false">
      <xsd:complexType>
        <xsd:sequence>
          <xsd:element ref="pc:Terms" minOccurs="0" maxOccurs="1"/>
        </xsd:sequence>
      </xsd:complexType>
    </xsd:element>
    <xsd:element name="FinmaPasswordProtected" ma:index="24" nillable="true" ma:displayName="Passwortgeschützt" ma:internalName="FinmaPasswordProtected">
      <xsd:simpleType>
        <xsd:restriction base="dms:Boolean"/>
      </xsd:simpleType>
    </xsd:element>
    <xsd:element name="FinmaValidationDate" ma:index="25" nillable="true" ma:displayName="Prüfzeitpunkt" ma:format="DateTime" ma:internalName="FinmaValidationDate">
      <xsd:simpleType>
        <xsd:restriction base="dms:DateTime"/>
      </xsd:simpleType>
    </xsd:element>
    <xsd:element name="FinmaValidationResult" ma:index="27" nillable="true" ma:displayName="ValidationResults" ma:internalName="FinmaValidationResult">
      <xsd:simpleType>
        <xsd:restriction base="dms:Note">
          <xsd:maxLength value="255"/>
        </xsd:restriction>
      </xsd:simpleType>
    </xsd:element>
    <xsd:element name="FinmaObjectId" ma:index="28" nillable="true" ma:displayName="Finma Objekt ID" ma:default="Eidgenössische Finanzmarktaufsicht FINMA (F00164912)" ma:internalName="FinmaObjectId">
      <xsd:simpleType>
        <xsd:restriction base="dms:Text">
          <xsd:maxLength value="255"/>
        </xsd:restriction>
      </xsd:simpleType>
    </xsd:element>
    <xsd:element name="FinmaObjectName" ma:index="29" nillable="true" ma:displayName="Finma Objekt Bezeichnung" ma:default="F00164912" ma:internalName="FinmaObjectName">
      <xsd:simpleType>
        <xsd:restriction base="dms:Text">
          <xsd:maxLength value="255"/>
        </xsd:restriction>
      </xsd:simpleType>
    </xsd:element>
    <xsd:element name="Aktionswert" ma:index="30" nillable="true" ma:displayName="Aktionswert" ma:hidden="true" ma:internalName="Aktionswer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0E00-F8AC-4C6C-80AF-A0D2DEB7D4E3}"/>
</file>

<file path=customXml/itemProps2.xml><?xml version="1.0" encoding="utf-8"?>
<ds:datastoreItem xmlns:ds="http://schemas.openxmlformats.org/officeDocument/2006/customXml" ds:itemID="{E66E80B3-8A3D-40F7-9039-2AB483DC2EFD}"/>
</file>

<file path=customXml/itemProps3.xml><?xml version="1.0" encoding="utf-8"?>
<ds:datastoreItem xmlns:ds="http://schemas.openxmlformats.org/officeDocument/2006/customXml" ds:itemID="{4E1ACAE8-1DA0-4DEF-9D9B-14B37EDB781B}"/>
</file>

<file path=customXml/itemProps4.xml><?xml version="1.0" encoding="utf-8"?>
<ds:datastoreItem xmlns:ds="http://schemas.openxmlformats.org/officeDocument/2006/customXml" ds:itemID="{EC893462-BCF8-49DB-8C4B-B97C916AEED5}"/>
</file>

<file path=customXml/itemProps5.xml><?xml version="1.0" encoding="utf-8"?>
<ds:datastoreItem xmlns:ds="http://schemas.openxmlformats.org/officeDocument/2006/customXml" ds:itemID="{B32A4229-55F6-47E4-B1D4-5942CB2268A9}"/>
</file>

<file path=customXml/itemProps6.xml><?xml version="1.0" encoding="utf-8"?>
<ds:datastoreItem xmlns:ds="http://schemas.openxmlformats.org/officeDocument/2006/customXml" ds:itemID="{BFDF3A7E-E330-4FBA-A5E8-283DF88F1DE4}"/>
</file>

<file path=customXml/itemProps7.xml><?xml version="1.0" encoding="utf-8"?>
<ds:datastoreItem xmlns:ds="http://schemas.openxmlformats.org/officeDocument/2006/customXml" ds:itemID="{36915610-CDD1-4832-B1F1-FCEFD3E791C9}"/>
</file>

<file path=customXml/itemProps8.xml><?xml version="1.0" encoding="utf-8"?>
<ds:datastoreItem xmlns:ds="http://schemas.openxmlformats.org/officeDocument/2006/customXml" ds:itemID="{A99DD7B5-E90C-45C3-87DF-46562CCAA100}"/>
</file>

<file path=customXml/itemProps9.xml><?xml version="1.0" encoding="utf-8"?>
<ds:datastoreItem xmlns:ds="http://schemas.openxmlformats.org/officeDocument/2006/customXml" ds:itemID="{DE5D8116-54B3-47BD-A216-F97558A42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2669</Words>
  <Characters>16817</Characters>
  <Application>Microsoft Office Word</Application>
  <DocSecurity>0</DocSecurity>
  <Lines>140</Lines>
  <Paragraphs>38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19448</CharactersWithSpaces>
  <SharedDoc>false</SharedDoc>
  <HLinks>
    <vt:vector size="6" baseType="variant">
      <vt:variant>
        <vt:i4>917522</vt:i4>
      </vt:variant>
      <vt:variant>
        <vt:i4>14</vt:i4>
      </vt:variant>
      <vt:variant>
        <vt:i4>0</vt:i4>
      </vt:variant>
      <vt:variant>
        <vt:i4>5</vt:i4>
      </vt:variant>
      <vt:variant>
        <vt:lpwstr>http://www.finma.ch/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2020-04-22T06:47:00Z</dcterms:created>
  <dcterms:modified xsi:type="dcterms:W3CDTF">2020-04-22T06:47:00Z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b164912-0047710</vt:lpwstr>
  </property>
  <property fmtid="{D5CDD505-2E9C-101B-9397-08002B2CF9AE}" pid="3" name="_dlc_DocIdItemGuid">
    <vt:lpwstr>1db00729-826a-48a5-93a1-691b8a80f2e7</vt:lpwstr>
  </property>
  <property fmtid="{D5CDD505-2E9C-101B-9397-08002B2CF9AE}" pid="4" name="_dlc_DocIdUrl">
    <vt:lpwstr>http://dms.finma.ch/containers/164912/_layouts/DocIdRedir.aspx?ID=b164912-0047710, b164912-0047710</vt:lpwstr>
  </property>
  <property fmtid="{D5CDD505-2E9C-101B-9397-08002B2CF9AE}" pid="5" name="Schlagwort">
    <vt:lpwstr/>
  </property>
  <property fmtid="{D5CDD505-2E9C-101B-9397-08002B2CF9AE}" pid="6" name="Schlagwort KategorieTaxHTField0">
    <vt:lpwstr/>
  </property>
  <property fmtid="{D5CDD505-2E9C-101B-9397-08002B2CF9AE}" pid="7" name="Ordnungsposition">
    <vt:lpwstr>18</vt:lpwstr>
  </property>
  <property fmtid="{D5CDD505-2E9C-101B-9397-08002B2CF9AE}" pid="8" name="ContentTypeId">
    <vt:lpwstr>0x0101003A499141982C43AFAF241BDE541C18D500F5B3EB93A2E6FC40BDA27E9A03F99C52</vt:lpwstr>
  </property>
  <property fmtid="{D5CDD505-2E9C-101B-9397-08002B2CF9AE}" pid="9" name="FinmaCrmEntityIDs">
    <vt:lpwstr/>
  </property>
  <property fmtid="{D5CDD505-2E9C-101B-9397-08002B2CF9AE}" pid="10" name="FinmaCatchphrases">
    <vt:lpwstr/>
  </property>
  <property fmtid="{D5CDD505-2E9C-101B-9397-08002B2CF9AE}" pid="11" name="FinmaCaseStatus">
    <vt:lpwstr>1;#Aktiv|7439e81f-a110-4e88-a7af-acf8d4806223</vt:lpwstr>
  </property>
  <property fmtid="{D5CDD505-2E9C-101B-9397-08002B2CF9AE}" pid="12" name="FinmaCategory">
    <vt:lpwstr/>
  </property>
</Properties>
</file>