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71F2" w14:textId="071DE2D2" w:rsidR="0076328E" w:rsidRPr="00BE20BD" w:rsidRDefault="0076328E" w:rsidP="00D60D73">
      <w:pPr>
        <w:pStyle w:val="FINMATitel"/>
        <w:rPr>
          <w:noProof/>
        </w:rPr>
      </w:pPr>
      <w:bookmarkStart w:id="0" w:name="Text18"/>
      <w:r w:rsidRPr="00BE20BD">
        <w:t xml:space="preserve">Template </w:t>
      </w:r>
      <w:bookmarkEnd w:id="0"/>
      <w:r w:rsidRPr="00BE20BD">
        <w:t>for the SST</w:t>
      </w:r>
      <w:r w:rsidR="00CC4334" w:rsidRPr="00BE20BD">
        <w:t xml:space="preserve"> </w:t>
      </w:r>
      <w:r w:rsidR="00596C13" w:rsidRPr="00BE20BD">
        <w:t>202</w:t>
      </w:r>
      <w:r w:rsidR="00EA28F4" w:rsidRPr="00BE20BD">
        <w:t>4</w:t>
      </w:r>
      <w:r w:rsidRPr="00BE20BD">
        <w:t xml:space="preserve"> report </w:t>
      </w:r>
    </w:p>
    <w:p w14:paraId="1DE9EE63" w14:textId="35B04EE4" w:rsidR="0076328E" w:rsidRPr="00BE20BD" w:rsidRDefault="0065350B" w:rsidP="00D60D73">
      <w:pPr>
        <w:pBdr>
          <w:bottom w:val="single" w:sz="6" w:space="1" w:color="auto"/>
        </w:pBdr>
        <w:jc w:val="both"/>
        <w:rPr>
          <w:sz w:val="20"/>
          <w:szCs w:val="24"/>
        </w:rPr>
      </w:pPr>
      <w:r w:rsidRPr="00BE20BD">
        <w:rPr>
          <w:sz w:val="20"/>
          <w:szCs w:val="24"/>
        </w:rPr>
        <w:t xml:space="preserve">Version of 31 </w:t>
      </w:r>
      <w:r w:rsidR="00596C13" w:rsidRPr="00BE20BD">
        <w:rPr>
          <w:sz w:val="20"/>
          <w:szCs w:val="24"/>
        </w:rPr>
        <w:t>October 202</w:t>
      </w:r>
      <w:r w:rsidR="009765A1" w:rsidRPr="00BE20BD">
        <w:rPr>
          <w:sz w:val="20"/>
          <w:szCs w:val="24"/>
        </w:rPr>
        <w:t>3</w:t>
      </w:r>
    </w:p>
    <w:p w14:paraId="05AF1450" w14:textId="7AB7331A" w:rsidR="0076328E" w:rsidRPr="00BE20BD" w:rsidRDefault="0076328E" w:rsidP="00D60D73">
      <w:pPr>
        <w:pStyle w:val="FINMAStandardAbsatz"/>
      </w:pPr>
      <w:r w:rsidRPr="00BE20BD">
        <w:t xml:space="preserve">This template is designed for insurance undertakings which conduct the Swiss Solvency Test (SST) entirely using FINMA’s standard models. For insurance undertakings in categories 4 and 5 it is a requirement within the meaning of margin number 180 of </w:t>
      </w:r>
      <w:r w:rsidRPr="00BE20BD">
        <w:rPr>
          <w:i/>
        </w:rPr>
        <w:t>FINMA Circular 2017/03</w:t>
      </w:r>
      <w:r w:rsidRPr="00BE20BD">
        <w:t xml:space="preserve"> “SST” </w:t>
      </w:r>
      <w:proofErr w:type="gramStart"/>
      <w:r w:rsidRPr="00BE20BD">
        <w:t>in order to</w:t>
      </w:r>
      <w:proofErr w:type="gramEnd"/>
      <w:r w:rsidRPr="00BE20BD">
        <w:t xml:space="preserve"> meet the requirements for the SST report. </w:t>
      </w:r>
      <w:r w:rsidR="004445B4" w:rsidRPr="00BE20BD">
        <w:t>The related Excel-Tool "SST-</w:t>
      </w:r>
      <w:proofErr w:type="spellStart"/>
      <w:r w:rsidR="004445B4" w:rsidRPr="00BE20BD">
        <w:t>Berichtstabellen</w:t>
      </w:r>
      <w:proofErr w:type="spellEnd"/>
      <w:r w:rsidR="004445B4" w:rsidRPr="00BE20BD">
        <w:t>" facilitates the compilation of the standard tables for this report.</w:t>
      </w:r>
    </w:p>
    <w:p w14:paraId="4ACF8CA2" w14:textId="4F1DF6B0" w:rsidR="00461A1E" w:rsidRPr="00BE20BD" w:rsidRDefault="0076328E" w:rsidP="00D60D73">
      <w:pPr>
        <w:pStyle w:val="FINMAStandardAbsatz"/>
      </w:pPr>
      <w:r w:rsidRPr="00BE20BD">
        <w:t xml:space="preserve">The SST report must be </w:t>
      </w:r>
      <w:r w:rsidR="00A96871" w:rsidRPr="00BE20BD">
        <w:t xml:space="preserve">written </w:t>
      </w:r>
      <w:r w:rsidRPr="00BE20BD">
        <w:t xml:space="preserve">in such a way that a knowledgeable outside observer </w:t>
      </w:r>
      <w:r w:rsidR="00A96871" w:rsidRPr="00BE20BD">
        <w:t xml:space="preserve">can </w:t>
      </w:r>
      <w:r w:rsidRPr="00BE20BD">
        <w:t xml:space="preserve">understand the nature and scope of the risks to which the insurance undertaking is exposed and the basis on which the risk-bearing capital, target capital and SST ratio have been determined. </w:t>
      </w:r>
    </w:p>
    <w:p w14:paraId="681D7183" w14:textId="3246E9FE" w:rsidR="00D918AD" w:rsidRPr="00BE20BD" w:rsidRDefault="004A3DB6" w:rsidP="00D60D73">
      <w:pPr>
        <w:pStyle w:val="FINMAStandardAbsatz"/>
      </w:pPr>
      <w:r w:rsidRPr="00BE20BD">
        <w:t>Further details on the requirements of the SST report are contained in margin numbers 152 to 185 of FINMA Circular 2017/03 “SST”. The margin numbers cited in this document refer to this circular.</w:t>
      </w:r>
    </w:p>
    <w:p w14:paraId="60F565FD" w14:textId="18085DCC" w:rsidR="00C46699" w:rsidRPr="00BE20BD" w:rsidRDefault="00C46699" w:rsidP="00D60D73">
      <w:pPr>
        <w:pStyle w:val="FINMAStandardAbsatz"/>
        <w:rPr>
          <w:lang w:val="en-US"/>
        </w:rPr>
      </w:pPr>
      <w:r w:rsidRPr="00BE20BD">
        <w:rPr>
          <w:lang w:val="en-US"/>
        </w:rPr>
        <w:t xml:space="preserve">In case of </w:t>
      </w:r>
      <w:r w:rsidR="00B84CEE" w:rsidRPr="00BE20BD">
        <w:rPr>
          <w:lang w:val="en-US"/>
        </w:rPr>
        <w:t xml:space="preserve">dissenting </w:t>
      </w:r>
      <w:r w:rsidRPr="00BE20BD">
        <w:rPr>
          <w:lang w:val="en-US"/>
        </w:rPr>
        <w:t xml:space="preserve">meaning </w:t>
      </w:r>
      <w:r w:rsidR="00B84CEE" w:rsidRPr="00BE20BD">
        <w:rPr>
          <w:lang w:val="en-US"/>
        </w:rPr>
        <w:t xml:space="preserve">compared to the </w:t>
      </w:r>
      <w:r w:rsidRPr="00BE20BD">
        <w:rPr>
          <w:lang w:val="en-US"/>
        </w:rPr>
        <w:t>German or French version, the version in an official language shall prevail.</w:t>
      </w:r>
    </w:p>
    <w:p w14:paraId="11C6BEC6" w14:textId="55824F8B" w:rsidR="00641C14" w:rsidRPr="00BE20BD" w:rsidRDefault="005820E2" w:rsidP="005820E2">
      <w:pPr>
        <w:pStyle w:val="FINMAStandardAbsatz"/>
        <w:rPr>
          <w:lang w:val="en-US"/>
        </w:rPr>
      </w:pPr>
      <w:r w:rsidRPr="00BE20BD">
        <w:rPr>
          <w:lang w:val="en-US"/>
        </w:rPr>
        <w:t xml:space="preserve">The template has been adjusted as far as possible in a minimally invasive way </w:t>
      </w:r>
      <w:proofErr w:type="gramStart"/>
      <w:r w:rsidRPr="00BE20BD">
        <w:rPr>
          <w:lang w:val="en-US"/>
        </w:rPr>
        <w:t>in order to</w:t>
      </w:r>
      <w:proofErr w:type="gramEnd"/>
      <w:r w:rsidRPr="00BE20BD">
        <w:rPr>
          <w:lang w:val="en-US"/>
        </w:rPr>
        <w:t xml:space="preserve"> comply with the regulatory changes in ISA/ISO coming into force on 01.01.2024. Please note that in view of these changes, prior-year comparisons should be made </w:t>
      </w:r>
      <w:proofErr w:type="gramStart"/>
      <w:r w:rsidRPr="00BE20BD">
        <w:rPr>
          <w:lang w:val="en-US"/>
        </w:rPr>
        <w:t>taking into account</w:t>
      </w:r>
      <w:proofErr w:type="gramEnd"/>
      <w:r w:rsidRPr="00BE20BD">
        <w:rPr>
          <w:lang w:val="en-US"/>
        </w:rPr>
        <w:t xml:space="preserve"> the </w:t>
      </w:r>
      <w:r w:rsidR="00E92A3D" w:rsidRPr="00BE20BD">
        <w:rPr>
          <w:lang w:val="en-US"/>
        </w:rPr>
        <w:t>restated</w:t>
      </w:r>
      <w:r w:rsidRPr="00BE20BD">
        <w:rPr>
          <w:lang w:val="en-US"/>
        </w:rPr>
        <w:t xml:space="preserve"> SST 2023 figures (unless otherwise stated). Separately, the guidance around the description of the technical result has been revised and some guidance has been added on what information shall be provided on the inflation assumptions used.</w:t>
      </w:r>
      <w:bookmarkStart w:id="1" w:name="_Toc534297728"/>
      <w:r w:rsidR="00641C14" w:rsidRPr="00BE20BD">
        <w:rPr>
          <w:lang w:val="en-US"/>
        </w:rPr>
        <w:br w:type="page"/>
      </w:r>
    </w:p>
    <w:sdt>
      <w:sdtPr>
        <w:rPr>
          <w:noProof w:val="0"/>
          <w:sz w:val="22"/>
        </w:rPr>
        <w:id w:val="-1755961497"/>
        <w:docPartObj>
          <w:docPartGallery w:val="Table of Contents"/>
          <w:docPartUnique/>
        </w:docPartObj>
      </w:sdtPr>
      <w:sdtEndPr>
        <w:rPr>
          <w:b/>
          <w:bCs/>
        </w:rPr>
      </w:sdtEndPr>
      <w:sdtContent>
        <w:p w14:paraId="6A1FAE92" w14:textId="5D25E4C8" w:rsidR="00085DA3" w:rsidRPr="00BE20BD" w:rsidRDefault="00085DA3" w:rsidP="00D60D73">
          <w:pPr>
            <w:pStyle w:val="FINMAUntertitel"/>
          </w:pPr>
          <w:r w:rsidRPr="00BE20BD">
            <w:t>Table of contents</w:t>
          </w:r>
        </w:p>
        <w:p w14:paraId="58094788" w14:textId="49DF029C" w:rsidR="00A032A5" w:rsidRPr="00BE20BD" w:rsidRDefault="00085DA3">
          <w:pPr>
            <w:pStyle w:val="TOC1"/>
            <w:rPr>
              <w:rFonts w:asciiTheme="minorHAnsi" w:eastAsiaTheme="minorEastAsia" w:hAnsiTheme="minorHAnsi" w:cstheme="minorBidi"/>
              <w:b w:val="0"/>
              <w:bCs w:val="0"/>
              <w:lang w:eastAsia="en-GB"/>
            </w:rPr>
          </w:pPr>
          <w:r w:rsidRPr="00BE20BD">
            <w:fldChar w:fldCharType="begin"/>
          </w:r>
          <w:r w:rsidRPr="00BE20BD">
            <w:instrText xml:space="preserve"> TOC \o "1-3" \h \z \u </w:instrText>
          </w:r>
          <w:r w:rsidRPr="00BE20BD">
            <w:fldChar w:fldCharType="separate"/>
          </w:r>
          <w:hyperlink w:anchor="_Toc148445925" w:history="1">
            <w:r w:rsidR="00A032A5" w:rsidRPr="00BE20BD">
              <w:rPr>
                <w:rStyle w:val="Hyperlink"/>
              </w:rPr>
              <w:t>0</w:t>
            </w:r>
            <w:r w:rsidR="00A032A5" w:rsidRPr="00BE20BD">
              <w:rPr>
                <w:rFonts w:asciiTheme="minorHAnsi" w:eastAsiaTheme="minorEastAsia" w:hAnsiTheme="minorHAnsi" w:cstheme="minorBidi"/>
                <w:b w:val="0"/>
                <w:bCs w:val="0"/>
                <w:lang w:eastAsia="en-GB"/>
              </w:rPr>
              <w:tab/>
            </w:r>
            <w:r w:rsidR="00A032A5" w:rsidRPr="00BE20BD">
              <w:rPr>
                <w:rStyle w:val="Hyperlink"/>
              </w:rPr>
              <w:t>Executive Board and RA</w:t>
            </w:r>
            <w:r w:rsidR="00A032A5" w:rsidRPr="00BE20BD">
              <w:rPr>
                <w:webHidden/>
              </w:rPr>
              <w:tab/>
            </w:r>
            <w:r w:rsidR="00A032A5" w:rsidRPr="00BE20BD">
              <w:rPr>
                <w:webHidden/>
              </w:rPr>
              <w:fldChar w:fldCharType="begin"/>
            </w:r>
            <w:r w:rsidR="00A032A5" w:rsidRPr="00BE20BD">
              <w:rPr>
                <w:webHidden/>
              </w:rPr>
              <w:instrText xml:space="preserve"> PAGEREF _Toc148445925 \h </w:instrText>
            </w:r>
            <w:r w:rsidR="00A032A5" w:rsidRPr="00BE20BD">
              <w:rPr>
                <w:webHidden/>
              </w:rPr>
            </w:r>
            <w:r w:rsidR="00A032A5" w:rsidRPr="00BE20BD">
              <w:rPr>
                <w:webHidden/>
              </w:rPr>
              <w:fldChar w:fldCharType="separate"/>
            </w:r>
            <w:r w:rsidR="00A032A5" w:rsidRPr="00BE20BD">
              <w:rPr>
                <w:webHidden/>
              </w:rPr>
              <w:t>4</w:t>
            </w:r>
            <w:r w:rsidR="00A032A5" w:rsidRPr="00BE20BD">
              <w:rPr>
                <w:webHidden/>
              </w:rPr>
              <w:fldChar w:fldCharType="end"/>
            </w:r>
          </w:hyperlink>
        </w:p>
        <w:p w14:paraId="770A172D" w14:textId="41128241" w:rsidR="00A032A5" w:rsidRPr="00BE20BD" w:rsidRDefault="000C0F79" w:rsidP="00BE20BD">
          <w:pPr>
            <w:pStyle w:val="TOC2"/>
            <w:rPr>
              <w:rFonts w:asciiTheme="minorHAnsi" w:eastAsiaTheme="minorEastAsia" w:hAnsiTheme="minorHAnsi" w:cstheme="minorBidi"/>
              <w:sz w:val="22"/>
              <w:szCs w:val="22"/>
              <w:lang w:eastAsia="en-GB"/>
            </w:rPr>
          </w:pPr>
          <w:hyperlink w:anchor="_Toc148445926" w:history="1">
            <w:r w:rsidR="00A032A5" w:rsidRPr="00BE20BD">
              <w:rPr>
                <w:rStyle w:val="Hyperlink"/>
              </w:rPr>
              <w:t>0.1</w:t>
            </w:r>
            <w:r w:rsidR="00A032A5" w:rsidRPr="00BE20BD">
              <w:rPr>
                <w:rFonts w:asciiTheme="minorHAnsi" w:eastAsiaTheme="minorEastAsia" w:hAnsiTheme="minorHAnsi" w:cstheme="minorBidi"/>
                <w:sz w:val="22"/>
                <w:szCs w:val="22"/>
                <w:lang w:eastAsia="en-GB"/>
              </w:rPr>
              <w:tab/>
            </w:r>
            <w:r w:rsidR="00A032A5" w:rsidRPr="00BE20BD">
              <w:rPr>
                <w:rStyle w:val="Hyperlink"/>
              </w:rPr>
              <w:t>Members of the Executive Board</w:t>
            </w:r>
            <w:r w:rsidR="00A032A5" w:rsidRPr="00BE20BD">
              <w:rPr>
                <w:webHidden/>
              </w:rPr>
              <w:tab/>
            </w:r>
            <w:r w:rsidR="00A032A5" w:rsidRPr="00BE20BD">
              <w:rPr>
                <w:webHidden/>
              </w:rPr>
              <w:fldChar w:fldCharType="begin"/>
            </w:r>
            <w:r w:rsidR="00A032A5" w:rsidRPr="00BE20BD">
              <w:rPr>
                <w:webHidden/>
              </w:rPr>
              <w:instrText xml:space="preserve"> PAGEREF _Toc148445926 \h </w:instrText>
            </w:r>
            <w:r w:rsidR="00A032A5" w:rsidRPr="00BE20BD">
              <w:rPr>
                <w:webHidden/>
              </w:rPr>
            </w:r>
            <w:r w:rsidR="00A032A5" w:rsidRPr="00BE20BD">
              <w:rPr>
                <w:webHidden/>
              </w:rPr>
              <w:fldChar w:fldCharType="separate"/>
            </w:r>
            <w:r w:rsidR="00A032A5" w:rsidRPr="00BE20BD">
              <w:rPr>
                <w:webHidden/>
              </w:rPr>
              <w:t>4</w:t>
            </w:r>
            <w:r w:rsidR="00A032A5" w:rsidRPr="00BE20BD">
              <w:rPr>
                <w:webHidden/>
              </w:rPr>
              <w:fldChar w:fldCharType="end"/>
            </w:r>
          </w:hyperlink>
        </w:p>
        <w:p w14:paraId="59281354" w14:textId="58DCD39B" w:rsidR="00A032A5" w:rsidRPr="00BE20BD" w:rsidRDefault="000C0F79" w:rsidP="00BE20BD">
          <w:pPr>
            <w:pStyle w:val="TOC2"/>
            <w:rPr>
              <w:rFonts w:asciiTheme="minorHAnsi" w:eastAsiaTheme="minorEastAsia" w:hAnsiTheme="minorHAnsi" w:cstheme="minorBidi"/>
              <w:sz w:val="22"/>
              <w:szCs w:val="22"/>
              <w:lang w:eastAsia="en-GB"/>
            </w:rPr>
          </w:pPr>
          <w:hyperlink w:anchor="_Toc148445927" w:history="1">
            <w:r w:rsidR="00A032A5" w:rsidRPr="00BE20BD">
              <w:rPr>
                <w:rStyle w:val="Hyperlink"/>
              </w:rPr>
              <w:t>0.2</w:t>
            </w:r>
            <w:r w:rsidR="00A032A5" w:rsidRPr="00BE20BD">
              <w:rPr>
                <w:rFonts w:asciiTheme="minorHAnsi" w:eastAsiaTheme="minorEastAsia" w:hAnsiTheme="minorHAnsi" w:cstheme="minorBidi"/>
                <w:sz w:val="22"/>
                <w:szCs w:val="22"/>
                <w:lang w:eastAsia="en-GB"/>
              </w:rPr>
              <w:tab/>
            </w:r>
            <w:r w:rsidR="00A032A5" w:rsidRPr="00BE20BD">
              <w:rPr>
                <w:rStyle w:val="Hyperlink"/>
              </w:rPr>
              <w:t>Signatures of the Executive Board</w:t>
            </w:r>
            <w:r w:rsidR="00A032A5" w:rsidRPr="00BE20BD">
              <w:rPr>
                <w:webHidden/>
              </w:rPr>
              <w:tab/>
            </w:r>
            <w:r w:rsidR="00A032A5" w:rsidRPr="00BE20BD">
              <w:rPr>
                <w:webHidden/>
              </w:rPr>
              <w:fldChar w:fldCharType="begin"/>
            </w:r>
            <w:r w:rsidR="00A032A5" w:rsidRPr="00BE20BD">
              <w:rPr>
                <w:webHidden/>
              </w:rPr>
              <w:instrText xml:space="preserve"> PAGEREF _Toc148445927 \h </w:instrText>
            </w:r>
            <w:r w:rsidR="00A032A5" w:rsidRPr="00BE20BD">
              <w:rPr>
                <w:webHidden/>
              </w:rPr>
            </w:r>
            <w:r w:rsidR="00A032A5" w:rsidRPr="00BE20BD">
              <w:rPr>
                <w:webHidden/>
              </w:rPr>
              <w:fldChar w:fldCharType="separate"/>
            </w:r>
            <w:r w:rsidR="00A032A5" w:rsidRPr="00BE20BD">
              <w:rPr>
                <w:webHidden/>
              </w:rPr>
              <w:t>4</w:t>
            </w:r>
            <w:r w:rsidR="00A032A5" w:rsidRPr="00BE20BD">
              <w:rPr>
                <w:webHidden/>
              </w:rPr>
              <w:fldChar w:fldCharType="end"/>
            </w:r>
          </w:hyperlink>
        </w:p>
        <w:p w14:paraId="717A72A0" w14:textId="22487ED5" w:rsidR="00A032A5" w:rsidRPr="00BE20BD" w:rsidRDefault="000C0F79" w:rsidP="00BE20BD">
          <w:pPr>
            <w:pStyle w:val="TOC2"/>
            <w:rPr>
              <w:rFonts w:asciiTheme="minorHAnsi" w:eastAsiaTheme="minorEastAsia" w:hAnsiTheme="minorHAnsi" w:cstheme="minorBidi"/>
              <w:sz w:val="22"/>
              <w:szCs w:val="22"/>
              <w:lang w:eastAsia="en-GB"/>
            </w:rPr>
          </w:pPr>
          <w:hyperlink w:anchor="_Toc148445928" w:history="1">
            <w:r w:rsidR="00A032A5" w:rsidRPr="00BE20BD">
              <w:rPr>
                <w:rStyle w:val="Hyperlink"/>
              </w:rPr>
              <w:t>0.3</w:t>
            </w:r>
            <w:r w:rsidR="00A032A5" w:rsidRPr="00BE20BD">
              <w:rPr>
                <w:rFonts w:asciiTheme="minorHAnsi" w:eastAsiaTheme="minorEastAsia" w:hAnsiTheme="minorHAnsi" w:cstheme="minorBidi"/>
                <w:sz w:val="22"/>
                <w:szCs w:val="22"/>
                <w:lang w:eastAsia="en-GB"/>
              </w:rPr>
              <w:tab/>
            </w:r>
            <w:r w:rsidR="00A032A5" w:rsidRPr="00BE20BD">
              <w:rPr>
                <w:rStyle w:val="Hyperlink"/>
              </w:rPr>
              <w:t>Responsible actuary (RA)</w:t>
            </w:r>
            <w:r w:rsidR="00A032A5" w:rsidRPr="00BE20BD">
              <w:rPr>
                <w:webHidden/>
              </w:rPr>
              <w:tab/>
            </w:r>
            <w:r w:rsidR="00A032A5" w:rsidRPr="00BE20BD">
              <w:rPr>
                <w:webHidden/>
              </w:rPr>
              <w:fldChar w:fldCharType="begin"/>
            </w:r>
            <w:r w:rsidR="00A032A5" w:rsidRPr="00BE20BD">
              <w:rPr>
                <w:webHidden/>
              </w:rPr>
              <w:instrText xml:space="preserve"> PAGEREF _Toc148445928 \h </w:instrText>
            </w:r>
            <w:r w:rsidR="00A032A5" w:rsidRPr="00BE20BD">
              <w:rPr>
                <w:webHidden/>
              </w:rPr>
            </w:r>
            <w:r w:rsidR="00A032A5" w:rsidRPr="00BE20BD">
              <w:rPr>
                <w:webHidden/>
              </w:rPr>
              <w:fldChar w:fldCharType="separate"/>
            </w:r>
            <w:r w:rsidR="00A032A5" w:rsidRPr="00BE20BD">
              <w:rPr>
                <w:webHidden/>
              </w:rPr>
              <w:t>4</w:t>
            </w:r>
            <w:r w:rsidR="00A032A5" w:rsidRPr="00BE20BD">
              <w:rPr>
                <w:webHidden/>
              </w:rPr>
              <w:fldChar w:fldCharType="end"/>
            </w:r>
          </w:hyperlink>
        </w:p>
        <w:p w14:paraId="018C60A9" w14:textId="43D07E57" w:rsidR="00A032A5" w:rsidRPr="00BE20BD" w:rsidRDefault="000C0F79">
          <w:pPr>
            <w:pStyle w:val="TOC1"/>
            <w:rPr>
              <w:rFonts w:asciiTheme="minorHAnsi" w:eastAsiaTheme="minorEastAsia" w:hAnsiTheme="minorHAnsi" w:cstheme="minorBidi"/>
              <w:b w:val="0"/>
              <w:bCs w:val="0"/>
              <w:lang w:eastAsia="en-GB"/>
            </w:rPr>
          </w:pPr>
          <w:hyperlink w:anchor="_Toc148445929" w:history="1">
            <w:r w:rsidR="00A032A5" w:rsidRPr="00BE20BD">
              <w:rPr>
                <w:rStyle w:val="Hyperlink"/>
              </w:rPr>
              <w:t>1</w:t>
            </w:r>
            <w:r w:rsidR="00A032A5" w:rsidRPr="00BE20BD">
              <w:rPr>
                <w:rFonts w:asciiTheme="minorHAnsi" w:eastAsiaTheme="minorEastAsia" w:hAnsiTheme="minorHAnsi" w:cstheme="minorBidi"/>
                <w:b w:val="0"/>
                <w:bCs w:val="0"/>
                <w:lang w:eastAsia="en-GB"/>
              </w:rPr>
              <w:tab/>
            </w:r>
            <w:r w:rsidR="00A032A5" w:rsidRPr="00BE20BD">
              <w:rPr>
                <w:rStyle w:val="Hyperlink"/>
              </w:rPr>
              <w:t>Management summary</w:t>
            </w:r>
            <w:r w:rsidR="00A032A5" w:rsidRPr="00BE20BD">
              <w:rPr>
                <w:webHidden/>
              </w:rPr>
              <w:tab/>
            </w:r>
            <w:r w:rsidR="00A032A5" w:rsidRPr="00BE20BD">
              <w:rPr>
                <w:webHidden/>
              </w:rPr>
              <w:fldChar w:fldCharType="begin"/>
            </w:r>
            <w:r w:rsidR="00A032A5" w:rsidRPr="00BE20BD">
              <w:rPr>
                <w:webHidden/>
              </w:rPr>
              <w:instrText xml:space="preserve"> PAGEREF _Toc148445929 \h </w:instrText>
            </w:r>
            <w:r w:rsidR="00A032A5" w:rsidRPr="00BE20BD">
              <w:rPr>
                <w:webHidden/>
              </w:rPr>
            </w:r>
            <w:r w:rsidR="00A032A5" w:rsidRPr="00BE20BD">
              <w:rPr>
                <w:webHidden/>
              </w:rPr>
              <w:fldChar w:fldCharType="separate"/>
            </w:r>
            <w:r w:rsidR="00A032A5" w:rsidRPr="00BE20BD">
              <w:rPr>
                <w:webHidden/>
              </w:rPr>
              <w:t>4</w:t>
            </w:r>
            <w:r w:rsidR="00A032A5" w:rsidRPr="00BE20BD">
              <w:rPr>
                <w:webHidden/>
              </w:rPr>
              <w:fldChar w:fldCharType="end"/>
            </w:r>
          </w:hyperlink>
        </w:p>
        <w:p w14:paraId="0164E2AE" w14:textId="39CEE0D5" w:rsidR="00A032A5" w:rsidRPr="00BE20BD" w:rsidRDefault="000C0F79">
          <w:pPr>
            <w:pStyle w:val="TOC1"/>
            <w:rPr>
              <w:rFonts w:asciiTheme="minorHAnsi" w:eastAsiaTheme="minorEastAsia" w:hAnsiTheme="minorHAnsi" w:cstheme="minorBidi"/>
              <w:b w:val="0"/>
              <w:bCs w:val="0"/>
              <w:lang w:eastAsia="en-GB"/>
            </w:rPr>
          </w:pPr>
          <w:hyperlink w:anchor="_Toc148445930" w:history="1">
            <w:r w:rsidR="00A032A5" w:rsidRPr="00BE20BD">
              <w:rPr>
                <w:rStyle w:val="Hyperlink"/>
              </w:rPr>
              <w:t>2</w:t>
            </w:r>
            <w:r w:rsidR="00A032A5" w:rsidRPr="00BE20BD">
              <w:rPr>
                <w:rFonts w:asciiTheme="minorHAnsi" w:eastAsiaTheme="minorEastAsia" w:hAnsiTheme="minorHAnsi" w:cstheme="minorBidi"/>
                <w:b w:val="0"/>
                <w:bCs w:val="0"/>
                <w:lang w:eastAsia="en-GB"/>
              </w:rPr>
              <w:tab/>
            </w:r>
            <w:r w:rsidR="00A032A5" w:rsidRPr="00BE20BD">
              <w:rPr>
                <w:rStyle w:val="Hyperlink"/>
              </w:rPr>
              <w:t>Overview and outlook</w:t>
            </w:r>
            <w:r w:rsidR="00A032A5" w:rsidRPr="00BE20BD">
              <w:rPr>
                <w:webHidden/>
              </w:rPr>
              <w:tab/>
            </w:r>
            <w:r w:rsidR="00A032A5" w:rsidRPr="00BE20BD">
              <w:rPr>
                <w:webHidden/>
              </w:rPr>
              <w:fldChar w:fldCharType="begin"/>
            </w:r>
            <w:r w:rsidR="00A032A5" w:rsidRPr="00BE20BD">
              <w:rPr>
                <w:webHidden/>
              </w:rPr>
              <w:instrText xml:space="preserve"> PAGEREF _Toc148445930 \h </w:instrText>
            </w:r>
            <w:r w:rsidR="00A032A5" w:rsidRPr="00BE20BD">
              <w:rPr>
                <w:webHidden/>
              </w:rPr>
            </w:r>
            <w:r w:rsidR="00A032A5" w:rsidRPr="00BE20BD">
              <w:rPr>
                <w:webHidden/>
              </w:rPr>
              <w:fldChar w:fldCharType="separate"/>
            </w:r>
            <w:r w:rsidR="00A032A5" w:rsidRPr="00BE20BD">
              <w:rPr>
                <w:webHidden/>
              </w:rPr>
              <w:t>5</w:t>
            </w:r>
            <w:r w:rsidR="00A032A5" w:rsidRPr="00BE20BD">
              <w:rPr>
                <w:webHidden/>
              </w:rPr>
              <w:fldChar w:fldCharType="end"/>
            </w:r>
          </w:hyperlink>
        </w:p>
        <w:p w14:paraId="1658D1EE" w14:textId="0FFE39D6" w:rsidR="00A032A5" w:rsidRPr="00BE20BD" w:rsidRDefault="000C0F79" w:rsidP="00BE20BD">
          <w:pPr>
            <w:pStyle w:val="TOC2"/>
            <w:rPr>
              <w:rFonts w:asciiTheme="minorHAnsi" w:eastAsiaTheme="minorEastAsia" w:hAnsiTheme="minorHAnsi" w:cstheme="minorBidi"/>
              <w:sz w:val="22"/>
              <w:szCs w:val="22"/>
              <w:lang w:eastAsia="en-GB"/>
            </w:rPr>
          </w:pPr>
          <w:hyperlink w:anchor="_Toc148445931" w:history="1">
            <w:r w:rsidR="00A032A5" w:rsidRPr="00BE20BD">
              <w:rPr>
                <w:rStyle w:val="Hyperlink"/>
              </w:rPr>
              <w:t>2.1</w:t>
            </w:r>
            <w:r w:rsidR="00A032A5" w:rsidRPr="00BE20BD">
              <w:rPr>
                <w:rFonts w:asciiTheme="minorHAnsi" w:eastAsiaTheme="minorEastAsia" w:hAnsiTheme="minorHAnsi" w:cstheme="minorBidi"/>
                <w:sz w:val="22"/>
                <w:szCs w:val="22"/>
                <w:lang w:eastAsia="en-GB"/>
              </w:rPr>
              <w:tab/>
            </w:r>
            <w:r w:rsidR="00A032A5" w:rsidRPr="00BE20BD">
              <w:rPr>
                <w:rStyle w:val="Hyperlink"/>
              </w:rPr>
              <w:t>Overview of the current SST</w:t>
            </w:r>
            <w:r w:rsidR="00A032A5" w:rsidRPr="00BE20BD">
              <w:rPr>
                <w:webHidden/>
              </w:rPr>
              <w:tab/>
            </w:r>
            <w:r w:rsidR="00A032A5" w:rsidRPr="00BE20BD">
              <w:rPr>
                <w:webHidden/>
              </w:rPr>
              <w:fldChar w:fldCharType="begin"/>
            </w:r>
            <w:r w:rsidR="00A032A5" w:rsidRPr="00BE20BD">
              <w:rPr>
                <w:webHidden/>
              </w:rPr>
              <w:instrText xml:space="preserve"> PAGEREF _Toc148445931 \h </w:instrText>
            </w:r>
            <w:r w:rsidR="00A032A5" w:rsidRPr="00BE20BD">
              <w:rPr>
                <w:webHidden/>
              </w:rPr>
            </w:r>
            <w:r w:rsidR="00A032A5" w:rsidRPr="00BE20BD">
              <w:rPr>
                <w:webHidden/>
              </w:rPr>
              <w:fldChar w:fldCharType="separate"/>
            </w:r>
            <w:r w:rsidR="00A032A5" w:rsidRPr="00BE20BD">
              <w:rPr>
                <w:webHidden/>
              </w:rPr>
              <w:t>5</w:t>
            </w:r>
            <w:r w:rsidR="00A032A5" w:rsidRPr="00BE20BD">
              <w:rPr>
                <w:webHidden/>
              </w:rPr>
              <w:fldChar w:fldCharType="end"/>
            </w:r>
          </w:hyperlink>
        </w:p>
        <w:p w14:paraId="687A5695" w14:textId="5FA4A1CC" w:rsidR="00A032A5" w:rsidRPr="00BE20BD" w:rsidRDefault="000C0F79" w:rsidP="00BE20BD">
          <w:pPr>
            <w:pStyle w:val="TOC2"/>
            <w:rPr>
              <w:rFonts w:asciiTheme="minorHAnsi" w:eastAsiaTheme="minorEastAsia" w:hAnsiTheme="minorHAnsi" w:cstheme="minorBidi"/>
              <w:sz w:val="22"/>
              <w:szCs w:val="22"/>
              <w:lang w:eastAsia="en-GB"/>
            </w:rPr>
          </w:pPr>
          <w:hyperlink w:anchor="_Toc148445932" w:history="1">
            <w:r w:rsidR="00A032A5" w:rsidRPr="00BE20BD">
              <w:rPr>
                <w:rStyle w:val="Hyperlink"/>
              </w:rPr>
              <w:t>2.2</w:t>
            </w:r>
            <w:r w:rsidR="00A032A5" w:rsidRPr="00BE20BD">
              <w:rPr>
                <w:rFonts w:asciiTheme="minorHAnsi" w:eastAsiaTheme="minorEastAsia" w:hAnsiTheme="minorHAnsi" w:cstheme="minorBidi"/>
                <w:sz w:val="22"/>
                <w:szCs w:val="22"/>
                <w:lang w:eastAsia="en-GB"/>
              </w:rPr>
              <w:tab/>
            </w:r>
            <w:r w:rsidR="00A032A5" w:rsidRPr="00BE20BD">
              <w:rPr>
                <w:rStyle w:val="Hyperlink"/>
              </w:rPr>
              <w:t>Outlook to next year’s SST</w:t>
            </w:r>
            <w:r w:rsidR="00A032A5" w:rsidRPr="00BE20BD">
              <w:rPr>
                <w:webHidden/>
              </w:rPr>
              <w:tab/>
            </w:r>
            <w:r w:rsidR="00A032A5" w:rsidRPr="00BE20BD">
              <w:rPr>
                <w:webHidden/>
              </w:rPr>
              <w:fldChar w:fldCharType="begin"/>
            </w:r>
            <w:r w:rsidR="00A032A5" w:rsidRPr="00BE20BD">
              <w:rPr>
                <w:webHidden/>
              </w:rPr>
              <w:instrText xml:space="preserve"> PAGEREF _Toc148445932 \h </w:instrText>
            </w:r>
            <w:r w:rsidR="00A032A5" w:rsidRPr="00BE20BD">
              <w:rPr>
                <w:webHidden/>
              </w:rPr>
            </w:r>
            <w:r w:rsidR="00A032A5" w:rsidRPr="00BE20BD">
              <w:rPr>
                <w:webHidden/>
              </w:rPr>
              <w:fldChar w:fldCharType="separate"/>
            </w:r>
            <w:r w:rsidR="00A032A5" w:rsidRPr="00BE20BD">
              <w:rPr>
                <w:webHidden/>
              </w:rPr>
              <w:t>7</w:t>
            </w:r>
            <w:r w:rsidR="00A032A5" w:rsidRPr="00BE20BD">
              <w:rPr>
                <w:webHidden/>
              </w:rPr>
              <w:fldChar w:fldCharType="end"/>
            </w:r>
          </w:hyperlink>
        </w:p>
        <w:p w14:paraId="38588FBF" w14:textId="762FA065" w:rsidR="00A032A5" w:rsidRPr="00BE20BD" w:rsidRDefault="000C0F79">
          <w:pPr>
            <w:pStyle w:val="TOC1"/>
            <w:rPr>
              <w:rFonts w:asciiTheme="minorHAnsi" w:eastAsiaTheme="minorEastAsia" w:hAnsiTheme="minorHAnsi" w:cstheme="minorBidi"/>
              <w:b w:val="0"/>
              <w:bCs w:val="0"/>
              <w:lang w:eastAsia="en-GB"/>
            </w:rPr>
          </w:pPr>
          <w:hyperlink w:anchor="_Toc148445933" w:history="1">
            <w:r w:rsidR="00A032A5" w:rsidRPr="00BE20BD">
              <w:rPr>
                <w:rStyle w:val="Hyperlink"/>
              </w:rPr>
              <w:t>3</w:t>
            </w:r>
            <w:r w:rsidR="00A032A5" w:rsidRPr="00BE20BD">
              <w:rPr>
                <w:rFonts w:asciiTheme="minorHAnsi" w:eastAsiaTheme="minorEastAsia" w:hAnsiTheme="minorHAnsi" w:cstheme="minorBidi"/>
                <w:b w:val="0"/>
                <w:bCs w:val="0"/>
                <w:lang w:eastAsia="en-GB"/>
              </w:rPr>
              <w:tab/>
            </w:r>
            <w:r w:rsidR="00A032A5" w:rsidRPr="00BE20BD">
              <w:rPr>
                <w:rStyle w:val="Hyperlink"/>
              </w:rPr>
              <w:t>Models used</w:t>
            </w:r>
            <w:r w:rsidR="00A032A5" w:rsidRPr="00BE20BD">
              <w:rPr>
                <w:webHidden/>
              </w:rPr>
              <w:tab/>
            </w:r>
            <w:r w:rsidR="00A032A5" w:rsidRPr="00BE20BD">
              <w:rPr>
                <w:webHidden/>
              </w:rPr>
              <w:fldChar w:fldCharType="begin"/>
            </w:r>
            <w:r w:rsidR="00A032A5" w:rsidRPr="00BE20BD">
              <w:rPr>
                <w:webHidden/>
              </w:rPr>
              <w:instrText xml:space="preserve"> PAGEREF _Toc148445933 \h </w:instrText>
            </w:r>
            <w:r w:rsidR="00A032A5" w:rsidRPr="00BE20BD">
              <w:rPr>
                <w:webHidden/>
              </w:rPr>
            </w:r>
            <w:r w:rsidR="00A032A5" w:rsidRPr="00BE20BD">
              <w:rPr>
                <w:webHidden/>
              </w:rPr>
              <w:fldChar w:fldCharType="separate"/>
            </w:r>
            <w:r w:rsidR="00A032A5" w:rsidRPr="00BE20BD">
              <w:rPr>
                <w:webHidden/>
              </w:rPr>
              <w:t>7</w:t>
            </w:r>
            <w:r w:rsidR="00A032A5" w:rsidRPr="00BE20BD">
              <w:rPr>
                <w:webHidden/>
              </w:rPr>
              <w:fldChar w:fldCharType="end"/>
            </w:r>
          </w:hyperlink>
        </w:p>
        <w:p w14:paraId="388F6D0D" w14:textId="34B84AF7" w:rsidR="00A032A5" w:rsidRPr="00BE20BD" w:rsidRDefault="000C0F79" w:rsidP="00BE20BD">
          <w:pPr>
            <w:pStyle w:val="TOC2"/>
            <w:rPr>
              <w:rFonts w:asciiTheme="minorHAnsi" w:eastAsiaTheme="minorEastAsia" w:hAnsiTheme="minorHAnsi" w:cstheme="minorBidi"/>
              <w:sz w:val="22"/>
              <w:szCs w:val="22"/>
              <w:lang w:eastAsia="en-GB"/>
            </w:rPr>
          </w:pPr>
          <w:hyperlink w:anchor="_Toc148445934" w:history="1">
            <w:r w:rsidR="00A032A5" w:rsidRPr="00BE20BD">
              <w:rPr>
                <w:rStyle w:val="Hyperlink"/>
              </w:rPr>
              <w:t>3.1</w:t>
            </w:r>
            <w:r w:rsidR="00A032A5" w:rsidRPr="00BE20BD">
              <w:rPr>
                <w:rFonts w:asciiTheme="minorHAnsi" w:eastAsiaTheme="minorEastAsia" w:hAnsiTheme="minorHAnsi" w:cstheme="minorBidi"/>
                <w:sz w:val="22"/>
                <w:szCs w:val="22"/>
                <w:lang w:eastAsia="en-GB"/>
              </w:rPr>
              <w:tab/>
            </w:r>
            <w:r w:rsidR="00A032A5" w:rsidRPr="00BE20BD">
              <w:rPr>
                <w:rStyle w:val="Hyperlink"/>
              </w:rPr>
              <w:t>Declaration of the models accepted for the SST 2024</w:t>
            </w:r>
            <w:r w:rsidR="00A032A5" w:rsidRPr="00BE20BD">
              <w:rPr>
                <w:webHidden/>
              </w:rPr>
              <w:tab/>
            </w:r>
            <w:r w:rsidR="00A032A5" w:rsidRPr="00BE20BD">
              <w:rPr>
                <w:webHidden/>
              </w:rPr>
              <w:fldChar w:fldCharType="begin"/>
            </w:r>
            <w:r w:rsidR="00A032A5" w:rsidRPr="00BE20BD">
              <w:rPr>
                <w:webHidden/>
              </w:rPr>
              <w:instrText xml:space="preserve"> PAGEREF _Toc148445934 \h </w:instrText>
            </w:r>
            <w:r w:rsidR="00A032A5" w:rsidRPr="00BE20BD">
              <w:rPr>
                <w:webHidden/>
              </w:rPr>
            </w:r>
            <w:r w:rsidR="00A032A5" w:rsidRPr="00BE20BD">
              <w:rPr>
                <w:webHidden/>
              </w:rPr>
              <w:fldChar w:fldCharType="separate"/>
            </w:r>
            <w:r w:rsidR="00A032A5" w:rsidRPr="00BE20BD">
              <w:rPr>
                <w:webHidden/>
              </w:rPr>
              <w:t>7</w:t>
            </w:r>
            <w:r w:rsidR="00A032A5" w:rsidRPr="00BE20BD">
              <w:rPr>
                <w:webHidden/>
              </w:rPr>
              <w:fldChar w:fldCharType="end"/>
            </w:r>
          </w:hyperlink>
        </w:p>
        <w:p w14:paraId="71575D51" w14:textId="72B4FD01" w:rsidR="00A032A5" w:rsidRPr="00BE20BD" w:rsidRDefault="000C0F79" w:rsidP="00BE20BD">
          <w:pPr>
            <w:pStyle w:val="TOC2"/>
            <w:rPr>
              <w:rFonts w:asciiTheme="minorHAnsi" w:eastAsiaTheme="minorEastAsia" w:hAnsiTheme="minorHAnsi" w:cstheme="minorBidi"/>
              <w:sz w:val="22"/>
              <w:szCs w:val="22"/>
              <w:lang w:eastAsia="en-GB"/>
            </w:rPr>
          </w:pPr>
          <w:hyperlink w:anchor="_Toc148445935" w:history="1">
            <w:r w:rsidR="00A032A5" w:rsidRPr="00BE20BD">
              <w:rPr>
                <w:rStyle w:val="Hyperlink"/>
              </w:rPr>
              <w:t>3.2</w:t>
            </w:r>
            <w:r w:rsidR="00A032A5" w:rsidRPr="00BE20BD">
              <w:rPr>
                <w:rFonts w:asciiTheme="minorHAnsi" w:eastAsiaTheme="minorEastAsia" w:hAnsiTheme="minorHAnsi" w:cstheme="minorBidi"/>
                <w:sz w:val="22"/>
                <w:szCs w:val="22"/>
                <w:lang w:eastAsia="en-GB"/>
              </w:rPr>
              <w:tab/>
            </w:r>
            <w:r w:rsidR="00A032A5" w:rsidRPr="00BE20BD">
              <w:rPr>
                <w:rStyle w:val="Hyperlink"/>
              </w:rPr>
              <w:t>Declaration of the models used for the SST 2024</w:t>
            </w:r>
            <w:r w:rsidR="00A032A5" w:rsidRPr="00BE20BD">
              <w:rPr>
                <w:webHidden/>
              </w:rPr>
              <w:tab/>
            </w:r>
            <w:r w:rsidR="00A032A5" w:rsidRPr="00BE20BD">
              <w:rPr>
                <w:webHidden/>
              </w:rPr>
              <w:fldChar w:fldCharType="begin"/>
            </w:r>
            <w:r w:rsidR="00A032A5" w:rsidRPr="00BE20BD">
              <w:rPr>
                <w:webHidden/>
              </w:rPr>
              <w:instrText xml:space="preserve"> PAGEREF _Toc148445935 \h </w:instrText>
            </w:r>
            <w:r w:rsidR="00A032A5" w:rsidRPr="00BE20BD">
              <w:rPr>
                <w:webHidden/>
              </w:rPr>
            </w:r>
            <w:r w:rsidR="00A032A5" w:rsidRPr="00BE20BD">
              <w:rPr>
                <w:webHidden/>
              </w:rPr>
              <w:fldChar w:fldCharType="separate"/>
            </w:r>
            <w:r w:rsidR="00A032A5" w:rsidRPr="00BE20BD">
              <w:rPr>
                <w:webHidden/>
              </w:rPr>
              <w:t>7</w:t>
            </w:r>
            <w:r w:rsidR="00A032A5" w:rsidRPr="00BE20BD">
              <w:rPr>
                <w:webHidden/>
              </w:rPr>
              <w:fldChar w:fldCharType="end"/>
            </w:r>
          </w:hyperlink>
        </w:p>
        <w:p w14:paraId="3FA3E536" w14:textId="3560E42D" w:rsidR="00A032A5" w:rsidRPr="00BE20BD" w:rsidRDefault="000C0F79" w:rsidP="00BE20BD">
          <w:pPr>
            <w:pStyle w:val="TOC2"/>
            <w:rPr>
              <w:rFonts w:asciiTheme="minorHAnsi" w:eastAsiaTheme="minorEastAsia" w:hAnsiTheme="minorHAnsi" w:cstheme="minorBidi"/>
              <w:sz w:val="22"/>
              <w:szCs w:val="22"/>
              <w:lang w:eastAsia="en-GB"/>
            </w:rPr>
          </w:pPr>
          <w:hyperlink w:anchor="_Toc148445936" w:history="1">
            <w:r w:rsidR="00A032A5" w:rsidRPr="00BE20BD">
              <w:rPr>
                <w:rStyle w:val="Hyperlink"/>
              </w:rPr>
              <w:t>3.3</w:t>
            </w:r>
            <w:r w:rsidR="00A032A5" w:rsidRPr="00BE20BD">
              <w:rPr>
                <w:rFonts w:asciiTheme="minorHAnsi" w:eastAsiaTheme="minorEastAsia" w:hAnsiTheme="minorHAnsi" w:cstheme="minorBidi"/>
                <w:sz w:val="22"/>
                <w:szCs w:val="22"/>
                <w:lang w:eastAsia="en-GB"/>
              </w:rPr>
              <w:tab/>
            </w:r>
            <w:r w:rsidR="00A032A5" w:rsidRPr="00BE20BD">
              <w:rPr>
                <w:rStyle w:val="Hyperlink"/>
              </w:rPr>
              <w:t>Model changes compared with the previous year</w:t>
            </w:r>
            <w:r w:rsidR="00A032A5" w:rsidRPr="00BE20BD">
              <w:rPr>
                <w:webHidden/>
              </w:rPr>
              <w:tab/>
            </w:r>
            <w:r w:rsidR="00A032A5" w:rsidRPr="00BE20BD">
              <w:rPr>
                <w:webHidden/>
              </w:rPr>
              <w:fldChar w:fldCharType="begin"/>
            </w:r>
            <w:r w:rsidR="00A032A5" w:rsidRPr="00BE20BD">
              <w:rPr>
                <w:webHidden/>
              </w:rPr>
              <w:instrText xml:space="preserve"> PAGEREF _Toc148445936 \h </w:instrText>
            </w:r>
            <w:r w:rsidR="00A032A5" w:rsidRPr="00BE20BD">
              <w:rPr>
                <w:webHidden/>
              </w:rPr>
            </w:r>
            <w:r w:rsidR="00A032A5" w:rsidRPr="00BE20BD">
              <w:rPr>
                <w:webHidden/>
              </w:rPr>
              <w:fldChar w:fldCharType="separate"/>
            </w:r>
            <w:r w:rsidR="00A032A5" w:rsidRPr="00BE20BD">
              <w:rPr>
                <w:webHidden/>
              </w:rPr>
              <w:t>7</w:t>
            </w:r>
            <w:r w:rsidR="00A032A5" w:rsidRPr="00BE20BD">
              <w:rPr>
                <w:webHidden/>
              </w:rPr>
              <w:fldChar w:fldCharType="end"/>
            </w:r>
          </w:hyperlink>
        </w:p>
        <w:p w14:paraId="0D9D1AF7" w14:textId="34A528C7" w:rsidR="00A032A5" w:rsidRPr="00BE20BD" w:rsidRDefault="000C0F79" w:rsidP="00BE20BD">
          <w:pPr>
            <w:pStyle w:val="TOC2"/>
            <w:rPr>
              <w:rFonts w:asciiTheme="minorHAnsi" w:eastAsiaTheme="minorEastAsia" w:hAnsiTheme="minorHAnsi" w:cstheme="minorBidi"/>
              <w:sz w:val="22"/>
              <w:szCs w:val="22"/>
              <w:lang w:eastAsia="en-GB"/>
            </w:rPr>
          </w:pPr>
          <w:hyperlink w:anchor="_Toc148445937" w:history="1">
            <w:r w:rsidR="00A032A5" w:rsidRPr="00BE20BD">
              <w:rPr>
                <w:rStyle w:val="Hyperlink"/>
              </w:rPr>
              <w:t>3.4</w:t>
            </w:r>
            <w:r w:rsidR="00A032A5" w:rsidRPr="00BE20BD">
              <w:rPr>
                <w:rFonts w:asciiTheme="minorHAnsi" w:eastAsiaTheme="minorEastAsia" w:hAnsiTheme="minorHAnsi" w:cstheme="minorBidi"/>
                <w:sz w:val="22"/>
                <w:szCs w:val="22"/>
                <w:lang w:eastAsia="en-GB"/>
              </w:rPr>
              <w:tab/>
            </w:r>
            <w:r w:rsidR="00A032A5" w:rsidRPr="00BE20BD">
              <w:rPr>
                <w:rStyle w:val="Hyperlink"/>
              </w:rPr>
              <w:t>List of documents submitted</w:t>
            </w:r>
            <w:r w:rsidR="00A032A5" w:rsidRPr="00BE20BD">
              <w:rPr>
                <w:webHidden/>
              </w:rPr>
              <w:tab/>
            </w:r>
            <w:r w:rsidR="00A032A5" w:rsidRPr="00BE20BD">
              <w:rPr>
                <w:webHidden/>
              </w:rPr>
              <w:fldChar w:fldCharType="begin"/>
            </w:r>
            <w:r w:rsidR="00A032A5" w:rsidRPr="00BE20BD">
              <w:rPr>
                <w:webHidden/>
              </w:rPr>
              <w:instrText xml:space="preserve"> PAGEREF _Toc148445937 \h </w:instrText>
            </w:r>
            <w:r w:rsidR="00A032A5" w:rsidRPr="00BE20BD">
              <w:rPr>
                <w:webHidden/>
              </w:rPr>
            </w:r>
            <w:r w:rsidR="00A032A5" w:rsidRPr="00BE20BD">
              <w:rPr>
                <w:webHidden/>
              </w:rPr>
              <w:fldChar w:fldCharType="separate"/>
            </w:r>
            <w:r w:rsidR="00A032A5" w:rsidRPr="00BE20BD">
              <w:rPr>
                <w:webHidden/>
              </w:rPr>
              <w:t>7</w:t>
            </w:r>
            <w:r w:rsidR="00A032A5" w:rsidRPr="00BE20BD">
              <w:rPr>
                <w:webHidden/>
              </w:rPr>
              <w:fldChar w:fldCharType="end"/>
            </w:r>
          </w:hyperlink>
        </w:p>
        <w:p w14:paraId="5F20411B" w14:textId="12AB639C" w:rsidR="00A032A5" w:rsidRPr="00BE20BD" w:rsidRDefault="000C0F79">
          <w:pPr>
            <w:pStyle w:val="TOC1"/>
            <w:rPr>
              <w:rFonts w:asciiTheme="minorHAnsi" w:eastAsiaTheme="minorEastAsia" w:hAnsiTheme="minorHAnsi" w:cstheme="minorBidi"/>
              <w:b w:val="0"/>
              <w:bCs w:val="0"/>
              <w:lang w:eastAsia="en-GB"/>
            </w:rPr>
          </w:pPr>
          <w:hyperlink w:anchor="_Toc148445938" w:history="1">
            <w:r w:rsidR="00A032A5" w:rsidRPr="00BE20BD">
              <w:rPr>
                <w:rStyle w:val="Hyperlink"/>
              </w:rPr>
              <w:t>4</w:t>
            </w:r>
            <w:r w:rsidR="00A032A5" w:rsidRPr="00BE20BD">
              <w:rPr>
                <w:rFonts w:asciiTheme="minorHAnsi" w:eastAsiaTheme="minorEastAsia" w:hAnsiTheme="minorHAnsi" w:cstheme="minorBidi"/>
                <w:b w:val="0"/>
                <w:bCs w:val="0"/>
                <w:lang w:eastAsia="en-GB"/>
              </w:rPr>
              <w:tab/>
            </w:r>
            <w:r w:rsidR="00A032A5" w:rsidRPr="00BE20BD">
              <w:rPr>
                <w:rStyle w:val="Hyperlink"/>
              </w:rPr>
              <w:t>Qualitative requirements</w:t>
            </w:r>
            <w:r w:rsidR="00A032A5" w:rsidRPr="00BE20BD">
              <w:rPr>
                <w:webHidden/>
              </w:rPr>
              <w:tab/>
            </w:r>
            <w:r w:rsidR="00A032A5" w:rsidRPr="00BE20BD">
              <w:rPr>
                <w:webHidden/>
              </w:rPr>
              <w:fldChar w:fldCharType="begin"/>
            </w:r>
            <w:r w:rsidR="00A032A5" w:rsidRPr="00BE20BD">
              <w:rPr>
                <w:webHidden/>
              </w:rPr>
              <w:instrText xml:space="preserve"> PAGEREF _Toc148445938 \h </w:instrText>
            </w:r>
            <w:r w:rsidR="00A032A5" w:rsidRPr="00BE20BD">
              <w:rPr>
                <w:webHidden/>
              </w:rPr>
            </w:r>
            <w:r w:rsidR="00A032A5" w:rsidRPr="00BE20BD">
              <w:rPr>
                <w:webHidden/>
              </w:rPr>
              <w:fldChar w:fldCharType="separate"/>
            </w:r>
            <w:r w:rsidR="00A032A5" w:rsidRPr="00BE20BD">
              <w:rPr>
                <w:webHidden/>
              </w:rPr>
              <w:t>8</w:t>
            </w:r>
            <w:r w:rsidR="00A032A5" w:rsidRPr="00BE20BD">
              <w:rPr>
                <w:webHidden/>
              </w:rPr>
              <w:fldChar w:fldCharType="end"/>
            </w:r>
          </w:hyperlink>
        </w:p>
        <w:p w14:paraId="736E9EAB" w14:textId="3AF89CE5" w:rsidR="00A032A5" w:rsidRPr="00BE20BD" w:rsidRDefault="000C0F79" w:rsidP="00BE20BD">
          <w:pPr>
            <w:pStyle w:val="TOC2"/>
            <w:rPr>
              <w:rFonts w:asciiTheme="minorHAnsi" w:eastAsiaTheme="minorEastAsia" w:hAnsiTheme="minorHAnsi" w:cstheme="minorBidi"/>
              <w:sz w:val="22"/>
              <w:szCs w:val="22"/>
              <w:lang w:eastAsia="en-GB"/>
            </w:rPr>
          </w:pPr>
          <w:hyperlink w:anchor="_Toc148445939" w:history="1">
            <w:r w:rsidR="00A032A5" w:rsidRPr="00BE20BD">
              <w:rPr>
                <w:rStyle w:val="Hyperlink"/>
              </w:rPr>
              <w:t>4.1</w:t>
            </w:r>
            <w:r w:rsidR="00A032A5" w:rsidRPr="00BE20BD">
              <w:rPr>
                <w:rFonts w:asciiTheme="minorHAnsi" w:eastAsiaTheme="minorEastAsia" w:hAnsiTheme="minorHAnsi" w:cstheme="minorBidi"/>
                <w:sz w:val="22"/>
                <w:szCs w:val="22"/>
                <w:lang w:eastAsia="en-GB"/>
              </w:rPr>
              <w:tab/>
            </w:r>
            <w:r w:rsidR="00A032A5" w:rsidRPr="00BE20BD">
              <w:rPr>
                <w:rStyle w:val="Hyperlink"/>
              </w:rPr>
              <w:t>Self-assessment by the insurance undertaking</w:t>
            </w:r>
            <w:r w:rsidR="00A032A5" w:rsidRPr="00BE20BD">
              <w:rPr>
                <w:webHidden/>
              </w:rPr>
              <w:tab/>
            </w:r>
            <w:r w:rsidR="00A032A5" w:rsidRPr="00BE20BD">
              <w:rPr>
                <w:webHidden/>
              </w:rPr>
              <w:fldChar w:fldCharType="begin"/>
            </w:r>
            <w:r w:rsidR="00A032A5" w:rsidRPr="00BE20BD">
              <w:rPr>
                <w:webHidden/>
              </w:rPr>
              <w:instrText xml:space="preserve"> PAGEREF _Toc148445939 \h </w:instrText>
            </w:r>
            <w:r w:rsidR="00A032A5" w:rsidRPr="00BE20BD">
              <w:rPr>
                <w:webHidden/>
              </w:rPr>
            </w:r>
            <w:r w:rsidR="00A032A5" w:rsidRPr="00BE20BD">
              <w:rPr>
                <w:webHidden/>
              </w:rPr>
              <w:fldChar w:fldCharType="separate"/>
            </w:r>
            <w:r w:rsidR="00A032A5" w:rsidRPr="00BE20BD">
              <w:rPr>
                <w:webHidden/>
              </w:rPr>
              <w:t>8</w:t>
            </w:r>
            <w:r w:rsidR="00A032A5" w:rsidRPr="00BE20BD">
              <w:rPr>
                <w:webHidden/>
              </w:rPr>
              <w:fldChar w:fldCharType="end"/>
            </w:r>
          </w:hyperlink>
        </w:p>
        <w:p w14:paraId="75C9FB9B" w14:textId="15013B1F" w:rsidR="00A032A5" w:rsidRPr="00BE20BD" w:rsidRDefault="000C0F79" w:rsidP="00BE20BD">
          <w:pPr>
            <w:pStyle w:val="TOC2"/>
            <w:rPr>
              <w:rFonts w:asciiTheme="minorHAnsi" w:eastAsiaTheme="minorEastAsia" w:hAnsiTheme="minorHAnsi" w:cstheme="minorBidi"/>
              <w:sz w:val="22"/>
              <w:szCs w:val="22"/>
              <w:lang w:eastAsia="en-GB"/>
            </w:rPr>
          </w:pPr>
          <w:hyperlink w:anchor="_Toc148445940" w:history="1">
            <w:r w:rsidR="00A032A5" w:rsidRPr="00BE20BD">
              <w:rPr>
                <w:rStyle w:val="Hyperlink"/>
              </w:rPr>
              <w:t>4.2</w:t>
            </w:r>
            <w:r w:rsidR="00A032A5" w:rsidRPr="00BE20BD">
              <w:rPr>
                <w:rFonts w:asciiTheme="minorHAnsi" w:eastAsiaTheme="minorEastAsia" w:hAnsiTheme="minorHAnsi" w:cstheme="minorBidi"/>
                <w:sz w:val="22"/>
                <w:szCs w:val="22"/>
                <w:lang w:eastAsia="en-GB"/>
              </w:rPr>
              <w:tab/>
            </w:r>
            <w:r w:rsidR="00A032A5" w:rsidRPr="00BE20BD">
              <w:rPr>
                <w:rStyle w:val="Hyperlink"/>
              </w:rPr>
              <w:t>Outsourcing of the SST calculation</w:t>
            </w:r>
            <w:r w:rsidR="00A032A5" w:rsidRPr="00BE20BD">
              <w:rPr>
                <w:webHidden/>
              </w:rPr>
              <w:tab/>
            </w:r>
            <w:r w:rsidR="00A032A5" w:rsidRPr="00BE20BD">
              <w:rPr>
                <w:webHidden/>
              </w:rPr>
              <w:fldChar w:fldCharType="begin"/>
            </w:r>
            <w:r w:rsidR="00A032A5" w:rsidRPr="00BE20BD">
              <w:rPr>
                <w:webHidden/>
              </w:rPr>
              <w:instrText xml:space="preserve"> PAGEREF _Toc148445940 \h </w:instrText>
            </w:r>
            <w:r w:rsidR="00A032A5" w:rsidRPr="00BE20BD">
              <w:rPr>
                <w:webHidden/>
              </w:rPr>
            </w:r>
            <w:r w:rsidR="00A032A5" w:rsidRPr="00BE20BD">
              <w:rPr>
                <w:webHidden/>
              </w:rPr>
              <w:fldChar w:fldCharType="separate"/>
            </w:r>
            <w:r w:rsidR="00A032A5" w:rsidRPr="00BE20BD">
              <w:rPr>
                <w:webHidden/>
              </w:rPr>
              <w:t>8</w:t>
            </w:r>
            <w:r w:rsidR="00A032A5" w:rsidRPr="00BE20BD">
              <w:rPr>
                <w:webHidden/>
              </w:rPr>
              <w:fldChar w:fldCharType="end"/>
            </w:r>
          </w:hyperlink>
        </w:p>
        <w:p w14:paraId="60C66251" w14:textId="7239C095" w:rsidR="00A032A5" w:rsidRPr="00BE20BD" w:rsidRDefault="000C0F79" w:rsidP="00BE20BD">
          <w:pPr>
            <w:pStyle w:val="TOC2"/>
            <w:rPr>
              <w:rFonts w:asciiTheme="minorHAnsi" w:eastAsiaTheme="minorEastAsia" w:hAnsiTheme="minorHAnsi" w:cstheme="minorBidi"/>
              <w:sz w:val="22"/>
              <w:szCs w:val="22"/>
              <w:lang w:eastAsia="en-GB"/>
            </w:rPr>
          </w:pPr>
          <w:hyperlink w:anchor="_Toc148445941" w:history="1">
            <w:r w:rsidR="00A032A5" w:rsidRPr="00BE20BD">
              <w:rPr>
                <w:rStyle w:val="Hyperlink"/>
              </w:rPr>
              <w:t>4.3</w:t>
            </w:r>
            <w:r w:rsidR="00A032A5" w:rsidRPr="00BE20BD">
              <w:rPr>
                <w:rFonts w:asciiTheme="minorHAnsi" w:eastAsiaTheme="minorEastAsia" w:hAnsiTheme="minorHAnsi" w:cstheme="minorBidi"/>
                <w:sz w:val="22"/>
                <w:szCs w:val="22"/>
                <w:lang w:eastAsia="en-GB"/>
              </w:rPr>
              <w:tab/>
            </w:r>
            <w:r w:rsidR="00A032A5" w:rsidRPr="00BE20BD">
              <w:rPr>
                <w:rStyle w:val="Hyperlink"/>
              </w:rPr>
              <w:t>Data recording</w:t>
            </w:r>
            <w:r w:rsidR="00A032A5" w:rsidRPr="00BE20BD">
              <w:rPr>
                <w:webHidden/>
              </w:rPr>
              <w:tab/>
            </w:r>
            <w:r w:rsidR="00A032A5" w:rsidRPr="00BE20BD">
              <w:rPr>
                <w:webHidden/>
              </w:rPr>
              <w:fldChar w:fldCharType="begin"/>
            </w:r>
            <w:r w:rsidR="00A032A5" w:rsidRPr="00BE20BD">
              <w:rPr>
                <w:webHidden/>
              </w:rPr>
              <w:instrText xml:space="preserve"> PAGEREF _Toc148445941 \h </w:instrText>
            </w:r>
            <w:r w:rsidR="00A032A5" w:rsidRPr="00BE20BD">
              <w:rPr>
                <w:webHidden/>
              </w:rPr>
            </w:r>
            <w:r w:rsidR="00A032A5" w:rsidRPr="00BE20BD">
              <w:rPr>
                <w:webHidden/>
              </w:rPr>
              <w:fldChar w:fldCharType="separate"/>
            </w:r>
            <w:r w:rsidR="00A032A5" w:rsidRPr="00BE20BD">
              <w:rPr>
                <w:webHidden/>
              </w:rPr>
              <w:t>8</w:t>
            </w:r>
            <w:r w:rsidR="00A032A5" w:rsidRPr="00BE20BD">
              <w:rPr>
                <w:webHidden/>
              </w:rPr>
              <w:fldChar w:fldCharType="end"/>
            </w:r>
          </w:hyperlink>
        </w:p>
        <w:p w14:paraId="35B6A4C1" w14:textId="4A9D8D50" w:rsidR="00A032A5" w:rsidRPr="00BE20BD" w:rsidRDefault="000C0F79" w:rsidP="00BE20BD">
          <w:pPr>
            <w:pStyle w:val="TOC2"/>
            <w:rPr>
              <w:rFonts w:asciiTheme="minorHAnsi" w:eastAsiaTheme="minorEastAsia" w:hAnsiTheme="minorHAnsi" w:cstheme="minorBidi"/>
              <w:sz w:val="22"/>
              <w:szCs w:val="22"/>
              <w:lang w:eastAsia="en-GB"/>
            </w:rPr>
          </w:pPr>
          <w:hyperlink w:anchor="_Toc148445942" w:history="1">
            <w:r w:rsidR="00A032A5" w:rsidRPr="00BE20BD">
              <w:rPr>
                <w:rStyle w:val="Hyperlink"/>
              </w:rPr>
              <w:t>4.4</w:t>
            </w:r>
            <w:r w:rsidR="00A032A5" w:rsidRPr="00BE20BD">
              <w:rPr>
                <w:rFonts w:asciiTheme="minorHAnsi" w:eastAsiaTheme="minorEastAsia" w:hAnsiTheme="minorHAnsi" w:cstheme="minorBidi"/>
                <w:sz w:val="22"/>
                <w:szCs w:val="22"/>
                <w:lang w:eastAsia="en-GB"/>
              </w:rPr>
              <w:tab/>
            </w:r>
            <w:r w:rsidR="00A032A5" w:rsidRPr="00BE20BD">
              <w:rPr>
                <w:rStyle w:val="Hyperlink"/>
              </w:rPr>
              <w:t>Validation</w:t>
            </w:r>
            <w:r w:rsidR="00A032A5" w:rsidRPr="00BE20BD">
              <w:rPr>
                <w:webHidden/>
              </w:rPr>
              <w:tab/>
            </w:r>
            <w:r w:rsidR="00A032A5" w:rsidRPr="00BE20BD">
              <w:rPr>
                <w:webHidden/>
              </w:rPr>
              <w:fldChar w:fldCharType="begin"/>
            </w:r>
            <w:r w:rsidR="00A032A5" w:rsidRPr="00BE20BD">
              <w:rPr>
                <w:webHidden/>
              </w:rPr>
              <w:instrText xml:space="preserve"> PAGEREF _Toc148445942 \h </w:instrText>
            </w:r>
            <w:r w:rsidR="00A032A5" w:rsidRPr="00BE20BD">
              <w:rPr>
                <w:webHidden/>
              </w:rPr>
            </w:r>
            <w:r w:rsidR="00A032A5" w:rsidRPr="00BE20BD">
              <w:rPr>
                <w:webHidden/>
              </w:rPr>
              <w:fldChar w:fldCharType="separate"/>
            </w:r>
            <w:r w:rsidR="00A032A5" w:rsidRPr="00BE20BD">
              <w:rPr>
                <w:webHidden/>
              </w:rPr>
              <w:t>8</w:t>
            </w:r>
            <w:r w:rsidR="00A032A5" w:rsidRPr="00BE20BD">
              <w:rPr>
                <w:webHidden/>
              </w:rPr>
              <w:fldChar w:fldCharType="end"/>
            </w:r>
          </w:hyperlink>
        </w:p>
        <w:p w14:paraId="3ADB4619" w14:textId="3C42E36D" w:rsidR="00A032A5" w:rsidRPr="00BE20BD" w:rsidRDefault="000C0F79">
          <w:pPr>
            <w:pStyle w:val="TOC1"/>
            <w:rPr>
              <w:rFonts w:asciiTheme="minorHAnsi" w:eastAsiaTheme="minorEastAsia" w:hAnsiTheme="minorHAnsi" w:cstheme="minorBidi"/>
              <w:b w:val="0"/>
              <w:bCs w:val="0"/>
              <w:lang w:eastAsia="en-GB"/>
            </w:rPr>
          </w:pPr>
          <w:hyperlink w:anchor="_Toc148445943" w:history="1">
            <w:r w:rsidR="00A032A5" w:rsidRPr="00BE20BD">
              <w:rPr>
                <w:rStyle w:val="Hyperlink"/>
              </w:rPr>
              <w:t>5</w:t>
            </w:r>
            <w:r w:rsidR="00A032A5" w:rsidRPr="00BE20BD">
              <w:rPr>
                <w:rFonts w:asciiTheme="minorHAnsi" w:eastAsiaTheme="minorEastAsia" w:hAnsiTheme="minorHAnsi" w:cstheme="minorBidi"/>
                <w:b w:val="0"/>
                <w:bCs w:val="0"/>
                <w:lang w:eastAsia="en-GB"/>
              </w:rPr>
              <w:tab/>
            </w:r>
            <w:r w:rsidR="00A032A5" w:rsidRPr="00BE20BD">
              <w:rPr>
                <w:rStyle w:val="Hyperlink"/>
              </w:rPr>
              <w:t>RBC and its components</w:t>
            </w:r>
            <w:r w:rsidR="00A032A5" w:rsidRPr="00BE20BD">
              <w:rPr>
                <w:webHidden/>
              </w:rPr>
              <w:tab/>
            </w:r>
            <w:r w:rsidR="00A032A5" w:rsidRPr="00BE20BD">
              <w:rPr>
                <w:webHidden/>
              </w:rPr>
              <w:fldChar w:fldCharType="begin"/>
            </w:r>
            <w:r w:rsidR="00A032A5" w:rsidRPr="00BE20BD">
              <w:rPr>
                <w:webHidden/>
              </w:rPr>
              <w:instrText xml:space="preserve"> PAGEREF _Toc148445943 \h </w:instrText>
            </w:r>
            <w:r w:rsidR="00A032A5" w:rsidRPr="00BE20BD">
              <w:rPr>
                <w:webHidden/>
              </w:rPr>
            </w:r>
            <w:r w:rsidR="00A032A5" w:rsidRPr="00BE20BD">
              <w:rPr>
                <w:webHidden/>
              </w:rPr>
              <w:fldChar w:fldCharType="separate"/>
            </w:r>
            <w:r w:rsidR="00A032A5" w:rsidRPr="00BE20BD">
              <w:rPr>
                <w:webHidden/>
              </w:rPr>
              <w:t>8</w:t>
            </w:r>
            <w:r w:rsidR="00A032A5" w:rsidRPr="00BE20BD">
              <w:rPr>
                <w:webHidden/>
              </w:rPr>
              <w:fldChar w:fldCharType="end"/>
            </w:r>
          </w:hyperlink>
        </w:p>
        <w:p w14:paraId="091CF996" w14:textId="0171E9C6" w:rsidR="00A032A5" w:rsidRPr="00BE20BD" w:rsidRDefault="000C0F79" w:rsidP="00BE20BD">
          <w:pPr>
            <w:pStyle w:val="TOC2"/>
            <w:rPr>
              <w:rFonts w:asciiTheme="minorHAnsi" w:eastAsiaTheme="minorEastAsia" w:hAnsiTheme="minorHAnsi" w:cstheme="minorBidi"/>
              <w:sz w:val="22"/>
              <w:szCs w:val="22"/>
              <w:lang w:eastAsia="en-GB"/>
            </w:rPr>
          </w:pPr>
          <w:hyperlink w:anchor="_Toc148445944" w:history="1">
            <w:r w:rsidR="00A032A5" w:rsidRPr="00BE20BD">
              <w:rPr>
                <w:rStyle w:val="Hyperlink"/>
              </w:rPr>
              <w:t>5.1</w:t>
            </w:r>
            <w:r w:rsidR="00A032A5" w:rsidRPr="00BE20BD">
              <w:rPr>
                <w:rFonts w:asciiTheme="minorHAnsi" w:eastAsiaTheme="minorEastAsia" w:hAnsiTheme="minorHAnsi" w:cstheme="minorBidi"/>
                <w:sz w:val="22"/>
                <w:szCs w:val="22"/>
                <w:lang w:eastAsia="en-GB"/>
              </w:rPr>
              <w:tab/>
            </w:r>
            <w:r w:rsidR="00A032A5" w:rsidRPr="00BE20BD">
              <w:rPr>
                <w:rStyle w:val="Hyperlink"/>
              </w:rPr>
              <w:t>Overview of RBC</w:t>
            </w:r>
            <w:r w:rsidR="00A032A5" w:rsidRPr="00BE20BD">
              <w:rPr>
                <w:webHidden/>
              </w:rPr>
              <w:tab/>
            </w:r>
            <w:r w:rsidR="00A032A5" w:rsidRPr="00BE20BD">
              <w:rPr>
                <w:webHidden/>
              </w:rPr>
              <w:fldChar w:fldCharType="begin"/>
            </w:r>
            <w:r w:rsidR="00A032A5" w:rsidRPr="00BE20BD">
              <w:rPr>
                <w:webHidden/>
              </w:rPr>
              <w:instrText xml:space="preserve"> PAGEREF _Toc148445944 \h </w:instrText>
            </w:r>
            <w:r w:rsidR="00A032A5" w:rsidRPr="00BE20BD">
              <w:rPr>
                <w:webHidden/>
              </w:rPr>
            </w:r>
            <w:r w:rsidR="00A032A5" w:rsidRPr="00BE20BD">
              <w:rPr>
                <w:webHidden/>
              </w:rPr>
              <w:fldChar w:fldCharType="separate"/>
            </w:r>
            <w:r w:rsidR="00A032A5" w:rsidRPr="00BE20BD">
              <w:rPr>
                <w:webHidden/>
              </w:rPr>
              <w:t>8</w:t>
            </w:r>
            <w:r w:rsidR="00A032A5" w:rsidRPr="00BE20BD">
              <w:rPr>
                <w:webHidden/>
              </w:rPr>
              <w:fldChar w:fldCharType="end"/>
            </w:r>
          </w:hyperlink>
        </w:p>
        <w:p w14:paraId="379FB46D" w14:textId="3D4FBB44" w:rsidR="00A032A5" w:rsidRPr="00BE20BD" w:rsidRDefault="000C0F79" w:rsidP="00BE20BD">
          <w:pPr>
            <w:pStyle w:val="TOC2"/>
            <w:rPr>
              <w:rFonts w:asciiTheme="minorHAnsi" w:eastAsiaTheme="minorEastAsia" w:hAnsiTheme="minorHAnsi" w:cstheme="minorBidi"/>
              <w:sz w:val="22"/>
              <w:szCs w:val="22"/>
              <w:lang w:eastAsia="en-GB"/>
            </w:rPr>
          </w:pPr>
          <w:hyperlink w:anchor="_Toc148445945" w:history="1">
            <w:r w:rsidR="00A032A5" w:rsidRPr="00BE20BD">
              <w:rPr>
                <w:rStyle w:val="Hyperlink"/>
              </w:rPr>
              <w:t>5.2</w:t>
            </w:r>
            <w:r w:rsidR="00A032A5" w:rsidRPr="00BE20BD">
              <w:rPr>
                <w:rFonts w:asciiTheme="minorHAnsi" w:eastAsiaTheme="minorEastAsia" w:hAnsiTheme="minorHAnsi" w:cstheme="minorBidi"/>
                <w:sz w:val="22"/>
                <w:szCs w:val="22"/>
                <w:lang w:eastAsia="en-GB"/>
              </w:rPr>
              <w:tab/>
            </w:r>
            <w:r w:rsidR="00A032A5" w:rsidRPr="00BE20BD">
              <w:rPr>
                <w:rStyle w:val="Hyperlink"/>
              </w:rPr>
              <w:t>Assets</w:t>
            </w:r>
            <w:r w:rsidR="00A032A5" w:rsidRPr="00BE20BD">
              <w:rPr>
                <w:webHidden/>
              </w:rPr>
              <w:tab/>
            </w:r>
            <w:r w:rsidR="00A032A5" w:rsidRPr="00BE20BD">
              <w:rPr>
                <w:webHidden/>
              </w:rPr>
              <w:fldChar w:fldCharType="begin"/>
            </w:r>
            <w:r w:rsidR="00A032A5" w:rsidRPr="00BE20BD">
              <w:rPr>
                <w:webHidden/>
              </w:rPr>
              <w:instrText xml:space="preserve"> PAGEREF _Toc148445945 \h </w:instrText>
            </w:r>
            <w:r w:rsidR="00A032A5" w:rsidRPr="00BE20BD">
              <w:rPr>
                <w:webHidden/>
              </w:rPr>
            </w:r>
            <w:r w:rsidR="00A032A5" w:rsidRPr="00BE20BD">
              <w:rPr>
                <w:webHidden/>
              </w:rPr>
              <w:fldChar w:fldCharType="separate"/>
            </w:r>
            <w:r w:rsidR="00A032A5" w:rsidRPr="00BE20BD">
              <w:rPr>
                <w:webHidden/>
              </w:rPr>
              <w:t>9</w:t>
            </w:r>
            <w:r w:rsidR="00A032A5" w:rsidRPr="00BE20BD">
              <w:rPr>
                <w:webHidden/>
              </w:rPr>
              <w:fldChar w:fldCharType="end"/>
            </w:r>
          </w:hyperlink>
        </w:p>
        <w:p w14:paraId="04D997A3" w14:textId="1EB11FD0" w:rsidR="00A032A5" w:rsidRPr="00BE20BD" w:rsidRDefault="000C0F79" w:rsidP="00BE20BD">
          <w:pPr>
            <w:pStyle w:val="TOC2"/>
            <w:rPr>
              <w:rFonts w:asciiTheme="minorHAnsi" w:eastAsiaTheme="minorEastAsia" w:hAnsiTheme="minorHAnsi" w:cstheme="minorBidi"/>
              <w:sz w:val="22"/>
              <w:szCs w:val="22"/>
              <w:lang w:eastAsia="en-GB"/>
            </w:rPr>
          </w:pPr>
          <w:hyperlink w:anchor="_Toc148445946" w:history="1">
            <w:r w:rsidR="00A032A5" w:rsidRPr="00BE20BD">
              <w:rPr>
                <w:rStyle w:val="Hyperlink"/>
              </w:rPr>
              <w:t>5.3</w:t>
            </w:r>
            <w:r w:rsidR="00A032A5" w:rsidRPr="00BE20BD">
              <w:rPr>
                <w:rFonts w:asciiTheme="minorHAnsi" w:eastAsiaTheme="minorEastAsia" w:hAnsiTheme="minorHAnsi" w:cstheme="minorBidi"/>
                <w:sz w:val="22"/>
                <w:szCs w:val="22"/>
                <w:lang w:eastAsia="en-GB"/>
              </w:rPr>
              <w:tab/>
            </w:r>
            <w:r w:rsidR="00A032A5" w:rsidRPr="00BE20BD">
              <w:rPr>
                <w:rStyle w:val="Hyperlink"/>
              </w:rPr>
              <w:t>Liabilities</w:t>
            </w:r>
            <w:r w:rsidR="00A032A5" w:rsidRPr="00BE20BD">
              <w:rPr>
                <w:webHidden/>
              </w:rPr>
              <w:tab/>
            </w:r>
            <w:r w:rsidR="00A032A5" w:rsidRPr="00BE20BD">
              <w:rPr>
                <w:webHidden/>
              </w:rPr>
              <w:fldChar w:fldCharType="begin"/>
            </w:r>
            <w:r w:rsidR="00A032A5" w:rsidRPr="00BE20BD">
              <w:rPr>
                <w:webHidden/>
              </w:rPr>
              <w:instrText xml:space="preserve"> PAGEREF _Toc148445946 \h </w:instrText>
            </w:r>
            <w:r w:rsidR="00A032A5" w:rsidRPr="00BE20BD">
              <w:rPr>
                <w:webHidden/>
              </w:rPr>
            </w:r>
            <w:r w:rsidR="00A032A5" w:rsidRPr="00BE20BD">
              <w:rPr>
                <w:webHidden/>
              </w:rPr>
              <w:fldChar w:fldCharType="separate"/>
            </w:r>
            <w:r w:rsidR="00A032A5" w:rsidRPr="00BE20BD">
              <w:rPr>
                <w:webHidden/>
              </w:rPr>
              <w:t>9</w:t>
            </w:r>
            <w:r w:rsidR="00A032A5" w:rsidRPr="00BE20BD">
              <w:rPr>
                <w:webHidden/>
              </w:rPr>
              <w:fldChar w:fldCharType="end"/>
            </w:r>
          </w:hyperlink>
        </w:p>
        <w:p w14:paraId="2A9AFA1E" w14:textId="7497A8AB" w:rsidR="00A032A5" w:rsidRPr="00BE20BD" w:rsidRDefault="000C0F79" w:rsidP="00BE20BD">
          <w:pPr>
            <w:pStyle w:val="TOC3"/>
            <w:rPr>
              <w:rFonts w:asciiTheme="minorHAnsi" w:eastAsiaTheme="minorEastAsia" w:hAnsiTheme="minorHAnsi" w:cstheme="minorBidi"/>
              <w:noProof/>
              <w:sz w:val="22"/>
              <w:szCs w:val="22"/>
              <w:lang w:eastAsia="en-GB"/>
            </w:rPr>
          </w:pPr>
          <w:hyperlink w:anchor="_Toc148445947" w:history="1">
            <w:r w:rsidR="00A032A5" w:rsidRPr="00BE20BD">
              <w:rPr>
                <w:rStyle w:val="Hyperlink"/>
                <w:noProof/>
              </w:rPr>
              <w:t>5.3.1</w:t>
            </w:r>
            <w:r w:rsidR="00A032A5" w:rsidRPr="00BE20BD">
              <w:rPr>
                <w:rFonts w:asciiTheme="minorHAnsi" w:eastAsiaTheme="minorEastAsia" w:hAnsiTheme="minorHAnsi" w:cstheme="minorBidi"/>
                <w:noProof/>
                <w:sz w:val="22"/>
                <w:szCs w:val="22"/>
                <w:lang w:eastAsia="en-GB"/>
              </w:rPr>
              <w:tab/>
            </w:r>
            <w:r w:rsidR="00A032A5" w:rsidRPr="00BE20BD">
              <w:rPr>
                <w:rStyle w:val="Hyperlink"/>
                <w:noProof/>
              </w:rPr>
              <w:t>Insurance portfolio</w:t>
            </w:r>
            <w:r w:rsidR="00A032A5" w:rsidRPr="00BE20BD">
              <w:rPr>
                <w:noProof/>
                <w:webHidden/>
              </w:rPr>
              <w:tab/>
            </w:r>
            <w:r w:rsidR="00A032A5" w:rsidRPr="00BE20BD">
              <w:rPr>
                <w:noProof/>
                <w:webHidden/>
              </w:rPr>
              <w:fldChar w:fldCharType="begin"/>
            </w:r>
            <w:r w:rsidR="00A032A5" w:rsidRPr="00BE20BD">
              <w:rPr>
                <w:noProof/>
                <w:webHidden/>
              </w:rPr>
              <w:instrText xml:space="preserve"> PAGEREF _Toc148445947 \h </w:instrText>
            </w:r>
            <w:r w:rsidR="00A032A5" w:rsidRPr="00BE20BD">
              <w:rPr>
                <w:noProof/>
                <w:webHidden/>
              </w:rPr>
            </w:r>
            <w:r w:rsidR="00A032A5" w:rsidRPr="00BE20BD">
              <w:rPr>
                <w:noProof/>
                <w:webHidden/>
              </w:rPr>
              <w:fldChar w:fldCharType="separate"/>
            </w:r>
            <w:r w:rsidR="00A032A5" w:rsidRPr="00BE20BD">
              <w:rPr>
                <w:noProof/>
                <w:webHidden/>
              </w:rPr>
              <w:t>9</w:t>
            </w:r>
            <w:r w:rsidR="00A032A5" w:rsidRPr="00BE20BD">
              <w:rPr>
                <w:noProof/>
                <w:webHidden/>
              </w:rPr>
              <w:fldChar w:fldCharType="end"/>
            </w:r>
          </w:hyperlink>
        </w:p>
        <w:p w14:paraId="167A29B1" w14:textId="09379985" w:rsidR="00A032A5" w:rsidRPr="00BE20BD" w:rsidRDefault="000C0F79" w:rsidP="00BE20BD">
          <w:pPr>
            <w:pStyle w:val="TOC3"/>
            <w:rPr>
              <w:rFonts w:asciiTheme="minorHAnsi" w:eastAsiaTheme="minorEastAsia" w:hAnsiTheme="minorHAnsi" w:cstheme="minorBidi"/>
              <w:noProof/>
              <w:sz w:val="22"/>
              <w:szCs w:val="22"/>
              <w:lang w:eastAsia="en-GB"/>
            </w:rPr>
          </w:pPr>
          <w:hyperlink w:anchor="_Toc148445948" w:history="1">
            <w:r w:rsidR="00A032A5" w:rsidRPr="00BE20BD">
              <w:rPr>
                <w:rStyle w:val="Hyperlink"/>
                <w:noProof/>
              </w:rPr>
              <w:t>5.3.2</w:t>
            </w:r>
            <w:r w:rsidR="00A032A5" w:rsidRPr="00BE20BD">
              <w:rPr>
                <w:rFonts w:asciiTheme="minorHAnsi" w:eastAsiaTheme="minorEastAsia" w:hAnsiTheme="minorHAnsi" w:cstheme="minorBidi"/>
                <w:noProof/>
                <w:sz w:val="22"/>
                <w:szCs w:val="22"/>
                <w:lang w:eastAsia="en-GB"/>
              </w:rPr>
              <w:tab/>
            </w:r>
            <w:r w:rsidR="00A032A5" w:rsidRPr="00BE20BD">
              <w:rPr>
                <w:rStyle w:val="Hyperlink"/>
                <w:noProof/>
              </w:rPr>
              <w:t>Best estimate of insurance liabilities and other liabilities</w:t>
            </w:r>
            <w:r w:rsidR="00A032A5" w:rsidRPr="00BE20BD">
              <w:rPr>
                <w:noProof/>
                <w:webHidden/>
              </w:rPr>
              <w:tab/>
            </w:r>
            <w:r w:rsidR="00A032A5" w:rsidRPr="00BE20BD">
              <w:rPr>
                <w:noProof/>
                <w:webHidden/>
              </w:rPr>
              <w:fldChar w:fldCharType="begin"/>
            </w:r>
            <w:r w:rsidR="00A032A5" w:rsidRPr="00BE20BD">
              <w:rPr>
                <w:noProof/>
                <w:webHidden/>
              </w:rPr>
              <w:instrText xml:space="preserve"> PAGEREF _Toc148445948 \h </w:instrText>
            </w:r>
            <w:r w:rsidR="00A032A5" w:rsidRPr="00BE20BD">
              <w:rPr>
                <w:noProof/>
                <w:webHidden/>
              </w:rPr>
            </w:r>
            <w:r w:rsidR="00A032A5" w:rsidRPr="00BE20BD">
              <w:rPr>
                <w:noProof/>
                <w:webHidden/>
              </w:rPr>
              <w:fldChar w:fldCharType="separate"/>
            </w:r>
            <w:r w:rsidR="00A032A5" w:rsidRPr="00BE20BD">
              <w:rPr>
                <w:noProof/>
                <w:webHidden/>
              </w:rPr>
              <w:t>10</w:t>
            </w:r>
            <w:r w:rsidR="00A032A5" w:rsidRPr="00BE20BD">
              <w:rPr>
                <w:noProof/>
                <w:webHidden/>
              </w:rPr>
              <w:fldChar w:fldCharType="end"/>
            </w:r>
          </w:hyperlink>
        </w:p>
        <w:p w14:paraId="679E2824" w14:textId="475982B7" w:rsidR="00A032A5" w:rsidRPr="00BE20BD" w:rsidRDefault="000C0F79" w:rsidP="00BE20BD">
          <w:pPr>
            <w:pStyle w:val="TOC3"/>
            <w:rPr>
              <w:rFonts w:asciiTheme="minorHAnsi" w:eastAsiaTheme="minorEastAsia" w:hAnsiTheme="minorHAnsi" w:cstheme="minorBidi"/>
              <w:noProof/>
              <w:sz w:val="22"/>
              <w:szCs w:val="22"/>
              <w:lang w:eastAsia="en-GB"/>
            </w:rPr>
          </w:pPr>
          <w:hyperlink w:anchor="_Toc148445949" w:history="1">
            <w:r w:rsidR="00A032A5" w:rsidRPr="00BE20BD">
              <w:rPr>
                <w:rStyle w:val="Hyperlink"/>
                <w:noProof/>
              </w:rPr>
              <w:t>5.3.3</w:t>
            </w:r>
            <w:r w:rsidR="00A032A5" w:rsidRPr="00BE20BD">
              <w:rPr>
                <w:rFonts w:asciiTheme="minorHAnsi" w:eastAsiaTheme="minorEastAsia" w:hAnsiTheme="minorHAnsi" w:cstheme="minorBidi"/>
                <w:noProof/>
                <w:sz w:val="22"/>
                <w:szCs w:val="22"/>
                <w:lang w:eastAsia="en-GB"/>
              </w:rPr>
              <w:tab/>
            </w:r>
            <w:r w:rsidR="00A032A5" w:rsidRPr="00BE20BD">
              <w:rPr>
                <w:rStyle w:val="Hyperlink"/>
                <w:noProof/>
              </w:rPr>
              <w:t>Market value margin</w:t>
            </w:r>
            <w:r w:rsidR="00A032A5" w:rsidRPr="00BE20BD">
              <w:rPr>
                <w:noProof/>
                <w:webHidden/>
              </w:rPr>
              <w:tab/>
            </w:r>
            <w:r w:rsidR="00A032A5" w:rsidRPr="00BE20BD">
              <w:rPr>
                <w:noProof/>
                <w:webHidden/>
              </w:rPr>
              <w:fldChar w:fldCharType="begin"/>
            </w:r>
            <w:r w:rsidR="00A032A5" w:rsidRPr="00BE20BD">
              <w:rPr>
                <w:noProof/>
                <w:webHidden/>
              </w:rPr>
              <w:instrText xml:space="preserve"> PAGEREF _Toc148445949 \h </w:instrText>
            </w:r>
            <w:r w:rsidR="00A032A5" w:rsidRPr="00BE20BD">
              <w:rPr>
                <w:noProof/>
                <w:webHidden/>
              </w:rPr>
            </w:r>
            <w:r w:rsidR="00A032A5" w:rsidRPr="00BE20BD">
              <w:rPr>
                <w:noProof/>
                <w:webHidden/>
              </w:rPr>
              <w:fldChar w:fldCharType="separate"/>
            </w:r>
            <w:r w:rsidR="00A032A5" w:rsidRPr="00BE20BD">
              <w:rPr>
                <w:noProof/>
                <w:webHidden/>
              </w:rPr>
              <w:t>10</w:t>
            </w:r>
            <w:r w:rsidR="00A032A5" w:rsidRPr="00BE20BD">
              <w:rPr>
                <w:noProof/>
                <w:webHidden/>
              </w:rPr>
              <w:fldChar w:fldCharType="end"/>
            </w:r>
          </w:hyperlink>
        </w:p>
        <w:p w14:paraId="3976D9CD" w14:textId="6E1A1178" w:rsidR="00A032A5" w:rsidRPr="00BE20BD" w:rsidRDefault="000C0F79" w:rsidP="00BE20BD">
          <w:pPr>
            <w:pStyle w:val="TOC2"/>
            <w:rPr>
              <w:rFonts w:asciiTheme="minorHAnsi" w:eastAsiaTheme="minorEastAsia" w:hAnsiTheme="minorHAnsi" w:cstheme="minorBidi"/>
              <w:sz w:val="22"/>
              <w:szCs w:val="22"/>
              <w:lang w:eastAsia="en-GB"/>
            </w:rPr>
          </w:pPr>
          <w:hyperlink w:anchor="_Toc148445950" w:history="1">
            <w:r w:rsidR="00A032A5" w:rsidRPr="00BE20BD">
              <w:rPr>
                <w:rStyle w:val="Hyperlink"/>
              </w:rPr>
              <w:t>5.4</w:t>
            </w:r>
            <w:r w:rsidR="00A032A5" w:rsidRPr="00BE20BD">
              <w:rPr>
                <w:rFonts w:asciiTheme="minorHAnsi" w:eastAsiaTheme="minorEastAsia" w:hAnsiTheme="minorHAnsi" w:cstheme="minorBidi"/>
                <w:sz w:val="22"/>
                <w:szCs w:val="22"/>
                <w:lang w:eastAsia="en-GB"/>
              </w:rPr>
              <w:tab/>
            </w:r>
            <w:r w:rsidR="00A032A5" w:rsidRPr="00BE20BD">
              <w:rPr>
                <w:rStyle w:val="Hyperlink"/>
              </w:rPr>
              <w:t>Transition from the audited balance sheet</w:t>
            </w:r>
            <w:r w:rsidR="00A032A5" w:rsidRPr="00BE20BD">
              <w:rPr>
                <w:webHidden/>
              </w:rPr>
              <w:tab/>
            </w:r>
            <w:r w:rsidR="00A032A5" w:rsidRPr="00BE20BD">
              <w:rPr>
                <w:webHidden/>
              </w:rPr>
              <w:fldChar w:fldCharType="begin"/>
            </w:r>
            <w:r w:rsidR="00A032A5" w:rsidRPr="00BE20BD">
              <w:rPr>
                <w:webHidden/>
              </w:rPr>
              <w:instrText xml:space="preserve"> PAGEREF _Toc148445950 \h </w:instrText>
            </w:r>
            <w:r w:rsidR="00A032A5" w:rsidRPr="00BE20BD">
              <w:rPr>
                <w:webHidden/>
              </w:rPr>
            </w:r>
            <w:r w:rsidR="00A032A5" w:rsidRPr="00BE20BD">
              <w:rPr>
                <w:webHidden/>
              </w:rPr>
              <w:fldChar w:fldCharType="separate"/>
            </w:r>
            <w:r w:rsidR="00A032A5" w:rsidRPr="00BE20BD">
              <w:rPr>
                <w:webHidden/>
              </w:rPr>
              <w:t>10</w:t>
            </w:r>
            <w:r w:rsidR="00A032A5" w:rsidRPr="00BE20BD">
              <w:rPr>
                <w:webHidden/>
              </w:rPr>
              <w:fldChar w:fldCharType="end"/>
            </w:r>
          </w:hyperlink>
        </w:p>
        <w:p w14:paraId="1F8E5675" w14:textId="2A7ABEE6" w:rsidR="00A032A5" w:rsidRPr="00BE20BD" w:rsidRDefault="000C0F79" w:rsidP="00BE20BD">
          <w:pPr>
            <w:pStyle w:val="TOC2"/>
            <w:rPr>
              <w:rFonts w:asciiTheme="minorHAnsi" w:eastAsiaTheme="minorEastAsia" w:hAnsiTheme="minorHAnsi" w:cstheme="minorBidi"/>
              <w:sz w:val="22"/>
              <w:szCs w:val="22"/>
              <w:lang w:eastAsia="en-GB"/>
            </w:rPr>
          </w:pPr>
          <w:hyperlink w:anchor="_Toc148445951" w:history="1">
            <w:r w:rsidR="00A032A5" w:rsidRPr="00BE20BD">
              <w:rPr>
                <w:rStyle w:val="Hyperlink"/>
              </w:rPr>
              <w:t>5.5</w:t>
            </w:r>
            <w:r w:rsidR="00A032A5" w:rsidRPr="00BE20BD">
              <w:rPr>
                <w:rFonts w:asciiTheme="minorHAnsi" w:eastAsiaTheme="minorEastAsia" w:hAnsiTheme="minorHAnsi" w:cstheme="minorBidi"/>
                <w:sz w:val="22"/>
                <w:szCs w:val="22"/>
                <w:lang w:eastAsia="en-GB"/>
              </w:rPr>
              <w:tab/>
            </w:r>
            <w:r w:rsidR="00A032A5" w:rsidRPr="00BE20BD">
              <w:rPr>
                <w:rStyle w:val="Hyperlink"/>
              </w:rPr>
              <w:t>Deductions: overview and changes from prior year</w:t>
            </w:r>
            <w:r w:rsidR="00A032A5" w:rsidRPr="00BE20BD">
              <w:rPr>
                <w:webHidden/>
              </w:rPr>
              <w:tab/>
            </w:r>
            <w:r w:rsidR="00A032A5" w:rsidRPr="00BE20BD">
              <w:rPr>
                <w:webHidden/>
              </w:rPr>
              <w:fldChar w:fldCharType="begin"/>
            </w:r>
            <w:r w:rsidR="00A032A5" w:rsidRPr="00BE20BD">
              <w:rPr>
                <w:webHidden/>
              </w:rPr>
              <w:instrText xml:space="preserve"> PAGEREF _Toc148445951 \h </w:instrText>
            </w:r>
            <w:r w:rsidR="00A032A5" w:rsidRPr="00BE20BD">
              <w:rPr>
                <w:webHidden/>
              </w:rPr>
            </w:r>
            <w:r w:rsidR="00A032A5" w:rsidRPr="00BE20BD">
              <w:rPr>
                <w:webHidden/>
              </w:rPr>
              <w:fldChar w:fldCharType="separate"/>
            </w:r>
            <w:r w:rsidR="00A032A5" w:rsidRPr="00BE20BD">
              <w:rPr>
                <w:webHidden/>
              </w:rPr>
              <w:t>11</w:t>
            </w:r>
            <w:r w:rsidR="00A032A5" w:rsidRPr="00BE20BD">
              <w:rPr>
                <w:webHidden/>
              </w:rPr>
              <w:fldChar w:fldCharType="end"/>
            </w:r>
          </w:hyperlink>
        </w:p>
        <w:p w14:paraId="329776D5" w14:textId="0FC25F1D" w:rsidR="00A032A5" w:rsidRPr="00BE20BD" w:rsidRDefault="000C0F79" w:rsidP="00BE20BD">
          <w:pPr>
            <w:pStyle w:val="TOC2"/>
            <w:rPr>
              <w:rFonts w:asciiTheme="minorHAnsi" w:eastAsiaTheme="minorEastAsia" w:hAnsiTheme="minorHAnsi" w:cstheme="minorBidi"/>
              <w:sz w:val="22"/>
              <w:szCs w:val="22"/>
              <w:lang w:eastAsia="en-GB"/>
            </w:rPr>
          </w:pPr>
          <w:hyperlink w:anchor="_Toc148445952" w:history="1">
            <w:r w:rsidR="00A032A5" w:rsidRPr="00BE20BD">
              <w:rPr>
                <w:rStyle w:val="Hyperlink"/>
              </w:rPr>
              <w:t>5.6</w:t>
            </w:r>
            <w:r w:rsidR="00A032A5" w:rsidRPr="00BE20BD">
              <w:rPr>
                <w:rFonts w:asciiTheme="minorHAnsi" w:eastAsiaTheme="minorEastAsia" w:hAnsiTheme="minorHAnsi" w:cstheme="minorBidi"/>
                <w:sz w:val="22"/>
                <w:szCs w:val="22"/>
                <w:lang w:eastAsia="en-GB"/>
              </w:rPr>
              <w:tab/>
            </w:r>
            <w:r w:rsidR="00A032A5" w:rsidRPr="00BE20BD">
              <w:rPr>
                <w:rStyle w:val="Hyperlink"/>
              </w:rPr>
              <w:t>Supplements: overview and changes from prior year</w:t>
            </w:r>
            <w:r w:rsidR="00A032A5" w:rsidRPr="00BE20BD">
              <w:rPr>
                <w:webHidden/>
              </w:rPr>
              <w:tab/>
            </w:r>
            <w:r w:rsidR="00A032A5" w:rsidRPr="00BE20BD">
              <w:rPr>
                <w:webHidden/>
              </w:rPr>
              <w:fldChar w:fldCharType="begin"/>
            </w:r>
            <w:r w:rsidR="00A032A5" w:rsidRPr="00BE20BD">
              <w:rPr>
                <w:webHidden/>
              </w:rPr>
              <w:instrText xml:space="preserve"> PAGEREF _Toc148445952 \h </w:instrText>
            </w:r>
            <w:r w:rsidR="00A032A5" w:rsidRPr="00BE20BD">
              <w:rPr>
                <w:webHidden/>
              </w:rPr>
            </w:r>
            <w:r w:rsidR="00A032A5" w:rsidRPr="00BE20BD">
              <w:rPr>
                <w:webHidden/>
              </w:rPr>
              <w:fldChar w:fldCharType="separate"/>
            </w:r>
            <w:r w:rsidR="00A032A5" w:rsidRPr="00BE20BD">
              <w:rPr>
                <w:webHidden/>
              </w:rPr>
              <w:t>11</w:t>
            </w:r>
            <w:r w:rsidR="00A032A5" w:rsidRPr="00BE20BD">
              <w:rPr>
                <w:webHidden/>
              </w:rPr>
              <w:fldChar w:fldCharType="end"/>
            </w:r>
          </w:hyperlink>
        </w:p>
        <w:p w14:paraId="77B6A949" w14:textId="0E00E6DE" w:rsidR="00A032A5" w:rsidRPr="00BE20BD" w:rsidRDefault="000C0F79">
          <w:pPr>
            <w:pStyle w:val="TOC1"/>
            <w:rPr>
              <w:rFonts w:asciiTheme="minorHAnsi" w:eastAsiaTheme="minorEastAsia" w:hAnsiTheme="minorHAnsi" w:cstheme="minorBidi"/>
              <w:b w:val="0"/>
              <w:bCs w:val="0"/>
              <w:lang w:eastAsia="en-GB"/>
            </w:rPr>
          </w:pPr>
          <w:hyperlink w:anchor="_Toc148445953" w:history="1">
            <w:r w:rsidR="00A032A5" w:rsidRPr="00BE20BD">
              <w:rPr>
                <w:rStyle w:val="Hyperlink"/>
              </w:rPr>
              <w:t>6</w:t>
            </w:r>
            <w:r w:rsidR="00A032A5" w:rsidRPr="00BE20BD">
              <w:rPr>
                <w:rFonts w:asciiTheme="minorHAnsi" w:eastAsiaTheme="minorEastAsia" w:hAnsiTheme="minorHAnsi" w:cstheme="minorBidi"/>
                <w:b w:val="0"/>
                <w:bCs w:val="0"/>
                <w:lang w:eastAsia="en-GB"/>
              </w:rPr>
              <w:tab/>
            </w:r>
            <w:r w:rsidR="00A032A5" w:rsidRPr="00BE20BD">
              <w:rPr>
                <w:rStyle w:val="Hyperlink"/>
              </w:rPr>
              <w:t>Target capital and its risk categories</w:t>
            </w:r>
            <w:r w:rsidR="00A032A5" w:rsidRPr="00BE20BD">
              <w:rPr>
                <w:webHidden/>
              </w:rPr>
              <w:tab/>
            </w:r>
            <w:r w:rsidR="00A032A5" w:rsidRPr="00BE20BD">
              <w:rPr>
                <w:webHidden/>
              </w:rPr>
              <w:fldChar w:fldCharType="begin"/>
            </w:r>
            <w:r w:rsidR="00A032A5" w:rsidRPr="00BE20BD">
              <w:rPr>
                <w:webHidden/>
              </w:rPr>
              <w:instrText xml:space="preserve"> PAGEREF _Toc148445953 \h </w:instrText>
            </w:r>
            <w:r w:rsidR="00A032A5" w:rsidRPr="00BE20BD">
              <w:rPr>
                <w:webHidden/>
              </w:rPr>
            </w:r>
            <w:r w:rsidR="00A032A5" w:rsidRPr="00BE20BD">
              <w:rPr>
                <w:webHidden/>
              </w:rPr>
              <w:fldChar w:fldCharType="separate"/>
            </w:r>
            <w:r w:rsidR="00A032A5" w:rsidRPr="00BE20BD">
              <w:rPr>
                <w:webHidden/>
              </w:rPr>
              <w:t>12</w:t>
            </w:r>
            <w:r w:rsidR="00A032A5" w:rsidRPr="00BE20BD">
              <w:rPr>
                <w:webHidden/>
              </w:rPr>
              <w:fldChar w:fldCharType="end"/>
            </w:r>
          </w:hyperlink>
        </w:p>
        <w:p w14:paraId="3589428B" w14:textId="3F0C2F29" w:rsidR="00A032A5" w:rsidRPr="00BE20BD" w:rsidRDefault="000C0F79" w:rsidP="00BE20BD">
          <w:pPr>
            <w:pStyle w:val="TOC2"/>
            <w:rPr>
              <w:rFonts w:asciiTheme="minorHAnsi" w:eastAsiaTheme="minorEastAsia" w:hAnsiTheme="minorHAnsi" w:cstheme="minorBidi"/>
              <w:sz w:val="22"/>
              <w:szCs w:val="22"/>
              <w:lang w:eastAsia="en-GB"/>
            </w:rPr>
          </w:pPr>
          <w:hyperlink w:anchor="_Toc148445954" w:history="1">
            <w:r w:rsidR="00A032A5" w:rsidRPr="00BE20BD">
              <w:rPr>
                <w:rStyle w:val="Hyperlink"/>
              </w:rPr>
              <w:t>6.1</w:t>
            </w:r>
            <w:r w:rsidR="00A032A5" w:rsidRPr="00BE20BD">
              <w:rPr>
                <w:rFonts w:asciiTheme="minorHAnsi" w:eastAsiaTheme="minorEastAsia" w:hAnsiTheme="minorHAnsi" w:cstheme="minorBidi"/>
                <w:sz w:val="22"/>
                <w:szCs w:val="22"/>
                <w:lang w:eastAsia="en-GB"/>
              </w:rPr>
              <w:tab/>
            </w:r>
            <w:r w:rsidR="00A032A5" w:rsidRPr="00BE20BD">
              <w:rPr>
                <w:rStyle w:val="Hyperlink"/>
              </w:rPr>
              <w:t>Overview</w:t>
            </w:r>
            <w:r w:rsidR="00A032A5" w:rsidRPr="00BE20BD">
              <w:rPr>
                <w:webHidden/>
              </w:rPr>
              <w:tab/>
            </w:r>
            <w:r w:rsidR="00A032A5" w:rsidRPr="00BE20BD">
              <w:rPr>
                <w:webHidden/>
              </w:rPr>
              <w:fldChar w:fldCharType="begin"/>
            </w:r>
            <w:r w:rsidR="00A032A5" w:rsidRPr="00BE20BD">
              <w:rPr>
                <w:webHidden/>
              </w:rPr>
              <w:instrText xml:space="preserve"> PAGEREF _Toc148445954 \h </w:instrText>
            </w:r>
            <w:r w:rsidR="00A032A5" w:rsidRPr="00BE20BD">
              <w:rPr>
                <w:webHidden/>
              </w:rPr>
            </w:r>
            <w:r w:rsidR="00A032A5" w:rsidRPr="00BE20BD">
              <w:rPr>
                <w:webHidden/>
              </w:rPr>
              <w:fldChar w:fldCharType="separate"/>
            </w:r>
            <w:r w:rsidR="00A032A5" w:rsidRPr="00BE20BD">
              <w:rPr>
                <w:webHidden/>
              </w:rPr>
              <w:t>12</w:t>
            </w:r>
            <w:r w:rsidR="00A032A5" w:rsidRPr="00BE20BD">
              <w:rPr>
                <w:webHidden/>
              </w:rPr>
              <w:fldChar w:fldCharType="end"/>
            </w:r>
          </w:hyperlink>
        </w:p>
        <w:p w14:paraId="6DCA8D0F" w14:textId="335CE039" w:rsidR="00A032A5" w:rsidRPr="00BE20BD" w:rsidRDefault="000C0F79" w:rsidP="00BE20BD">
          <w:pPr>
            <w:pStyle w:val="TOC2"/>
            <w:rPr>
              <w:rFonts w:asciiTheme="minorHAnsi" w:eastAsiaTheme="minorEastAsia" w:hAnsiTheme="minorHAnsi" w:cstheme="minorBidi"/>
              <w:sz w:val="22"/>
              <w:szCs w:val="22"/>
              <w:lang w:eastAsia="en-GB"/>
            </w:rPr>
          </w:pPr>
          <w:hyperlink w:anchor="_Toc148445955" w:history="1">
            <w:r w:rsidR="00A032A5" w:rsidRPr="00BE20BD">
              <w:rPr>
                <w:rStyle w:val="Hyperlink"/>
              </w:rPr>
              <w:t>6.2</w:t>
            </w:r>
            <w:r w:rsidR="00A032A5" w:rsidRPr="00BE20BD">
              <w:rPr>
                <w:rFonts w:asciiTheme="minorHAnsi" w:eastAsiaTheme="minorEastAsia" w:hAnsiTheme="minorHAnsi" w:cstheme="minorBidi"/>
                <w:sz w:val="22"/>
                <w:szCs w:val="22"/>
                <w:lang w:eastAsia="en-GB"/>
              </w:rPr>
              <w:tab/>
            </w:r>
            <w:r w:rsidR="00A032A5" w:rsidRPr="00BE20BD">
              <w:rPr>
                <w:rStyle w:val="Hyperlink"/>
              </w:rPr>
              <w:t>Market risk</w:t>
            </w:r>
            <w:r w:rsidR="00A032A5" w:rsidRPr="00BE20BD">
              <w:rPr>
                <w:webHidden/>
              </w:rPr>
              <w:tab/>
            </w:r>
            <w:r w:rsidR="00A032A5" w:rsidRPr="00BE20BD">
              <w:rPr>
                <w:webHidden/>
              </w:rPr>
              <w:fldChar w:fldCharType="begin"/>
            </w:r>
            <w:r w:rsidR="00A032A5" w:rsidRPr="00BE20BD">
              <w:rPr>
                <w:webHidden/>
              </w:rPr>
              <w:instrText xml:space="preserve"> PAGEREF _Toc148445955 \h </w:instrText>
            </w:r>
            <w:r w:rsidR="00A032A5" w:rsidRPr="00BE20BD">
              <w:rPr>
                <w:webHidden/>
              </w:rPr>
            </w:r>
            <w:r w:rsidR="00A032A5" w:rsidRPr="00BE20BD">
              <w:rPr>
                <w:webHidden/>
              </w:rPr>
              <w:fldChar w:fldCharType="separate"/>
            </w:r>
            <w:r w:rsidR="00A032A5" w:rsidRPr="00BE20BD">
              <w:rPr>
                <w:webHidden/>
              </w:rPr>
              <w:t>12</w:t>
            </w:r>
            <w:r w:rsidR="00A032A5" w:rsidRPr="00BE20BD">
              <w:rPr>
                <w:webHidden/>
              </w:rPr>
              <w:fldChar w:fldCharType="end"/>
            </w:r>
          </w:hyperlink>
        </w:p>
        <w:p w14:paraId="0E926BFE" w14:textId="5B515B6A" w:rsidR="00A032A5" w:rsidRPr="00BE20BD" w:rsidRDefault="000C0F79" w:rsidP="00BE20BD">
          <w:pPr>
            <w:pStyle w:val="TOC2"/>
            <w:rPr>
              <w:rFonts w:asciiTheme="minorHAnsi" w:eastAsiaTheme="minorEastAsia" w:hAnsiTheme="minorHAnsi" w:cstheme="minorBidi"/>
              <w:sz w:val="22"/>
              <w:szCs w:val="22"/>
              <w:lang w:eastAsia="en-GB"/>
            </w:rPr>
          </w:pPr>
          <w:hyperlink w:anchor="_Toc148445956" w:history="1">
            <w:r w:rsidR="00A032A5" w:rsidRPr="00BE20BD">
              <w:rPr>
                <w:rStyle w:val="Hyperlink"/>
              </w:rPr>
              <w:t>6.3</w:t>
            </w:r>
            <w:r w:rsidR="00A032A5" w:rsidRPr="00BE20BD">
              <w:rPr>
                <w:rFonts w:asciiTheme="minorHAnsi" w:eastAsiaTheme="minorEastAsia" w:hAnsiTheme="minorHAnsi" w:cstheme="minorBidi"/>
                <w:sz w:val="22"/>
                <w:szCs w:val="22"/>
                <w:lang w:eastAsia="en-GB"/>
              </w:rPr>
              <w:tab/>
            </w:r>
            <w:r w:rsidR="00A032A5" w:rsidRPr="00BE20BD">
              <w:rPr>
                <w:rStyle w:val="Hyperlink"/>
              </w:rPr>
              <w:t>Credit risk</w:t>
            </w:r>
            <w:r w:rsidR="00A032A5" w:rsidRPr="00BE20BD">
              <w:rPr>
                <w:webHidden/>
              </w:rPr>
              <w:tab/>
            </w:r>
            <w:r w:rsidR="00A032A5" w:rsidRPr="00BE20BD">
              <w:rPr>
                <w:webHidden/>
              </w:rPr>
              <w:fldChar w:fldCharType="begin"/>
            </w:r>
            <w:r w:rsidR="00A032A5" w:rsidRPr="00BE20BD">
              <w:rPr>
                <w:webHidden/>
              </w:rPr>
              <w:instrText xml:space="preserve"> PAGEREF _Toc148445956 \h </w:instrText>
            </w:r>
            <w:r w:rsidR="00A032A5" w:rsidRPr="00BE20BD">
              <w:rPr>
                <w:webHidden/>
              </w:rPr>
            </w:r>
            <w:r w:rsidR="00A032A5" w:rsidRPr="00BE20BD">
              <w:rPr>
                <w:webHidden/>
              </w:rPr>
              <w:fldChar w:fldCharType="separate"/>
            </w:r>
            <w:r w:rsidR="00A032A5" w:rsidRPr="00BE20BD">
              <w:rPr>
                <w:webHidden/>
              </w:rPr>
              <w:t>12</w:t>
            </w:r>
            <w:r w:rsidR="00A032A5" w:rsidRPr="00BE20BD">
              <w:rPr>
                <w:webHidden/>
              </w:rPr>
              <w:fldChar w:fldCharType="end"/>
            </w:r>
          </w:hyperlink>
        </w:p>
        <w:p w14:paraId="2245A659" w14:textId="668300D5" w:rsidR="00A032A5" w:rsidRPr="00BE20BD" w:rsidRDefault="000C0F79" w:rsidP="00BE20BD">
          <w:pPr>
            <w:pStyle w:val="TOC2"/>
            <w:rPr>
              <w:rFonts w:asciiTheme="minorHAnsi" w:eastAsiaTheme="minorEastAsia" w:hAnsiTheme="minorHAnsi" w:cstheme="minorBidi"/>
              <w:sz w:val="22"/>
              <w:szCs w:val="22"/>
              <w:lang w:eastAsia="en-GB"/>
            </w:rPr>
          </w:pPr>
          <w:hyperlink w:anchor="_Toc148445957" w:history="1">
            <w:r w:rsidR="00A032A5" w:rsidRPr="00BE20BD">
              <w:rPr>
                <w:rStyle w:val="Hyperlink"/>
              </w:rPr>
              <w:t>6.4</w:t>
            </w:r>
            <w:r w:rsidR="00A032A5" w:rsidRPr="00BE20BD">
              <w:rPr>
                <w:rFonts w:asciiTheme="minorHAnsi" w:eastAsiaTheme="minorEastAsia" w:hAnsiTheme="minorHAnsi" w:cstheme="minorBidi"/>
                <w:sz w:val="22"/>
                <w:szCs w:val="22"/>
                <w:lang w:eastAsia="en-GB"/>
              </w:rPr>
              <w:tab/>
            </w:r>
            <w:r w:rsidR="00A032A5" w:rsidRPr="00BE20BD">
              <w:rPr>
                <w:rStyle w:val="Hyperlink"/>
              </w:rPr>
              <w:t>Insurance risk</w:t>
            </w:r>
            <w:r w:rsidR="00A032A5" w:rsidRPr="00BE20BD">
              <w:rPr>
                <w:webHidden/>
              </w:rPr>
              <w:tab/>
            </w:r>
            <w:r w:rsidR="00A032A5" w:rsidRPr="00BE20BD">
              <w:rPr>
                <w:webHidden/>
              </w:rPr>
              <w:fldChar w:fldCharType="begin"/>
            </w:r>
            <w:r w:rsidR="00A032A5" w:rsidRPr="00BE20BD">
              <w:rPr>
                <w:webHidden/>
              </w:rPr>
              <w:instrText xml:space="preserve"> PAGEREF _Toc148445957 \h </w:instrText>
            </w:r>
            <w:r w:rsidR="00A032A5" w:rsidRPr="00BE20BD">
              <w:rPr>
                <w:webHidden/>
              </w:rPr>
            </w:r>
            <w:r w:rsidR="00A032A5" w:rsidRPr="00BE20BD">
              <w:rPr>
                <w:webHidden/>
              </w:rPr>
              <w:fldChar w:fldCharType="separate"/>
            </w:r>
            <w:r w:rsidR="00A032A5" w:rsidRPr="00BE20BD">
              <w:rPr>
                <w:webHidden/>
              </w:rPr>
              <w:t>12</w:t>
            </w:r>
            <w:r w:rsidR="00A032A5" w:rsidRPr="00BE20BD">
              <w:rPr>
                <w:webHidden/>
              </w:rPr>
              <w:fldChar w:fldCharType="end"/>
            </w:r>
          </w:hyperlink>
        </w:p>
        <w:p w14:paraId="650B6B36" w14:textId="4E320F33" w:rsidR="00A032A5" w:rsidRPr="00BE20BD" w:rsidRDefault="000C0F79" w:rsidP="00BE20BD">
          <w:pPr>
            <w:pStyle w:val="TOC3"/>
            <w:rPr>
              <w:rFonts w:asciiTheme="minorHAnsi" w:eastAsiaTheme="minorEastAsia" w:hAnsiTheme="minorHAnsi" w:cstheme="minorBidi"/>
              <w:noProof/>
              <w:sz w:val="22"/>
              <w:szCs w:val="22"/>
              <w:lang w:eastAsia="en-GB"/>
            </w:rPr>
          </w:pPr>
          <w:hyperlink w:anchor="_Toc148445958" w:history="1">
            <w:r w:rsidR="00A032A5" w:rsidRPr="00BE20BD">
              <w:rPr>
                <w:rStyle w:val="Hyperlink"/>
                <w:noProof/>
              </w:rPr>
              <w:t>6.4.1</w:t>
            </w:r>
            <w:r w:rsidR="00A032A5" w:rsidRPr="00BE20BD">
              <w:rPr>
                <w:rFonts w:asciiTheme="minorHAnsi" w:eastAsiaTheme="minorEastAsia" w:hAnsiTheme="minorHAnsi" w:cstheme="minorBidi"/>
                <w:noProof/>
                <w:sz w:val="22"/>
                <w:szCs w:val="22"/>
                <w:lang w:eastAsia="en-GB"/>
              </w:rPr>
              <w:tab/>
            </w:r>
            <w:r w:rsidR="00A032A5" w:rsidRPr="00BE20BD">
              <w:rPr>
                <w:rStyle w:val="Hyperlink"/>
                <w:noProof/>
              </w:rPr>
              <w:t>Insurance risk of life insurance</w:t>
            </w:r>
            <w:r w:rsidR="00A032A5" w:rsidRPr="00BE20BD">
              <w:rPr>
                <w:noProof/>
                <w:webHidden/>
              </w:rPr>
              <w:tab/>
            </w:r>
            <w:r w:rsidR="00A032A5" w:rsidRPr="00BE20BD">
              <w:rPr>
                <w:noProof/>
                <w:webHidden/>
              </w:rPr>
              <w:fldChar w:fldCharType="begin"/>
            </w:r>
            <w:r w:rsidR="00A032A5" w:rsidRPr="00BE20BD">
              <w:rPr>
                <w:noProof/>
                <w:webHidden/>
              </w:rPr>
              <w:instrText xml:space="preserve"> PAGEREF _Toc148445958 \h </w:instrText>
            </w:r>
            <w:r w:rsidR="00A032A5" w:rsidRPr="00BE20BD">
              <w:rPr>
                <w:noProof/>
                <w:webHidden/>
              </w:rPr>
            </w:r>
            <w:r w:rsidR="00A032A5" w:rsidRPr="00BE20BD">
              <w:rPr>
                <w:noProof/>
                <w:webHidden/>
              </w:rPr>
              <w:fldChar w:fldCharType="separate"/>
            </w:r>
            <w:r w:rsidR="00A032A5" w:rsidRPr="00BE20BD">
              <w:rPr>
                <w:noProof/>
                <w:webHidden/>
              </w:rPr>
              <w:t>12</w:t>
            </w:r>
            <w:r w:rsidR="00A032A5" w:rsidRPr="00BE20BD">
              <w:rPr>
                <w:noProof/>
                <w:webHidden/>
              </w:rPr>
              <w:fldChar w:fldCharType="end"/>
            </w:r>
          </w:hyperlink>
        </w:p>
        <w:p w14:paraId="021CF061" w14:textId="6948976F" w:rsidR="00A032A5" w:rsidRPr="00BE20BD" w:rsidRDefault="000C0F79" w:rsidP="00BE20BD">
          <w:pPr>
            <w:pStyle w:val="TOC3"/>
            <w:rPr>
              <w:rFonts w:asciiTheme="minorHAnsi" w:eastAsiaTheme="minorEastAsia" w:hAnsiTheme="minorHAnsi" w:cstheme="minorBidi"/>
              <w:noProof/>
              <w:sz w:val="22"/>
              <w:szCs w:val="22"/>
              <w:lang w:eastAsia="en-GB"/>
            </w:rPr>
          </w:pPr>
          <w:hyperlink w:anchor="_Toc148445959" w:history="1">
            <w:r w:rsidR="00A032A5" w:rsidRPr="00BE20BD">
              <w:rPr>
                <w:rStyle w:val="Hyperlink"/>
                <w:noProof/>
              </w:rPr>
              <w:t>6.4.2</w:t>
            </w:r>
            <w:r w:rsidR="00A032A5" w:rsidRPr="00BE20BD">
              <w:rPr>
                <w:rFonts w:asciiTheme="minorHAnsi" w:eastAsiaTheme="minorEastAsia" w:hAnsiTheme="minorHAnsi" w:cstheme="minorBidi"/>
                <w:noProof/>
                <w:sz w:val="22"/>
                <w:szCs w:val="22"/>
                <w:lang w:eastAsia="en-GB"/>
              </w:rPr>
              <w:tab/>
            </w:r>
            <w:r w:rsidR="00A032A5" w:rsidRPr="00BE20BD">
              <w:rPr>
                <w:rStyle w:val="Hyperlink"/>
                <w:noProof/>
              </w:rPr>
              <w:t>Insurance risk of non-life insurance</w:t>
            </w:r>
            <w:r w:rsidR="00A032A5" w:rsidRPr="00BE20BD">
              <w:rPr>
                <w:noProof/>
                <w:webHidden/>
              </w:rPr>
              <w:tab/>
            </w:r>
            <w:r w:rsidR="00A032A5" w:rsidRPr="00BE20BD">
              <w:rPr>
                <w:noProof/>
                <w:webHidden/>
              </w:rPr>
              <w:fldChar w:fldCharType="begin"/>
            </w:r>
            <w:r w:rsidR="00A032A5" w:rsidRPr="00BE20BD">
              <w:rPr>
                <w:noProof/>
                <w:webHidden/>
              </w:rPr>
              <w:instrText xml:space="preserve"> PAGEREF _Toc148445959 \h </w:instrText>
            </w:r>
            <w:r w:rsidR="00A032A5" w:rsidRPr="00BE20BD">
              <w:rPr>
                <w:noProof/>
                <w:webHidden/>
              </w:rPr>
            </w:r>
            <w:r w:rsidR="00A032A5" w:rsidRPr="00BE20BD">
              <w:rPr>
                <w:noProof/>
                <w:webHidden/>
              </w:rPr>
              <w:fldChar w:fldCharType="separate"/>
            </w:r>
            <w:r w:rsidR="00A032A5" w:rsidRPr="00BE20BD">
              <w:rPr>
                <w:noProof/>
                <w:webHidden/>
              </w:rPr>
              <w:t>13</w:t>
            </w:r>
            <w:r w:rsidR="00A032A5" w:rsidRPr="00BE20BD">
              <w:rPr>
                <w:noProof/>
                <w:webHidden/>
              </w:rPr>
              <w:fldChar w:fldCharType="end"/>
            </w:r>
          </w:hyperlink>
        </w:p>
        <w:p w14:paraId="2B3E7316" w14:textId="1ADB7200" w:rsidR="00A032A5" w:rsidRPr="00BE20BD" w:rsidRDefault="000C0F79" w:rsidP="00BE20BD">
          <w:pPr>
            <w:pStyle w:val="TOC3"/>
            <w:rPr>
              <w:rFonts w:asciiTheme="minorHAnsi" w:eastAsiaTheme="minorEastAsia" w:hAnsiTheme="minorHAnsi" w:cstheme="minorBidi"/>
              <w:noProof/>
              <w:sz w:val="22"/>
              <w:szCs w:val="22"/>
              <w:lang w:eastAsia="en-GB"/>
            </w:rPr>
          </w:pPr>
          <w:hyperlink w:anchor="_Toc148445960" w:history="1">
            <w:r w:rsidR="00A032A5" w:rsidRPr="00BE20BD">
              <w:rPr>
                <w:rStyle w:val="Hyperlink"/>
                <w:noProof/>
              </w:rPr>
              <w:t>6.4.3</w:t>
            </w:r>
            <w:r w:rsidR="00A032A5" w:rsidRPr="00BE20BD">
              <w:rPr>
                <w:rFonts w:asciiTheme="minorHAnsi" w:eastAsiaTheme="minorEastAsia" w:hAnsiTheme="minorHAnsi" w:cstheme="minorBidi"/>
                <w:noProof/>
                <w:sz w:val="22"/>
                <w:szCs w:val="22"/>
                <w:lang w:eastAsia="en-GB"/>
              </w:rPr>
              <w:tab/>
            </w:r>
            <w:r w:rsidR="00A032A5" w:rsidRPr="00BE20BD">
              <w:rPr>
                <w:rStyle w:val="Hyperlink"/>
                <w:noProof/>
              </w:rPr>
              <w:t>Insurance risk of health insurance</w:t>
            </w:r>
            <w:r w:rsidR="00A032A5" w:rsidRPr="00BE20BD">
              <w:rPr>
                <w:noProof/>
                <w:webHidden/>
              </w:rPr>
              <w:tab/>
            </w:r>
            <w:r w:rsidR="00A032A5" w:rsidRPr="00BE20BD">
              <w:rPr>
                <w:noProof/>
                <w:webHidden/>
              </w:rPr>
              <w:fldChar w:fldCharType="begin"/>
            </w:r>
            <w:r w:rsidR="00A032A5" w:rsidRPr="00BE20BD">
              <w:rPr>
                <w:noProof/>
                <w:webHidden/>
              </w:rPr>
              <w:instrText xml:space="preserve"> PAGEREF _Toc148445960 \h </w:instrText>
            </w:r>
            <w:r w:rsidR="00A032A5" w:rsidRPr="00BE20BD">
              <w:rPr>
                <w:noProof/>
                <w:webHidden/>
              </w:rPr>
            </w:r>
            <w:r w:rsidR="00A032A5" w:rsidRPr="00BE20BD">
              <w:rPr>
                <w:noProof/>
                <w:webHidden/>
              </w:rPr>
              <w:fldChar w:fldCharType="separate"/>
            </w:r>
            <w:r w:rsidR="00A032A5" w:rsidRPr="00BE20BD">
              <w:rPr>
                <w:noProof/>
                <w:webHidden/>
              </w:rPr>
              <w:t>13</w:t>
            </w:r>
            <w:r w:rsidR="00A032A5" w:rsidRPr="00BE20BD">
              <w:rPr>
                <w:noProof/>
                <w:webHidden/>
              </w:rPr>
              <w:fldChar w:fldCharType="end"/>
            </w:r>
          </w:hyperlink>
        </w:p>
        <w:p w14:paraId="15D1CF2A" w14:textId="7EA61E54" w:rsidR="00A032A5" w:rsidRPr="00BE20BD" w:rsidRDefault="000C0F79" w:rsidP="00BE20BD">
          <w:pPr>
            <w:pStyle w:val="TOC3"/>
            <w:rPr>
              <w:rFonts w:asciiTheme="minorHAnsi" w:eastAsiaTheme="minorEastAsia" w:hAnsiTheme="minorHAnsi" w:cstheme="minorBidi"/>
              <w:noProof/>
              <w:sz w:val="22"/>
              <w:szCs w:val="22"/>
              <w:lang w:eastAsia="en-GB"/>
            </w:rPr>
          </w:pPr>
          <w:hyperlink w:anchor="_Toc148445961" w:history="1">
            <w:r w:rsidR="00A032A5" w:rsidRPr="00BE20BD">
              <w:rPr>
                <w:rStyle w:val="Hyperlink"/>
                <w:noProof/>
              </w:rPr>
              <w:t>6.4.4</w:t>
            </w:r>
            <w:r w:rsidR="00A032A5" w:rsidRPr="00BE20BD">
              <w:rPr>
                <w:rFonts w:asciiTheme="minorHAnsi" w:eastAsiaTheme="minorEastAsia" w:hAnsiTheme="minorHAnsi" w:cstheme="minorBidi"/>
                <w:noProof/>
                <w:sz w:val="22"/>
                <w:szCs w:val="22"/>
                <w:lang w:eastAsia="en-GB"/>
              </w:rPr>
              <w:tab/>
            </w:r>
            <w:r w:rsidR="00A032A5" w:rsidRPr="00BE20BD">
              <w:rPr>
                <w:rStyle w:val="Hyperlink"/>
                <w:noProof/>
              </w:rPr>
              <w:t>Insurance risk of reinsurance</w:t>
            </w:r>
            <w:r w:rsidR="00A032A5" w:rsidRPr="00BE20BD">
              <w:rPr>
                <w:noProof/>
                <w:webHidden/>
              </w:rPr>
              <w:tab/>
            </w:r>
            <w:r w:rsidR="00A032A5" w:rsidRPr="00BE20BD">
              <w:rPr>
                <w:noProof/>
                <w:webHidden/>
              </w:rPr>
              <w:fldChar w:fldCharType="begin"/>
            </w:r>
            <w:r w:rsidR="00A032A5" w:rsidRPr="00BE20BD">
              <w:rPr>
                <w:noProof/>
                <w:webHidden/>
              </w:rPr>
              <w:instrText xml:space="preserve"> PAGEREF _Toc148445961 \h </w:instrText>
            </w:r>
            <w:r w:rsidR="00A032A5" w:rsidRPr="00BE20BD">
              <w:rPr>
                <w:noProof/>
                <w:webHidden/>
              </w:rPr>
            </w:r>
            <w:r w:rsidR="00A032A5" w:rsidRPr="00BE20BD">
              <w:rPr>
                <w:noProof/>
                <w:webHidden/>
              </w:rPr>
              <w:fldChar w:fldCharType="separate"/>
            </w:r>
            <w:r w:rsidR="00A032A5" w:rsidRPr="00BE20BD">
              <w:rPr>
                <w:noProof/>
                <w:webHidden/>
              </w:rPr>
              <w:t>13</w:t>
            </w:r>
            <w:r w:rsidR="00A032A5" w:rsidRPr="00BE20BD">
              <w:rPr>
                <w:noProof/>
                <w:webHidden/>
              </w:rPr>
              <w:fldChar w:fldCharType="end"/>
            </w:r>
          </w:hyperlink>
        </w:p>
        <w:p w14:paraId="2D054345" w14:textId="2E2DEB59" w:rsidR="00A032A5" w:rsidRPr="00BE20BD" w:rsidRDefault="000C0F79" w:rsidP="00BE20BD">
          <w:pPr>
            <w:pStyle w:val="TOC3"/>
            <w:rPr>
              <w:rFonts w:asciiTheme="minorHAnsi" w:eastAsiaTheme="minorEastAsia" w:hAnsiTheme="minorHAnsi" w:cstheme="minorBidi"/>
              <w:noProof/>
              <w:sz w:val="22"/>
              <w:szCs w:val="22"/>
              <w:lang w:eastAsia="en-GB"/>
            </w:rPr>
          </w:pPr>
          <w:hyperlink w:anchor="_Toc148445962" w:history="1">
            <w:r w:rsidR="00A032A5" w:rsidRPr="00BE20BD">
              <w:rPr>
                <w:rStyle w:val="Hyperlink"/>
                <w:noProof/>
              </w:rPr>
              <w:t>6.4.5</w:t>
            </w:r>
            <w:r w:rsidR="00A032A5" w:rsidRPr="00BE20BD">
              <w:rPr>
                <w:rFonts w:asciiTheme="minorHAnsi" w:eastAsiaTheme="minorEastAsia" w:hAnsiTheme="minorHAnsi" w:cstheme="minorBidi"/>
                <w:noProof/>
                <w:sz w:val="22"/>
                <w:szCs w:val="22"/>
                <w:lang w:eastAsia="en-GB"/>
              </w:rPr>
              <w:tab/>
            </w:r>
            <w:r w:rsidR="00A032A5" w:rsidRPr="00BE20BD">
              <w:rPr>
                <w:rStyle w:val="Hyperlink"/>
                <w:noProof/>
              </w:rPr>
              <w:t>Insurance risk of reinsurance captives</w:t>
            </w:r>
            <w:r w:rsidR="00A032A5" w:rsidRPr="00BE20BD">
              <w:rPr>
                <w:noProof/>
                <w:webHidden/>
              </w:rPr>
              <w:tab/>
            </w:r>
            <w:r w:rsidR="00A032A5" w:rsidRPr="00BE20BD">
              <w:rPr>
                <w:noProof/>
                <w:webHidden/>
              </w:rPr>
              <w:fldChar w:fldCharType="begin"/>
            </w:r>
            <w:r w:rsidR="00A032A5" w:rsidRPr="00BE20BD">
              <w:rPr>
                <w:noProof/>
                <w:webHidden/>
              </w:rPr>
              <w:instrText xml:space="preserve"> PAGEREF _Toc148445962 \h </w:instrText>
            </w:r>
            <w:r w:rsidR="00A032A5" w:rsidRPr="00BE20BD">
              <w:rPr>
                <w:noProof/>
                <w:webHidden/>
              </w:rPr>
            </w:r>
            <w:r w:rsidR="00A032A5" w:rsidRPr="00BE20BD">
              <w:rPr>
                <w:noProof/>
                <w:webHidden/>
              </w:rPr>
              <w:fldChar w:fldCharType="separate"/>
            </w:r>
            <w:r w:rsidR="00A032A5" w:rsidRPr="00BE20BD">
              <w:rPr>
                <w:noProof/>
                <w:webHidden/>
              </w:rPr>
              <w:t>14</w:t>
            </w:r>
            <w:r w:rsidR="00A032A5" w:rsidRPr="00BE20BD">
              <w:rPr>
                <w:noProof/>
                <w:webHidden/>
              </w:rPr>
              <w:fldChar w:fldCharType="end"/>
            </w:r>
          </w:hyperlink>
        </w:p>
        <w:p w14:paraId="3DF26CB5" w14:textId="6AE9A801" w:rsidR="00A032A5" w:rsidRPr="00BE20BD" w:rsidRDefault="000C0F79" w:rsidP="00BE20BD">
          <w:pPr>
            <w:pStyle w:val="TOC2"/>
            <w:rPr>
              <w:rFonts w:asciiTheme="minorHAnsi" w:eastAsiaTheme="minorEastAsia" w:hAnsiTheme="minorHAnsi" w:cstheme="minorBidi"/>
              <w:sz w:val="22"/>
              <w:szCs w:val="22"/>
              <w:lang w:eastAsia="en-GB"/>
            </w:rPr>
          </w:pPr>
          <w:hyperlink w:anchor="_Toc148445963" w:history="1">
            <w:r w:rsidR="00A032A5" w:rsidRPr="00BE20BD">
              <w:rPr>
                <w:rStyle w:val="Hyperlink"/>
              </w:rPr>
              <w:t>6.5</w:t>
            </w:r>
            <w:r w:rsidR="00A032A5" w:rsidRPr="00BE20BD">
              <w:rPr>
                <w:rFonts w:asciiTheme="minorHAnsi" w:eastAsiaTheme="minorEastAsia" w:hAnsiTheme="minorHAnsi" w:cstheme="minorBidi"/>
                <w:sz w:val="22"/>
                <w:szCs w:val="22"/>
                <w:lang w:eastAsia="en-GB"/>
              </w:rPr>
              <w:tab/>
            </w:r>
            <w:r w:rsidR="00A032A5" w:rsidRPr="00BE20BD">
              <w:rPr>
                <w:rStyle w:val="Hyperlink"/>
              </w:rPr>
              <w:t>Aggregation and diversification</w:t>
            </w:r>
            <w:r w:rsidR="00A032A5" w:rsidRPr="00BE20BD">
              <w:rPr>
                <w:webHidden/>
              </w:rPr>
              <w:tab/>
            </w:r>
            <w:r w:rsidR="00A032A5" w:rsidRPr="00BE20BD">
              <w:rPr>
                <w:webHidden/>
              </w:rPr>
              <w:fldChar w:fldCharType="begin"/>
            </w:r>
            <w:r w:rsidR="00A032A5" w:rsidRPr="00BE20BD">
              <w:rPr>
                <w:webHidden/>
              </w:rPr>
              <w:instrText xml:space="preserve"> PAGEREF _Toc148445963 \h </w:instrText>
            </w:r>
            <w:r w:rsidR="00A032A5" w:rsidRPr="00BE20BD">
              <w:rPr>
                <w:webHidden/>
              </w:rPr>
            </w:r>
            <w:r w:rsidR="00A032A5" w:rsidRPr="00BE20BD">
              <w:rPr>
                <w:webHidden/>
              </w:rPr>
              <w:fldChar w:fldCharType="separate"/>
            </w:r>
            <w:r w:rsidR="00A032A5" w:rsidRPr="00BE20BD">
              <w:rPr>
                <w:webHidden/>
              </w:rPr>
              <w:t>14</w:t>
            </w:r>
            <w:r w:rsidR="00A032A5" w:rsidRPr="00BE20BD">
              <w:rPr>
                <w:webHidden/>
              </w:rPr>
              <w:fldChar w:fldCharType="end"/>
            </w:r>
          </w:hyperlink>
        </w:p>
        <w:p w14:paraId="18412FE7" w14:textId="54DB685F" w:rsidR="00A032A5" w:rsidRPr="00BE20BD" w:rsidRDefault="000C0F79" w:rsidP="00BE20BD">
          <w:pPr>
            <w:pStyle w:val="TOC2"/>
            <w:rPr>
              <w:rFonts w:asciiTheme="minorHAnsi" w:eastAsiaTheme="minorEastAsia" w:hAnsiTheme="minorHAnsi" w:cstheme="minorBidi"/>
              <w:sz w:val="22"/>
              <w:szCs w:val="22"/>
              <w:lang w:eastAsia="en-GB"/>
            </w:rPr>
          </w:pPr>
          <w:hyperlink w:anchor="_Toc148445964" w:history="1">
            <w:r w:rsidR="00A032A5" w:rsidRPr="00BE20BD">
              <w:rPr>
                <w:rStyle w:val="Hyperlink"/>
              </w:rPr>
              <w:t>6.6</w:t>
            </w:r>
            <w:r w:rsidR="00A032A5" w:rsidRPr="00BE20BD">
              <w:rPr>
                <w:rFonts w:asciiTheme="minorHAnsi" w:eastAsiaTheme="minorEastAsia" w:hAnsiTheme="minorHAnsi" w:cstheme="minorBidi"/>
                <w:sz w:val="22"/>
                <w:szCs w:val="22"/>
                <w:lang w:eastAsia="en-GB"/>
              </w:rPr>
              <w:tab/>
            </w:r>
            <w:r w:rsidR="00A032A5" w:rsidRPr="00BE20BD">
              <w:rPr>
                <w:rStyle w:val="Hyperlink"/>
              </w:rPr>
              <w:t>Expected financial result above risk-free interest rate</w:t>
            </w:r>
            <w:r w:rsidR="00A032A5" w:rsidRPr="00BE20BD">
              <w:rPr>
                <w:webHidden/>
              </w:rPr>
              <w:tab/>
            </w:r>
            <w:r w:rsidR="00A032A5" w:rsidRPr="00BE20BD">
              <w:rPr>
                <w:webHidden/>
              </w:rPr>
              <w:fldChar w:fldCharType="begin"/>
            </w:r>
            <w:r w:rsidR="00A032A5" w:rsidRPr="00BE20BD">
              <w:rPr>
                <w:webHidden/>
              </w:rPr>
              <w:instrText xml:space="preserve"> PAGEREF _Toc148445964 \h </w:instrText>
            </w:r>
            <w:r w:rsidR="00A032A5" w:rsidRPr="00BE20BD">
              <w:rPr>
                <w:webHidden/>
              </w:rPr>
            </w:r>
            <w:r w:rsidR="00A032A5" w:rsidRPr="00BE20BD">
              <w:rPr>
                <w:webHidden/>
              </w:rPr>
              <w:fldChar w:fldCharType="separate"/>
            </w:r>
            <w:r w:rsidR="00A032A5" w:rsidRPr="00BE20BD">
              <w:rPr>
                <w:webHidden/>
              </w:rPr>
              <w:t>14</w:t>
            </w:r>
            <w:r w:rsidR="00A032A5" w:rsidRPr="00BE20BD">
              <w:rPr>
                <w:webHidden/>
              </w:rPr>
              <w:fldChar w:fldCharType="end"/>
            </w:r>
          </w:hyperlink>
        </w:p>
        <w:p w14:paraId="17D763B9" w14:textId="16BF9126" w:rsidR="00A032A5" w:rsidRPr="00BE20BD" w:rsidRDefault="000C0F79" w:rsidP="00BE20BD">
          <w:pPr>
            <w:pStyle w:val="TOC2"/>
            <w:rPr>
              <w:rFonts w:asciiTheme="minorHAnsi" w:eastAsiaTheme="minorEastAsia" w:hAnsiTheme="minorHAnsi" w:cstheme="minorBidi"/>
              <w:sz w:val="22"/>
              <w:szCs w:val="22"/>
              <w:lang w:eastAsia="en-GB"/>
            </w:rPr>
          </w:pPr>
          <w:hyperlink w:anchor="_Toc148445965" w:history="1">
            <w:r w:rsidR="00A032A5" w:rsidRPr="00BE20BD">
              <w:rPr>
                <w:rStyle w:val="Hyperlink"/>
              </w:rPr>
              <w:t>6.7</w:t>
            </w:r>
            <w:r w:rsidR="00A032A5" w:rsidRPr="00BE20BD">
              <w:rPr>
                <w:rFonts w:asciiTheme="minorHAnsi" w:eastAsiaTheme="minorEastAsia" w:hAnsiTheme="minorHAnsi" w:cstheme="minorBidi"/>
                <w:sz w:val="22"/>
                <w:szCs w:val="22"/>
                <w:lang w:eastAsia="en-GB"/>
              </w:rPr>
              <w:tab/>
            </w:r>
            <w:r w:rsidR="00A032A5" w:rsidRPr="00BE20BD">
              <w:rPr>
                <w:rStyle w:val="Hyperlink"/>
              </w:rPr>
              <w:t>Expected technical result</w:t>
            </w:r>
            <w:r w:rsidR="00A032A5" w:rsidRPr="00BE20BD">
              <w:rPr>
                <w:webHidden/>
              </w:rPr>
              <w:tab/>
            </w:r>
            <w:r w:rsidR="00A032A5" w:rsidRPr="00BE20BD">
              <w:rPr>
                <w:webHidden/>
              </w:rPr>
              <w:fldChar w:fldCharType="begin"/>
            </w:r>
            <w:r w:rsidR="00A032A5" w:rsidRPr="00BE20BD">
              <w:rPr>
                <w:webHidden/>
              </w:rPr>
              <w:instrText xml:space="preserve"> PAGEREF _Toc148445965 \h </w:instrText>
            </w:r>
            <w:r w:rsidR="00A032A5" w:rsidRPr="00BE20BD">
              <w:rPr>
                <w:webHidden/>
              </w:rPr>
            </w:r>
            <w:r w:rsidR="00A032A5" w:rsidRPr="00BE20BD">
              <w:rPr>
                <w:webHidden/>
              </w:rPr>
              <w:fldChar w:fldCharType="separate"/>
            </w:r>
            <w:r w:rsidR="00A032A5" w:rsidRPr="00BE20BD">
              <w:rPr>
                <w:webHidden/>
              </w:rPr>
              <w:t>15</w:t>
            </w:r>
            <w:r w:rsidR="00A032A5" w:rsidRPr="00BE20BD">
              <w:rPr>
                <w:webHidden/>
              </w:rPr>
              <w:fldChar w:fldCharType="end"/>
            </w:r>
          </w:hyperlink>
        </w:p>
        <w:p w14:paraId="3D196987" w14:textId="4ECEF952" w:rsidR="00A032A5" w:rsidRPr="00BE20BD" w:rsidRDefault="000C0F79" w:rsidP="00BE20BD">
          <w:pPr>
            <w:pStyle w:val="TOC2"/>
            <w:rPr>
              <w:rFonts w:asciiTheme="minorHAnsi" w:eastAsiaTheme="minorEastAsia" w:hAnsiTheme="minorHAnsi" w:cstheme="minorBidi"/>
              <w:sz w:val="22"/>
              <w:szCs w:val="22"/>
              <w:lang w:eastAsia="en-GB"/>
            </w:rPr>
          </w:pPr>
          <w:hyperlink w:anchor="_Toc148445966" w:history="1">
            <w:r w:rsidR="00A032A5" w:rsidRPr="00BE20BD">
              <w:rPr>
                <w:rStyle w:val="Hyperlink"/>
              </w:rPr>
              <w:t>6.8</w:t>
            </w:r>
            <w:r w:rsidR="00A032A5" w:rsidRPr="00BE20BD">
              <w:rPr>
                <w:rFonts w:asciiTheme="minorHAnsi" w:eastAsiaTheme="minorEastAsia" w:hAnsiTheme="minorHAnsi" w:cstheme="minorBidi"/>
                <w:sz w:val="22"/>
                <w:szCs w:val="22"/>
                <w:lang w:eastAsia="en-GB"/>
              </w:rPr>
              <w:tab/>
            </w:r>
            <w:r w:rsidR="00A032A5" w:rsidRPr="00BE20BD">
              <w:rPr>
                <w:rStyle w:val="Hyperlink"/>
              </w:rPr>
              <w:t>Effect of the scenarios and additional effects on the target capital</w:t>
            </w:r>
            <w:r w:rsidR="00A032A5" w:rsidRPr="00BE20BD">
              <w:rPr>
                <w:webHidden/>
              </w:rPr>
              <w:tab/>
            </w:r>
            <w:r w:rsidR="00A032A5" w:rsidRPr="00BE20BD">
              <w:rPr>
                <w:webHidden/>
              </w:rPr>
              <w:fldChar w:fldCharType="begin"/>
            </w:r>
            <w:r w:rsidR="00A032A5" w:rsidRPr="00BE20BD">
              <w:rPr>
                <w:webHidden/>
              </w:rPr>
              <w:instrText xml:space="preserve"> PAGEREF _Toc148445966 \h </w:instrText>
            </w:r>
            <w:r w:rsidR="00A032A5" w:rsidRPr="00BE20BD">
              <w:rPr>
                <w:webHidden/>
              </w:rPr>
            </w:r>
            <w:r w:rsidR="00A032A5" w:rsidRPr="00BE20BD">
              <w:rPr>
                <w:webHidden/>
              </w:rPr>
              <w:fldChar w:fldCharType="separate"/>
            </w:r>
            <w:r w:rsidR="00A032A5" w:rsidRPr="00BE20BD">
              <w:rPr>
                <w:webHidden/>
              </w:rPr>
              <w:t>15</w:t>
            </w:r>
            <w:r w:rsidR="00A032A5" w:rsidRPr="00BE20BD">
              <w:rPr>
                <w:webHidden/>
              </w:rPr>
              <w:fldChar w:fldCharType="end"/>
            </w:r>
          </w:hyperlink>
        </w:p>
        <w:p w14:paraId="12F23829" w14:textId="6EAF4502" w:rsidR="00A032A5" w:rsidRPr="00BE20BD" w:rsidRDefault="000C0F79" w:rsidP="00BE20BD">
          <w:pPr>
            <w:pStyle w:val="TOC3"/>
            <w:rPr>
              <w:rFonts w:asciiTheme="minorHAnsi" w:eastAsiaTheme="minorEastAsia" w:hAnsiTheme="minorHAnsi" w:cstheme="minorBidi"/>
              <w:noProof/>
              <w:sz w:val="22"/>
              <w:szCs w:val="22"/>
              <w:lang w:eastAsia="en-GB"/>
            </w:rPr>
          </w:pPr>
          <w:hyperlink w:anchor="_Toc148445967" w:history="1">
            <w:r w:rsidR="00A032A5" w:rsidRPr="00BE20BD">
              <w:rPr>
                <w:rStyle w:val="Hyperlink"/>
                <w:noProof/>
              </w:rPr>
              <w:t>6.8.1</w:t>
            </w:r>
            <w:r w:rsidR="00A032A5" w:rsidRPr="00BE20BD">
              <w:rPr>
                <w:rFonts w:asciiTheme="minorHAnsi" w:eastAsiaTheme="minorEastAsia" w:hAnsiTheme="minorHAnsi" w:cstheme="minorBidi"/>
                <w:noProof/>
                <w:sz w:val="22"/>
                <w:szCs w:val="22"/>
                <w:lang w:eastAsia="en-GB"/>
              </w:rPr>
              <w:tab/>
            </w:r>
            <w:r w:rsidR="00A032A5" w:rsidRPr="00BE20BD">
              <w:rPr>
                <w:rStyle w:val="Hyperlink"/>
                <w:noProof/>
              </w:rPr>
              <w:t>Scenarios that have been aggregated</w:t>
            </w:r>
            <w:r w:rsidR="00A032A5" w:rsidRPr="00BE20BD">
              <w:rPr>
                <w:noProof/>
                <w:webHidden/>
              </w:rPr>
              <w:tab/>
            </w:r>
            <w:r w:rsidR="00A032A5" w:rsidRPr="00BE20BD">
              <w:rPr>
                <w:noProof/>
                <w:webHidden/>
              </w:rPr>
              <w:fldChar w:fldCharType="begin"/>
            </w:r>
            <w:r w:rsidR="00A032A5" w:rsidRPr="00BE20BD">
              <w:rPr>
                <w:noProof/>
                <w:webHidden/>
              </w:rPr>
              <w:instrText xml:space="preserve"> PAGEREF _Toc148445967 \h </w:instrText>
            </w:r>
            <w:r w:rsidR="00A032A5" w:rsidRPr="00BE20BD">
              <w:rPr>
                <w:noProof/>
                <w:webHidden/>
              </w:rPr>
            </w:r>
            <w:r w:rsidR="00A032A5" w:rsidRPr="00BE20BD">
              <w:rPr>
                <w:noProof/>
                <w:webHidden/>
              </w:rPr>
              <w:fldChar w:fldCharType="separate"/>
            </w:r>
            <w:r w:rsidR="00A032A5" w:rsidRPr="00BE20BD">
              <w:rPr>
                <w:noProof/>
                <w:webHidden/>
              </w:rPr>
              <w:t>15</w:t>
            </w:r>
            <w:r w:rsidR="00A032A5" w:rsidRPr="00BE20BD">
              <w:rPr>
                <w:noProof/>
                <w:webHidden/>
              </w:rPr>
              <w:fldChar w:fldCharType="end"/>
            </w:r>
          </w:hyperlink>
        </w:p>
        <w:p w14:paraId="716147BF" w14:textId="63CB8BE3" w:rsidR="00A032A5" w:rsidRPr="00BE20BD" w:rsidRDefault="000C0F79" w:rsidP="00BE20BD">
          <w:pPr>
            <w:pStyle w:val="TOC3"/>
            <w:rPr>
              <w:rFonts w:asciiTheme="minorHAnsi" w:eastAsiaTheme="minorEastAsia" w:hAnsiTheme="minorHAnsi" w:cstheme="minorBidi"/>
              <w:noProof/>
              <w:sz w:val="22"/>
              <w:szCs w:val="22"/>
              <w:lang w:eastAsia="en-GB"/>
            </w:rPr>
          </w:pPr>
          <w:hyperlink w:anchor="_Toc148445968" w:history="1">
            <w:r w:rsidR="00A032A5" w:rsidRPr="00BE20BD">
              <w:rPr>
                <w:rStyle w:val="Hyperlink"/>
                <w:noProof/>
              </w:rPr>
              <w:t>6.8.2</w:t>
            </w:r>
            <w:r w:rsidR="00A032A5" w:rsidRPr="00BE20BD">
              <w:rPr>
                <w:rFonts w:asciiTheme="minorHAnsi" w:eastAsiaTheme="minorEastAsia" w:hAnsiTheme="minorHAnsi" w:cstheme="minorBidi"/>
                <w:noProof/>
                <w:sz w:val="22"/>
                <w:szCs w:val="22"/>
                <w:lang w:eastAsia="en-GB"/>
              </w:rPr>
              <w:tab/>
            </w:r>
            <w:r w:rsidR="00A032A5" w:rsidRPr="00BE20BD">
              <w:rPr>
                <w:rStyle w:val="Hyperlink"/>
                <w:noProof/>
              </w:rPr>
              <w:t>Risk-absorbing capital instruments (within the meaning of Art. 37 ISO)</w:t>
            </w:r>
            <w:r w:rsidR="00A032A5" w:rsidRPr="00BE20BD">
              <w:rPr>
                <w:noProof/>
                <w:webHidden/>
              </w:rPr>
              <w:tab/>
            </w:r>
            <w:r w:rsidR="00A032A5" w:rsidRPr="00BE20BD">
              <w:rPr>
                <w:noProof/>
                <w:webHidden/>
              </w:rPr>
              <w:fldChar w:fldCharType="begin"/>
            </w:r>
            <w:r w:rsidR="00A032A5" w:rsidRPr="00BE20BD">
              <w:rPr>
                <w:noProof/>
                <w:webHidden/>
              </w:rPr>
              <w:instrText xml:space="preserve"> PAGEREF _Toc148445968 \h </w:instrText>
            </w:r>
            <w:r w:rsidR="00A032A5" w:rsidRPr="00BE20BD">
              <w:rPr>
                <w:noProof/>
                <w:webHidden/>
              </w:rPr>
            </w:r>
            <w:r w:rsidR="00A032A5" w:rsidRPr="00BE20BD">
              <w:rPr>
                <w:noProof/>
                <w:webHidden/>
              </w:rPr>
              <w:fldChar w:fldCharType="separate"/>
            </w:r>
            <w:r w:rsidR="00A032A5" w:rsidRPr="00BE20BD">
              <w:rPr>
                <w:noProof/>
                <w:webHidden/>
              </w:rPr>
              <w:t>16</w:t>
            </w:r>
            <w:r w:rsidR="00A032A5" w:rsidRPr="00BE20BD">
              <w:rPr>
                <w:noProof/>
                <w:webHidden/>
              </w:rPr>
              <w:fldChar w:fldCharType="end"/>
            </w:r>
          </w:hyperlink>
        </w:p>
        <w:p w14:paraId="3C0A55D6" w14:textId="3BC89F39" w:rsidR="00A032A5" w:rsidRPr="00BE20BD" w:rsidRDefault="000C0F79" w:rsidP="00BE20BD">
          <w:pPr>
            <w:pStyle w:val="TOC3"/>
            <w:rPr>
              <w:rFonts w:asciiTheme="minorHAnsi" w:eastAsiaTheme="minorEastAsia" w:hAnsiTheme="minorHAnsi" w:cstheme="minorBidi"/>
              <w:noProof/>
              <w:sz w:val="22"/>
              <w:szCs w:val="22"/>
              <w:lang w:eastAsia="en-GB"/>
            </w:rPr>
          </w:pPr>
          <w:hyperlink w:anchor="_Toc148445969" w:history="1">
            <w:r w:rsidR="00A032A5" w:rsidRPr="00BE20BD">
              <w:rPr>
                <w:rStyle w:val="Hyperlink"/>
                <w:noProof/>
              </w:rPr>
              <w:t>6.8.3</w:t>
            </w:r>
            <w:r w:rsidR="00A032A5" w:rsidRPr="00BE20BD">
              <w:rPr>
                <w:rFonts w:asciiTheme="minorHAnsi" w:eastAsiaTheme="minorEastAsia" w:hAnsiTheme="minorHAnsi" w:cstheme="minorBidi"/>
                <w:noProof/>
                <w:sz w:val="22"/>
                <w:szCs w:val="22"/>
                <w:lang w:eastAsia="en-GB"/>
              </w:rPr>
              <w:tab/>
            </w:r>
            <w:r w:rsidR="00A032A5" w:rsidRPr="00BE20BD">
              <w:rPr>
                <w:rStyle w:val="Hyperlink"/>
                <w:noProof/>
              </w:rPr>
              <w:t>Impact of other capital and risk transfer instruments</w:t>
            </w:r>
            <w:r w:rsidR="00A032A5" w:rsidRPr="00BE20BD">
              <w:rPr>
                <w:noProof/>
                <w:webHidden/>
              </w:rPr>
              <w:tab/>
            </w:r>
            <w:r w:rsidR="00A032A5" w:rsidRPr="00BE20BD">
              <w:rPr>
                <w:noProof/>
                <w:webHidden/>
              </w:rPr>
              <w:fldChar w:fldCharType="begin"/>
            </w:r>
            <w:r w:rsidR="00A032A5" w:rsidRPr="00BE20BD">
              <w:rPr>
                <w:noProof/>
                <w:webHidden/>
              </w:rPr>
              <w:instrText xml:space="preserve"> PAGEREF _Toc148445969 \h </w:instrText>
            </w:r>
            <w:r w:rsidR="00A032A5" w:rsidRPr="00BE20BD">
              <w:rPr>
                <w:noProof/>
                <w:webHidden/>
              </w:rPr>
            </w:r>
            <w:r w:rsidR="00A032A5" w:rsidRPr="00BE20BD">
              <w:rPr>
                <w:noProof/>
                <w:webHidden/>
              </w:rPr>
              <w:fldChar w:fldCharType="separate"/>
            </w:r>
            <w:r w:rsidR="00A032A5" w:rsidRPr="00BE20BD">
              <w:rPr>
                <w:noProof/>
                <w:webHidden/>
              </w:rPr>
              <w:t>16</w:t>
            </w:r>
            <w:r w:rsidR="00A032A5" w:rsidRPr="00BE20BD">
              <w:rPr>
                <w:noProof/>
                <w:webHidden/>
              </w:rPr>
              <w:fldChar w:fldCharType="end"/>
            </w:r>
          </w:hyperlink>
        </w:p>
        <w:p w14:paraId="738BB87F" w14:textId="5CAAA336" w:rsidR="00A032A5" w:rsidRPr="00BE20BD" w:rsidRDefault="000C0F79">
          <w:pPr>
            <w:pStyle w:val="TOC1"/>
            <w:rPr>
              <w:rFonts w:asciiTheme="minorHAnsi" w:eastAsiaTheme="minorEastAsia" w:hAnsiTheme="minorHAnsi" w:cstheme="minorBidi"/>
              <w:b w:val="0"/>
              <w:bCs w:val="0"/>
              <w:lang w:eastAsia="en-GB"/>
            </w:rPr>
          </w:pPr>
          <w:hyperlink w:anchor="_Toc148445970" w:history="1">
            <w:r w:rsidR="00A032A5" w:rsidRPr="00BE20BD">
              <w:rPr>
                <w:rStyle w:val="Hyperlink"/>
              </w:rPr>
              <w:t>7</w:t>
            </w:r>
            <w:r w:rsidR="00A032A5" w:rsidRPr="00BE20BD">
              <w:rPr>
                <w:rFonts w:asciiTheme="minorHAnsi" w:eastAsiaTheme="minorEastAsia" w:hAnsiTheme="minorHAnsi" w:cstheme="minorBidi"/>
                <w:b w:val="0"/>
                <w:bCs w:val="0"/>
                <w:lang w:eastAsia="en-GB"/>
              </w:rPr>
              <w:tab/>
            </w:r>
            <w:r w:rsidR="00A032A5" w:rsidRPr="00BE20BD">
              <w:rPr>
                <w:rStyle w:val="Hyperlink"/>
              </w:rPr>
              <w:t>Scenarios that have not been aggregated</w:t>
            </w:r>
            <w:r w:rsidR="00A032A5" w:rsidRPr="00BE20BD">
              <w:rPr>
                <w:webHidden/>
              </w:rPr>
              <w:tab/>
            </w:r>
            <w:r w:rsidR="00A032A5" w:rsidRPr="00BE20BD">
              <w:rPr>
                <w:webHidden/>
              </w:rPr>
              <w:fldChar w:fldCharType="begin"/>
            </w:r>
            <w:r w:rsidR="00A032A5" w:rsidRPr="00BE20BD">
              <w:rPr>
                <w:webHidden/>
              </w:rPr>
              <w:instrText xml:space="preserve"> PAGEREF _Toc148445970 \h </w:instrText>
            </w:r>
            <w:r w:rsidR="00A032A5" w:rsidRPr="00BE20BD">
              <w:rPr>
                <w:webHidden/>
              </w:rPr>
            </w:r>
            <w:r w:rsidR="00A032A5" w:rsidRPr="00BE20BD">
              <w:rPr>
                <w:webHidden/>
              </w:rPr>
              <w:fldChar w:fldCharType="separate"/>
            </w:r>
            <w:r w:rsidR="00A032A5" w:rsidRPr="00BE20BD">
              <w:rPr>
                <w:webHidden/>
              </w:rPr>
              <w:t>16</w:t>
            </w:r>
            <w:r w:rsidR="00A032A5" w:rsidRPr="00BE20BD">
              <w:rPr>
                <w:webHidden/>
              </w:rPr>
              <w:fldChar w:fldCharType="end"/>
            </w:r>
          </w:hyperlink>
        </w:p>
        <w:p w14:paraId="5231E476" w14:textId="1B9D87CF" w:rsidR="00A032A5" w:rsidRPr="00BE20BD" w:rsidRDefault="000C0F79">
          <w:pPr>
            <w:pStyle w:val="TOC1"/>
            <w:rPr>
              <w:rFonts w:asciiTheme="minorHAnsi" w:eastAsiaTheme="minorEastAsia" w:hAnsiTheme="minorHAnsi" w:cstheme="minorBidi"/>
              <w:b w:val="0"/>
              <w:bCs w:val="0"/>
              <w:lang w:eastAsia="en-GB"/>
            </w:rPr>
          </w:pPr>
          <w:hyperlink w:anchor="_Toc148445971" w:history="1">
            <w:r w:rsidR="00A032A5" w:rsidRPr="00BE20BD">
              <w:rPr>
                <w:rStyle w:val="Hyperlink"/>
              </w:rPr>
              <w:t>Appendix</w:t>
            </w:r>
            <w:r w:rsidR="00A032A5" w:rsidRPr="00BE20BD">
              <w:rPr>
                <w:webHidden/>
              </w:rPr>
              <w:tab/>
            </w:r>
            <w:r w:rsidR="00A032A5" w:rsidRPr="00BE20BD">
              <w:rPr>
                <w:webHidden/>
              </w:rPr>
              <w:fldChar w:fldCharType="begin"/>
            </w:r>
            <w:r w:rsidR="00A032A5" w:rsidRPr="00BE20BD">
              <w:rPr>
                <w:webHidden/>
              </w:rPr>
              <w:instrText xml:space="preserve"> PAGEREF _Toc148445971 \h </w:instrText>
            </w:r>
            <w:r w:rsidR="00A032A5" w:rsidRPr="00BE20BD">
              <w:rPr>
                <w:webHidden/>
              </w:rPr>
            </w:r>
            <w:r w:rsidR="00A032A5" w:rsidRPr="00BE20BD">
              <w:rPr>
                <w:webHidden/>
              </w:rPr>
              <w:fldChar w:fldCharType="separate"/>
            </w:r>
            <w:r w:rsidR="00A032A5" w:rsidRPr="00BE20BD">
              <w:rPr>
                <w:webHidden/>
              </w:rPr>
              <w:t>16</w:t>
            </w:r>
            <w:r w:rsidR="00A032A5" w:rsidRPr="00BE20BD">
              <w:rPr>
                <w:webHidden/>
              </w:rPr>
              <w:fldChar w:fldCharType="end"/>
            </w:r>
          </w:hyperlink>
        </w:p>
        <w:p w14:paraId="5C78FCCA" w14:textId="5F165450" w:rsidR="00085DA3" w:rsidRPr="00BE20BD" w:rsidRDefault="00085DA3" w:rsidP="00D60D73">
          <w:r w:rsidRPr="00BE20BD">
            <w:rPr>
              <w:b/>
              <w:bCs/>
            </w:rPr>
            <w:fldChar w:fldCharType="end"/>
          </w:r>
        </w:p>
      </w:sdtContent>
    </w:sdt>
    <w:p w14:paraId="18F42A56" w14:textId="77777777" w:rsidR="00D60D73" w:rsidRPr="00BE20BD" w:rsidRDefault="00D60D73">
      <w:pPr>
        <w:spacing w:line="240" w:lineRule="auto"/>
        <w:rPr>
          <w:rFonts w:cs="Arial"/>
          <w:b/>
          <w:bCs/>
          <w:kern w:val="32"/>
          <w:sz w:val="24"/>
          <w:szCs w:val="24"/>
        </w:rPr>
      </w:pPr>
      <w:r w:rsidRPr="00BE20BD">
        <w:br w:type="page"/>
      </w:r>
    </w:p>
    <w:p w14:paraId="18994E53" w14:textId="79DC7151" w:rsidR="008621B5" w:rsidRPr="00BE20BD" w:rsidRDefault="00636C88" w:rsidP="00D60D73">
      <w:pPr>
        <w:pStyle w:val="StyleHeading1"/>
      </w:pPr>
      <w:bookmarkStart w:id="2" w:name="_Toc148445925"/>
      <w:r w:rsidRPr="00BE20BD">
        <w:lastRenderedPageBreak/>
        <w:t>Executive Board and RA</w:t>
      </w:r>
      <w:bookmarkEnd w:id="1"/>
      <w:bookmarkEnd w:id="2"/>
    </w:p>
    <w:p w14:paraId="56B6D422" w14:textId="35789E02" w:rsidR="006F35CF" w:rsidRPr="00BE20BD" w:rsidRDefault="006F35CF" w:rsidP="00D60D73">
      <w:pPr>
        <w:pStyle w:val="Heading2"/>
      </w:pPr>
      <w:bookmarkStart w:id="3" w:name="_Toc534297729"/>
      <w:bookmarkStart w:id="4" w:name="_Toc148445926"/>
      <w:r w:rsidRPr="00BE20BD">
        <w:t>Members of the Executive Board</w:t>
      </w:r>
      <w:bookmarkEnd w:id="3"/>
      <w:bookmarkEnd w:id="4"/>
    </w:p>
    <w:p w14:paraId="2AE83049" w14:textId="15A99669" w:rsidR="00636C88" w:rsidRPr="00BE20BD" w:rsidRDefault="00636C88" w:rsidP="00D60D73">
      <w:pPr>
        <w:pStyle w:val="FINMAStandardAbsatz"/>
        <w:spacing w:before="100" w:beforeAutospacing="1" w:after="100" w:afterAutospacing="1" w:line="240" w:lineRule="auto"/>
      </w:pPr>
      <w:r w:rsidRPr="00BE20BD">
        <w:t>Chief Executive: …</w:t>
      </w:r>
    </w:p>
    <w:p w14:paraId="18378FFD" w14:textId="3A75D05E" w:rsidR="00636C88" w:rsidRPr="00BE20BD" w:rsidRDefault="00636C88" w:rsidP="00D60D73">
      <w:pPr>
        <w:pStyle w:val="FINMAStandardAbsatz"/>
        <w:spacing w:before="100" w:beforeAutospacing="1" w:after="100" w:afterAutospacing="1" w:line="240" w:lineRule="auto"/>
      </w:pPr>
      <w:r w:rsidRPr="00BE20BD">
        <w:t>Deputy chief executive: …</w:t>
      </w:r>
    </w:p>
    <w:p w14:paraId="71B97203" w14:textId="6D524E34" w:rsidR="00047FC2" w:rsidRPr="00BE20BD" w:rsidRDefault="00047FC2" w:rsidP="00D60D73">
      <w:pPr>
        <w:pStyle w:val="FINMAStandardAbsatz"/>
        <w:spacing w:before="100" w:beforeAutospacing="1" w:after="100" w:afterAutospacing="1" w:line="240" w:lineRule="auto"/>
      </w:pPr>
      <w:r w:rsidRPr="00BE20BD">
        <w:t>Head of…</w:t>
      </w:r>
    </w:p>
    <w:p w14:paraId="6CB588CC" w14:textId="4EF2B2FD" w:rsidR="00BF445A" w:rsidRPr="00BE20BD" w:rsidRDefault="00EB294A" w:rsidP="00D60D73">
      <w:pPr>
        <w:pStyle w:val="FINMAStandardAbsatz"/>
        <w:spacing w:before="100" w:beforeAutospacing="1" w:after="100" w:afterAutospacing="1" w:line="240" w:lineRule="auto"/>
      </w:pPr>
      <w:r w:rsidRPr="00BE20BD">
        <w:t>Compliance / Finance / Risk management / Marketing / Underwriting / Sales / … /</w:t>
      </w:r>
    </w:p>
    <w:p w14:paraId="76948B71" w14:textId="3F4763EA" w:rsidR="00383656" w:rsidRPr="00BE20BD" w:rsidRDefault="000A4DE3" w:rsidP="00D60D73">
      <w:pPr>
        <w:pStyle w:val="FINMAStandardAbsatz"/>
        <w:spacing w:before="100" w:beforeAutospacing="1" w:after="100" w:afterAutospacing="1" w:line="240" w:lineRule="auto"/>
        <w:rPr>
          <w:i/>
        </w:rPr>
      </w:pPr>
      <w:r w:rsidRPr="00BE20BD">
        <w:rPr>
          <w:i/>
        </w:rPr>
        <w:t>&lt;Please select or combine as applicable or add new categories and use your own titles.&gt;</w:t>
      </w:r>
    </w:p>
    <w:p w14:paraId="4FF2EFF4" w14:textId="7CD847B3" w:rsidR="00DF2F2E" w:rsidRPr="00BE20BD" w:rsidRDefault="00DF2F2E" w:rsidP="00D60D73">
      <w:pPr>
        <w:pStyle w:val="Heading2"/>
      </w:pPr>
      <w:bookmarkStart w:id="5" w:name="_Toc534297730"/>
      <w:bookmarkStart w:id="6" w:name="_Toc148445927"/>
      <w:r w:rsidRPr="00BE20BD">
        <w:t>Signatures of the Executive Board</w:t>
      </w:r>
      <w:bookmarkEnd w:id="5"/>
      <w:bookmarkEnd w:id="6"/>
    </w:p>
    <w:p w14:paraId="35EC3D41" w14:textId="0E173CEE" w:rsidR="00DF2F2E" w:rsidRPr="00BE20BD" w:rsidRDefault="00DF2F2E" w:rsidP="00D60D73">
      <w:pPr>
        <w:pStyle w:val="FINMAStandardAbsatz"/>
      </w:pPr>
      <w:r w:rsidRPr="00BE20BD">
        <w:t>Signatures in accordance with Art. 5</w:t>
      </w:r>
      <w:r w:rsidR="00CA2203" w:rsidRPr="00BE20BD">
        <w:t>0</w:t>
      </w:r>
      <w:r w:rsidRPr="00BE20BD">
        <w:t xml:space="preserve"> ISO and FINMA Circular 2017/03 “SST” margin numbers 144 and 197</w:t>
      </w:r>
    </w:p>
    <w:p w14:paraId="42F6C9BE" w14:textId="48DFCC31" w:rsidR="00DF2F2E" w:rsidRPr="00BE20BD" w:rsidRDefault="00DF2F2E" w:rsidP="00D60D73">
      <w:pPr>
        <w:pStyle w:val="FINMAStandardAbsatz"/>
      </w:pPr>
      <w:r w:rsidRPr="00BE20BD">
        <w:t>&lt;</w:t>
      </w:r>
      <w:r w:rsidRPr="00BE20BD">
        <w:rPr>
          <w:i/>
        </w:rPr>
        <w:t>Please state the function on the Executive Board corresponding with those in the section above.&gt;</w:t>
      </w:r>
    </w:p>
    <w:p w14:paraId="42FDFF53" w14:textId="64909C8A" w:rsidR="00636C88" w:rsidRPr="00BE20BD" w:rsidRDefault="00636C88" w:rsidP="00D60D73">
      <w:pPr>
        <w:pStyle w:val="Heading2"/>
      </w:pPr>
      <w:bookmarkStart w:id="7" w:name="_Toc534297731"/>
      <w:bookmarkStart w:id="8" w:name="_Toc148445928"/>
      <w:r w:rsidRPr="00BE20BD">
        <w:t>Responsible actuary</w:t>
      </w:r>
      <w:bookmarkEnd w:id="7"/>
      <w:r w:rsidRPr="00BE20BD">
        <w:t xml:space="preserve"> (RA)</w:t>
      </w:r>
      <w:bookmarkEnd w:id="8"/>
    </w:p>
    <w:p w14:paraId="1D64EF4F" w14:textId="00C78ABF" w:rsidR="00047FC2" w:rsidRPr="00BE20BD" w:rsidRDefault="00BF445A" w:rsidP="00D60D73">
      <w:pPr>
        <w:pStyle w:val="FINMAStandardAbsatz"/>
        <w:rPr>
          <w:i/>
        </w:rPr>
      </w:pPr>
      <w:r w:rsidRPr="00BE20BD">
        <w:rPr>
          <w:i/>
        </w:rPr>
        <w:t>&lt;Please only enter information if the RA was involved in producing the SST report. In what way were they involved? Is the RA an internal or external function?&gt;</w:t>
      </w:r>
    </w:p>
    <w:p w14:paraId="26FD66BA" w14:textId="43229846" w:rsidR="0076328E" w:rsidRPr="00BE20BD" w:rsidRDefault="00830665" w:rsidP="00D60D73">
      <w:pPr>
        <w:pStyle w:val="StyleHeading1"/>
      </w:pPr>
      <w:bookmarkStart w:id="9" w:name="_Toc534297732"/>
      <w:bookmarkStart w:id="10" w:name="_Toc148445929"/>
      <w:r w:rsidRPr="00BE20BD">
        <w:t>Management summary</w:t>
      </w:r>
      <w:bookmarkEnd w:id="9"/>
      <w:bookmarkEnd w:id="10"/>
    </w:p>
    <w:p w14:paraId="4EA1E125" w14:textId="37CA3F78" w:rsidR="000A5BF3" w:rsidRPr="00BE20BD" w:rsidRDefault="000A5BF3" w:rsidP="00D60D73">
      <w:pPr>
        <w:pStyle w:val="FINMAStandardAbsatz"/>
        <w:spacing w:before="100" w:beforeAutospacing="1" w:after="100" w:afterAutospacing="1" w:line="240" w:lineRule="auto"/>
      </w:pPr>
      <w:r w:rsidRPr="00BE20BD">
        <w:t>Margin number 161</w:t>
      </w:r>
    </w:p>
    <w:p w14:paraId="444E7306" w14:textId="006E0CF4" w:rsidR="00697D89" w:rsidRPr="00BE20BD" w:rsidRDefault="00800F98" w:rsidP="00D60D73">
      <w:pPr>
        <w:pStyle w:val="FINMAStandardAbsatz"/>
        <w:spacing w:before="100" w:beforeAutospacing="1" w:after="100" w:afterAutospacing="1" w:line="240" w:lineRule="auto"/>
      </w:pPr>
      <w:r w:rsidRPr="00BE20BD">
        <w:t>The management summary contains the key findings of the SST exercise with an adequate discussion in writing.</w:t>
      </w:r>
    </w:p>
    <w:p w14:paraId="1B9AFAA1" w14:textId="3C970727" w:rsidR="00367866" w:rsidRPr="00BE20BD" w:rsidRDefault="00367866" w:rsidP="00D60D73">
      <w:pPr>
        <w:pStyle w:val="FINMAStandardAbsatz"/>
        <w:spacing w:before="100" w:beforeAutospacing="1" w:after="100" w:afterAutospacing="1" w:line="240" w:lineRule="auto"/>
        <w:rPr>
          <w:i/>
        </w:rPr>
      </w:pPr>
      <w:r w:rsidRPr="00BE20BD">
        <w:rPr>
          <w:i/>
        </w:rPr>
        <w:t>Key words:</w:t>
      </w:r>
      <w:r w:rsidRPr="00BE20BD">
        <w:t xml:space="preserve"> Model used to calculate the SST</w:t>
      </w:r>
      <w:r w:rsidR="00CC4334" w:rsidRPr="00BE20BD">
        <w:t xml:space="preserve"> </w:t>
      </w:r>
      <w:r w:rsidR="00596C13" w:rsidRPr="00BE20BD">
        <w:t>202</w:t>
      </w:r>
      <w:r w:rsidR="00EA28F4" w:rsidRPr="00BE20BD">
        <w:t>4</w:t>
      </w:r>
      <w:r w:rsidRPr="00BE20BD">
        <w:t>, FINMA standard models, scenarios, risk structure, target capital, market risk, credit risk, insurance risk, expected financial result,</w:t>
      </w:r>
      <w:r w:rsidR="00187F5F" w:rsidRPr="00BE20BD">
        <w:t xml:space="preserve"> expected insurance result,</w:t>
      </w:r>
      <w:r w:rsidRPr="00BE20BD">
        <w:t xml:space="preserve"> risk-bearing capital, assets, liabilities, market</w:t>
      </w:r>
      <w:r w:rsidR="002502C1" w:rsidRPr="00BE20BD">
        <w:t xml:space="preserve"> </w:t>
      </w:r>
      <w:r w:rsidRPr="00BE20BD">
        <w:t>con</w:t>
      </w:r>
      <w:r w:rsidR="00D044ED" w:rsidRPr="00BE20BD">
        <w:t>form</w:t>
      </w:r>
      <w:r w:rsidRPr="00BE20BD">
        <w:t xml:space="preserve"> value of assets, market</w:t>
      </w:r>
      <w:r w:rsidR="002502C1" w:rsidRPr="00BE20BD">
        <w:t xml:space="preserve"> </w:t>
      </w:r>
      <w:r w:rsidRPr="00BE20BD">
        <w:t>con</w:t>
      </w:r>
      <w:r w:rsidR="00D044ED" w:rsidRPr="00BE20BD">
        <w:t>form</w:t>
      </w:r>
      <w:r w:rsidRPr="00BE20BD">
        <w:t xml:space="preserve"> value of liabilities, </w:t>
      </w:r>
      <w:r w:rsidR="00CC4334" w:rsidRPr="00BE20BD">
        <w:t>market value margin</w:t>
      </w:r>
      <w:r w:rsidRPr="00BE20BD">
        <w:t xml:space="preserve">, SST ratio, significant changes and their main </w:t>
      </w:r>
      <w:proofErr w:type="gramStart"/>
      <w:r w:rsidRPr="00BE20BD">
        <w:t>drivers</w:t>
      </w:r>
      <w:proofErr w:type="gramEnd"/>
    </w:p>
    <w:p w14:paraId="4146E1D9" w14:textId="2D3F87CC" w:rsidR="00882943" w:rsidRPr="00BE20BD" w:rsidRDefault="00882943" w:rsidP="00D60D73">
      <w:pPr>
        <w:pStyle w:val="FINMAStandardAbsatz"/>
        <w:spacing w:before="100" w:beforeAutospacing="1" w:after="100" w:afterAutospacing="1" w:line="240" w:lineRule="auto"/>
        <w:rPr>
          <w:i/>
        </w:rPr>
      </w:pPr>
      <w:r w:rsidRPr="00BE20BD">
        <w:rPr>
          <w:i/>
        </w:rPr>
        <w:t xml:space="preserve">Sample texts (key words in bold): </w:t>
      </w:r>
    </w:p>
    <w:p w14:paraId="760EB79D" w14:textId="0321859F" w:rsidR="00882943" w:rsidRPr="00BE20BD" w:rsidRDefault="00882943" w:rsidP="00D60D73">
      <w:pPr>
        <w:pStyle w:val="FINMAStandardAbsatz"/>
        <w:spacing w:before="100" w:beforeAutospacing="1" w:after="100" w:afterAutospacing="1" w:line="240" w:lineRule="auto"/>
      </w:pPr>
      <w:r w:rsidRPr="00BE20BD">
        <w:t>The</w:t>
      </w:r>
      <w:r w:rsidRPr="00BE20BD">
        <w:rPr>
          <w:b/>
        </w:rPr>
        <w:t xml:space="preserve"> model used to calculate the SST</w:t>
      </w:r>
      <w:r w:rsidR="00CC4334" w:rsidRPr="00BE20BD">
        <w:rPr>
          <w:b/>
        </w:rPr>
        <w:t xml:space="preserve"> </w:t>
      </w:r>
      <w:r w:rsidR="00596C13" w:rsidRPr="00BE20BD">
        <w:rPr>
          <w:b/>
        </w:rPr>
        <w:t>202</w:t>
      </w:r>
      <w:r w:rsidR="00EA28F4" w:rsidRPr="00BE20BD">
        <w:rPr>
          <w:b/>
        </w:rPr>
        <w:t>4</w:t>
      </w:r>
      <w:r w:rsidRPr="00BE20BD">
        <w:rPr>
          <w:b/>
        </w:rPr>
        <w:t xml:space="preserve"> </w:t>
      </w:r>
      <w:r w:rsidRPr="00BE20BD">
        <w:t xml:space="preserve">has not changed: In accordance with FINMA’s letter of 31 October </w:t>
      </w:r>
      <w:r w:rsidR="00596C13" w:rsidRPr="00BE20BD">
        <w:t>202</w:t>
      </w:r>
      <w:r w:rsidR="006C2A09" w:rsidRPr="00BE20BD">
        <w:t>3</w:t>
      </w:r>
      <w:r w:rsidRPr="00BE20BD">
        <w:t xml:space="preserve"> we are continuing to use the </w:t>
      </w:r>
      <w:r w:rsidRPr="00BE20BD">
        <w:rPr>
          <w:b/>
        </w:rPr>
        <w:t>FINMA standard models</w:t>
      </w:r>
      <w:r w:rsidRPr="00BE20BD">
        <w:t xml:space="preserve"> and as per the letter we aggregate these with specific risk </w:t>
      </w:r>
      <w:r w:rsidRPr="00BE20BD">
        <w:rPr>
          <w:b/>
        </w:rPr>
        <w:t>scenarios</w:t>
      </w:r>
      <w:r w:rsidRPr="00BE20BD">
        <w:t xml:space="preserve"> to compensate for our specific risk situation. The aggregated scenarios contain one specific scenario to compensate for our real estate concentration and a further scenario to capture the risk of our foreign currency exposures.</w:t>
      </w:r>
    </w:p>
    <w:p w14:paraId="3F633EF9" w14:textId="58CB4886" w:rsidR="006C2A09" w:rsidRPr="00BE20BD" w:rsidRDefault="006C2A09" w:rsidP="00D60D73">
      <w:pPr>
        <w:pStyle w:val="FINMAStandardAbsatz"/>
        <w:spacing w:before="100" w:beforeAutospacing="1" w:after="100" w:afterAutospacing="1" w:line="240" w:lineRule="auto"/>
      </w:pPr>
      <w:r w:rsidRPr="00BE20BD">
        <w:lastRenderedPageBreak/>
        <w:t>The comparison of numbers with the SST 2023 uses a restated SST 2023, that is with the definitions of risk bearing capital and target capital as of those valid per SST 2024.</w:t>
      </w:r>
    </w:p>
    <w:p w14:paraId="556761E0" w14:textId="52E3C0A4" w:rsidR="00F5198E" w:rsidRPr="00BE20BD" w:rsidRDefault="00882943" w:rsidP="00D60D73">
      <w:pPr>
        <w:pStyle w:val="FINMAStandardAbsatz"/>
        <w:spacing w:before="100" w:beforeAutospacing="1" w:after="100" w:afterAutospacing="1" w:line="240" w:lineRule="auto"/>
      </w:pPr>
      <w:r w:rsidRPr="00BE20BD">
        <w:rPr>
          <w:b/>
        </w:rPr>
        <w:t>Target capital</w:t>
      </w:r>
      <w:r w:rsidRPr="00BE20BD">
        <w:t xml:space="preserve"> fell by CHF 123.4 million compared with the prior year to CHF 567.8 million. This fall was primarily caused by the </w:t>
      </w:r>
      <w:r w:rsidRPr="00BE20BD">
        <w:rPr>
          <w:b/>
        </w:rPr>
        <w:t>reduced impact of the scenarios</w:t>
      </w:r>
      <w:r w:rsidRPr="00BE20BD">
        <w:rPr>
          <w:b/>
          <w:bCs/>
        </w:rPr>
        <w:t xml:space="preserve"> (- CH</w:t>
      </w:r>
      <w:r w:rsidRPr="00BE20BD">
        <w:rPr>
          <w:b/>
        </w:rPr>
        <w:t>F 102.2 million / - xx% year-on-year</w:t>
      </w:r>
      <w:r w:rsidRPr="00BE20BD">
        <w:t xml:space="preserve">) and the relative </w:t>
      </w:r>
      <w:r w:rsidRPr="00BE20BD">
        <w:rPr>
          <w:b/>
        </w:rPr>
        <w:t>fall in market risk</w:t>
      </w:r>
      <w:r w:rsidRPr="00BE20BD">
        <w:t xml:space="preserve"> </w:t>
      </w:r>
      <w:r w:rsidRPr="00BE20BD">
        <w:rPr>
          <w:b/>
        </w:rPr>
        <w:t xml:space="preserve">(- CHF 20.1 million / - </w:t>
      </w:r>
      <w:proofErr w:type="spellStart"/>
      <w:r w:rsidRPr="00BE20BD">
        <w:rPr>
          <w:b/>
        </w:rPr>
        <w:t>yy</w:t>
      </w:r>
      <w:proofErr w:type="spellEnd"/>
      <w:r w:rsidRPr="00BE20BD">
        <w:rPr>
          <w:b/>
        </w:rPr>
        <w:t xml:space="preserve">% </w:t>
      </w:r>
      <w:r w:rsidRPr="00BE20BD">
        <w:t xml:space="preserve">year-on-year) due to higher cash holdings. The corresponding </w:t>
      </w:r>
      <w:r w:rsidRPr="00BE20BD">
        <w:rPr>
          <w:b/>
        </w:rPr>
        <w:t>credit risk</w:t>
      </w:r>
      <w:r w:rsidRPr="00BE20BD">
        <w:t xml:space="preserve"> was largely unchanged.</w:t>
      </w:r>
    </w:p>
    <w:p w14:paraId="45D5B244" w14:textId="2BB3A637" w:rsidR="00F5198E" w:rsidRPr="00BE20BD" w:rsidRDefault="00F5198E" w:rsidP="00D60D73">
      <w:pPr>
        <w:pStyle w:val="FINMAStandardAbsatz"/>
        <w:spacing w:before="100" w:beforeAutospacing="1" w:after="100" w:afterAutospacing="1" w:line="240" w:lineRule="auto"/>
      </w:pPr>
      <w:r w:rsidRPr="00BE20BD">
        <w:t xml:space="preserve">As regards the </w:t>
      </w:r>
      <w:r w:rsidRPr="00BE20BD">
        <w:rPr>
          <w:b/>
        </w:rPr>
        <w:t>risk structure</w:t>
      </w:r>
      <w:r w:rsidRPr="00BE20BD">
        <w:t xml:space="preserve"> of our insurance company there was a change from the prior year on the </w:t>
      </w:r>
      <w:r w:rsidRPr="00BE20BD">
        <w:rPr>
          <w:b/>
        </w:rPr>
        <w:t>assets side</w:t>
      </w:r>
      <w:r w:rsidRPr="00BE20BD">
        <w:t xml:space="preserve"> (increased cash positions, see above), while the target capital contribution of the </w:t>
      </w:r>
      <w:r w:rsidRPr="00BE20BD">
        <w:rPr>
          <w:b/>
          <w:bCs/>
        </w:rPr>
        <w:t>liabilities side</w:t>
      </w:r>
      <w:r w:rsidRPr="00BE20BD">
        <w:t xml:space="preserve"> improved slightly as the contribution of </w:t>
      </w:r>
      <w:r w:rsidRPr="00BE20BD">
        <w:rPr>
          <w:b/>
        </w:rPr>
        <w:t>insurance risks</w:t>
      </w:r>
      <w:r w:rsidRPr="00BE20BD">
        <w:t xml:space="preserve"> remained largely unchanged, which reflects our stable insurance portfolio.</w:t>
      </w:r>
    </w:p>
    <w:p w14:paraId="6EDF7A75" w14:textId="022BEEAF" w:rsidR="00882943" w:rsidRPr="00BE20BD" w:rsidRDefault="00882943" w:rsidP="00D60D73">
      <w:pPr>
        <w:pStyle w:val="FINMAStandardAbsatz"/>
        <w:spacing w:before="100" w:beforeAutospacing="1" w:after="100" w:afterAutospacing="1" w:line="240" w:lineRule="auto"/>
      </w:pPr>
      <w:r w:rsidRPr="00BE20BD">
        <w:t xml:space="preserve">In this year’s SST we estimated our </w:t>
      </w:r>
      <w:r w:rsidRPr="00BE20BD">
        <w:rPr>
          <w:b/>
        </w:rPr>
        <w:t>expected</w:t>
      </w:r>
      <w:r w:rsidRPr="00BE20BD">
        <w:t xml:space="preserve"> </w:t>
      </w:r>
      <w:r w:rsidRPr="00BE20BD">
        <w:rPr>
          <w:b/>
        </w:rPr>
        <w:t>financial result</w:t>
      </w:r>
      <w:r w:rsidRPr="00BE20BD">
        <w:t xml:space="preserve"> using FINMA’s yield assumptions. The </w:t>
      </w:r>
      <w:r w:rsidRPr="00BE20BD">
        <w:rPr>
          <w:b/>
        </w:rPr>
        <w:t xml:space="preserve">expected </w:t>
      </w:r>
      <w:r w:rsidR="00187F5F" w:rsidRPr="00BE20BD">
        <w:rPr>
          <w:b/>
        </w:rPr>
        <w:t xml:space="preserve">insurance </w:t>
      </w:r>
      <w:r w:rsidRPr="00BE20BD">
        <w:rPr>
          <w:b/>
        </w:rPr>
        <w:t>result</w:t>
      </w:r>
      <w:r w:rsidRPr="00BE20BD">
        <w:t xml:space="preserve"> remained unchanged thanks to our stable processes in underwriting and claims analysis.</w:t>
      </w:r>
    </w:p>
    <w:p w14:paraId="2AAE7E71" w14:textId="01AA56EC" w:rsidR="00882943" w:rsidRPr="00BE20BD" w:rsidRDefault="00882943" w:rsidP="00D60D73">
      <w:pPr>
        <w:pStyle w:val="FINMAStandardAbsatz"/>
        <w:spacing w:before="100" w:beforeAutospacing="1" w:after="100" w:afterAutospacing="1" w:line="240" w:lineRule="auto"/>
      </w:pPr>
      <w:r w:rsidRPr="00BE20BD">
        <w:t xml:space="preserve">The </w:t>
      </w:r>
      <w:r w:rsidRPr="00BE20BD">
        <w:rPr>
          <w:b/>
        </w:rPr>
        <w:t>market</w:t>
      </w:r>
      <w:r w:rsidR="002502C1" w:rsidRPr="00BE20BD">
        <w:rPr>
          <w:b/>
        </w:rPr>
        <w:t xml:space="preserve"> </w:t>
      </w:r>
      <w:proofErr w:type="gramStart"/>
      <w:r w:rsidRPr="00BE20BD">
        <w:rPr>
          <w:b/>
        </w:rPr>
        <w:t>con</w:t>
      </w:r>
      <w:r w:rsidR="009777F3" w:rsidRPr="00BE20BD">
        <w:rPr>
          <w:b/>
        </w:rPr>
        <w:t>form</w:t>
      </w:r>
      <w:proofErr w:type="gramEnd"/>
      <w:r w:rsidRPr="00BE20BD">
        <w:rPr>
          <w:b/>
        </w:rPr>
        <w:t xml:space="preserve"> value of assets</w:t>
      </w:r>
      <w:r w:rsidRPr="00BE20BD">
        <w:t xml:space="preserve"> rose by CHF 100.0 million from CHF 1</w:t>
      </w:r>
      <w:r w:rsidR="00187F5F" w:rsidRPr="00BE20BD">
        <w:t xml:space="preserve"> </w:t>
      </w:r>
      <w:r w:rsidRPr="00BE20BD">
        <w:t>234.5 million to CHF 1</w:t>
      </w:r>
      <w:r w:rsidR="00187F5F" w:rsidRPr="00BE20BD">
        <w:t> </w:t>
      </w:r>
      <w:r w:rsidRPr="00BE20BD">
        <w:t xml:space="preserve">334.5 million. The increase was mainly focused on investment funds (+ CHF 20.5 million), mortgages (+ CHF 6.5 million) and liquid assets (+ CHF 73.0 million). The </w:t>
      </w:r>
      <w:r w:rsidRPr="00BE20BD">
        <w:rPr>
          <w:b/>
        </w:rPr>
        <w:t>increase</w:t>
      </w:r>
      <w:r w:rsidRPr="00BE20BD">
        <w:t xml:space="preserve"> derived from the internally generated profits of the previous year and the company did not carry out a capital increase. </w:t>
      </w:r>
    </w:p>
    <w:p w14:paraId="16815D78" w14:textId="579A644F" w:rsidR="006C2A09" w:rsidRPr="00BE20BD" w:rsidRDefault="001250B6" w:rsidP="00D60D73">
      <w:pPr>
        <w:pStyle w:val="FINMAStandardAbsatz"/>
        <w:spacing w:before="100" w:beforeAutospacing="1" w:after="100" w:afterAutospacing="1" w:line="240" w:lineRule="auto"/>
      </w:pPr>
      <w:r w:rsidRPr="00BE20BD">
        <w:t xml:space="preserve">The </w:t>
      </w:r>
      <w:r w:rsidR="006C2A09" w:rsidRPr="00BE20BD">
        <w:rPr>
          <w:b/>
        </w:rPr>
        <w:t>market</w:t>
      </w:r>
      <w:r w:rsidR="002502C1" w:rsidRPr="00BE20BD">
        <w:rPr>
          <w:b/>
        </w:rPr>
        <w:t xml:space="preserve"> </w:t>
      </w:r>
      <w:proofErr w:type="gramStart"/>
      <w:r w:rsidR="006C2A09" w:rsidRPr="00BE20BD">
        <w:rPr>
          <w:b/>
        </w:rPr>
        <w:t>conform</w:t>
      </w:r>
      <w:proofErr w:type="gramEnd"/>
      <w:r w:rsidR="006C2A09" w:rsidRPr="00BE20BD">
        <w:rPr>
          <w:b/>
        </w:rPr>
        <w:t xml:space="preserve"> value</w:t>
      </w:r>
      <w:r w:rsidRPr="00BE20BD">
        <w:rPr>
          <w:b/>
        </w:rPr>
        <w:t xml:space="preserve"> of liabilities </w:t>
      </w:r>
      <w:r w:rsidRPr="00BE20BD">
        <w:t>fell by CHF 100 million from CHF 1</w:t>
      </w:r>
      <w:r w:rsidR="00187F5F" w:rsidRPr="00BE20BD">
        <w:t xml:space="preserve"> </w:t>
      </w:r>
      <w:r w:rsidRPr="00BE20BD">
        <w:t>234.5 million to CHF 1</w:t>
      </w:r>
      <w:r w:rsidR="00187F5F" w:rsidRPr="00BE20BD">
        <w:t> </w:t>
      </w:r>
      <w:r w:rsidRPr="00BE20BD">
        <w:t>334.5 million. This decline was largely due to the significantly higher yield curve compared to last year (- CHF 99.0 million).</w:t>
      </w:r>
      <w:r w:rsidR="006C2A09" w:rsidRPr="00BE20BD">
        <w:t xml:space="preserve"> </w:t>
      </w:r>
      <w:proofErr w:type="gramStart"/>
      <w:r w:rsidR="006C2A09" w:rsidRPr="00BE20BD">
        <w:t xml:space="preserve">In particular </w:t>
      </w:r>
      <w:r w:rsidR="004445B4" w:rsidRPr="00BE20BD">
        <w:t>t</w:t>
      </w:r>
      <w:r w:rsidR="006C2A09" w:rsidRPr="00BE20BD">
        <w:t>he</w:t>
      </w:r>
      <w:proofErr w:type="gramEnd"/>
      <w:r w:rsidR="006C2A09" w:rsidRPr="00BE20BD">
        <w:t xml:space="preserve"> </w:t>
      </w:r>
      <w:r w:rsidR="006C2A09" w:rsidRPr="00BE20BD">
        <w:rPr>
          <w:b/>
        </w:rPr>
        <w:t xml:space="preserve">market value margin </w:t>
      </w:r>
      <w:r w:rsidR="006C2A09" w:rsidRPr="00BE20BD">
        <w:t>in the SST 2024 was CHF 34.5 million (previous year: CHF 34.6 million).</w:t>
      </w:r>
    </w:p>
    <w:p w14:paraId="234C3A0A" w14:textId="7CFB372A" w:rsidR="00812D50" w:rsidRPr="00BE20BD" w:rsidRDefault="00882943" w:rsidP="00D60D73">
      <w:pPr>
        <w:pStyle w:val="FINMAStandardAbsatz"/>
        <w:spacing w:before="100" w:beforeAutospacing="1" w:after="100" w:afterAutospacing="1" w:line="240" w:lineRule="auto"/>
      </w:pPr>
      <w:r w:rsidRPr="00BE20BD">
        <w:t>Market</w:t>
      </w:r>
      <w:r w:rsidR="002502C1" w:rsidRPr="00BE20BD">
        <w:t xml:space="preserve"> </w:t>
      </w:r>
      <w:proofErr w:type="gramStart"/>
      <w:r w:rsidR="009777F3" w:rsidRPr="00BE20BD">
        <w:t>conform</w:t>
      </w:r>
      <w:proofErr w:type="gramEnd"/>
      <w:r w:rsidRPr="00BE20BD">
        <w:t xml:space="preserve"> assets less provisions and liabilities led to </w:t>
      </w:r>
      <w:r w:rsidRPr="00BE20BD">
        <w:rPr>
          <w:b/>
        </w:rPr>
        <w:t>risk-bearing capital</w:t>
      </w:r>
      <w:r w:rsidRPr="00BE20BD">
        <w:t xml:space="preserve"> of CHF 678.9 million (previous year CHF </w:t>
      </w:r>
      <w:r w:rsidR="0015101C" w:rsidRPr="00BE20BD">
        <w:t>9</w:t>
      </w:r>
      <w:r w:rsidRPr="00BE20BD">
        <w:t xml:space="preserve">67.8 million). </w:t>
      </w:r>
    </w:p>
    <w:p w14:paraId="1EE22485" w14:textId="016010FD" w:rsidR="00882943" w:rsidRPr="00BE20BD" w:rsidRDefault="00964098" w:rsidP="00D60D73">
      <w:pPr>
        <w:pStyle w:val="FINMAStandardAbsatz"/>
        <w:spacing w:before="100" w:beforeAutospacing="1" w:after="100" w:afterAutospacing="1" w:line="240" w:lineRule="auto"/>
      </w:pPr>
      <w:r w:rsidRPr="00BE20BD">
        <w:t xml:space="preserve">The </w:t>
      </w:r>
      <w:r w:rsidRPr="00BE20BD">
        <w:rPr>
          <w:b/>
          <w:bCs/>
        </w:rPr>
        <w:t>SST</w:t>
      </w:r>
      <w:r w:rsidR="00CC4334" w:rsidRPr="00BE20BD">
        <w:rPr>
          <w:b/>
          <w:bCs/>
        </w:rPr>
        <w:t xml:space="preserve"> </w:t>
      </w:r>
      <w:r w:rsidR="00596C13" w:rsidRPr="00BE20BD">
        <w:rPr>
          <w:b/>
          <w:bCs/>
        </w:rPr>
        <w:t>202</w:t>
      </w:r>
      <w:r w:rsidR="00EA28F4" w:rsidRPr="00BE20BD">
        <w:rPr>
          <w:b/>
          <w:bCs/>
        </w:rPr>
        <w:t>4</w:t>
      </w:r>
      <w:r w:rsidRPr="00BE20BD">
        <w:rPr>
          <w:b/>
          <w:bCs/>
        </w:rPr>
        <w:t xml:space="preserve"> ratio</w:t>
      </w:r>
      <w:r w:rsidRPr="00BE20BD">
        <w:t xml:space="preserve"> is </w:t>
      </w:r>
      <w:r w:rsidR="0015101C" w:rsidRPr="00BE20BD">
        <w:t>120</w:t>
      </w:r>
      <w:r w:rsidRPr="00BE20BD">
        <w:t xml:space="preserve">% (previous year: </w:t>
      </w:r>
      <w:r w:rsidR="0015101C" w:rsidRPr="00BE20BD">
        <w:t>140</w:t>
      </w:r>
      <w:r w:rsidRPr="00BE20BD">
        <w:t xml:space="preserve">%). </w:t>
      </w:r>
    </w:p>
    <w:p w14:paraId="48D66D31" w14:textId="0C4773ED" w:rsidR="00E02925" w:rsidRPr="00BE20BD" w:rsidRDefault="00065943" w:rsidP="00D60D73">
      <w:pPr>
        <w:pStyle w:val="StyleHeading1"/>
      </w:pPr>
      <w:bookmarkStart w:id="11" w:name="_Toc148445930"/>
      <w:r w:rsidRPr="00BE20BD">
        <w:t>Overview and outlook</w:t>
      </w:r>
      <w:bookmarkEnd w:id="11"/>
    </w:p>
    <w:p w14:paraId="77CE35AB" w14:textId="55C01B1A" w:rsidR="00A44286" w:rsidRPr="00BE20BD" w:rsidRDefault="005C221F" w:rsidP="00D60D73">
      <w:pPr>
        <w:pStyle w:val="Heading2"/>
      </w:pPr>
      <w:bookmarkStart w:id="12" w:name="_Toc148445931"/>
      <w:r w:rsidRPr="00BE20BD">
        <w:t>Overview of the current SST</w:t>
      </w:r>
      <w:bookmarkEnd w:id="12"/>
      <w:r w:rsidRPr="00BE20BD">
        <w:t xml:space="preserve"> </w:t>
      </w:r>
    </w:p>
    <w:p w14:paraId="0DFA4C7C" w14:textId="2F350697" w:rsidR="00CA3ED7" w:rsidRPr="00BE20BD" w:rsidRDefault="00CA3ED7" w:rsidP="00D60D73">
      <w:pPr>
        <w:pStyle w:val="FINMAStandardAbsatz"/>
      </w:pPr>
      <w:r w:rsidRPr="00BE20BD">
        <w:t>Information on the SST ratio and discussion of the result both for this year and</w:t>
      </w:r>
      <w:r w:rsidR="00F866F5" w:rsidRPr="00BE20BD">
        <w:t xml:space="preserve"> for the recent past.</w:t>
      </w:r>
      <w:r w:rsidRPr="00BE20BD">
        <w:t xml:space="preserve"> Discuss any changes and if applicable flesh out the information provided in the management summary.</w:t>
      </w:r>
    </w:p>
    <w:p w14:paraId="7A6557E5" w14:textId="61D04A49" w:rsidR="00CA3ED7" w:rsidRPr="00BE20BD" w:rsidRDefault="00775E3F" w:rsidP="00A0280B">
      <w:pPr>
        <w:pStyle w:val="FINMATabelleohneAufzzeichen"/>
        <w:keepNext/>
        <w:widowControl/>
      </w:pPr>
      <w:r w:rsidRPr="00BE20BD">
        <w:lastRenderedPageBreak/>
        <w:t xml:space="preserve">Changes in </w:t>
      </w:r>
      <w:r w:rsidR="00187F5F" w:rsidRPr="00BE20BD">
        <w:t xml:space="preserve">main </w:t>
      </w:r>
      <w:r w:rsidRPr="00BE20BD">
        <w:t>key figures for the last five years</w:t>
      </w:r>
      <w:r w:rsidR="004445B4" w:rsidRPr="00BE20BD">
        <w:t xml:space="preserve"> (official numbers, not restated)</w:t>
      </w:r>
      <w:r w:rsidRPr="00BE20BD">
        <w:t>:</w:t>
      </w:r>
    </w:p>
    <w:p w14:paraId="0CD226FF" w14:textId="3608998E" w:rsidR="00ED035F" w:rsidRPr="00BE20BD" w:rsidRDefault="00ED035F" w:rsidP="00A0280B">
      <w:pPr>
        <w:pStyle w:val="FINMATabelleohneAufzzeichen"/>
        <w:keepNext/>
        <w:widowControl/>
      </w:pPr>
    </w:p>
    <w:p w14:paraId="7A52E15B" w14:textId="773CFDA9" w:rsidR="007616C1" w:rsidRPr="00BE20BD" w:rsidRDefault="007616C1" w:rsidP="00A0280B">
      <w:pPr>
        <w:pStyle w:val="FINMATabelleohneAufzzeichen"/>
        <w:keepNext/>
        <w:widowControl/>
      </w:pPr>
    </w:p>
    <w:tbl>
      <w:tblPr>
        <w:tblW w:w="9212" w:type="dxa"/>
        <w:tblCellMar>
          <w:left w:w="70" w:type="dxa"/>
          <w:right w:w="70" w:type="dxa"/>
        </w:tblCellMar>
        <w:tblLook w:val="04A0" w:firstRow="1" w:lastRow="0" w:firstColumn="1" w:lastColumn="0" w:noHBand="0" w:noVBand="1"/>
      </w:tblPr>
      <w:tblGrid>
        <w:gridCol w:w="2996"/>
        <w:gridCol w:w="216"/>
        <w:gridCol w:w="1076"/>
        <w:gridCol w:w="185"/>
        <w:gridCol w:w="1036"/>
        <w:gridCol w:w="185"/>
        <w:gridCol w:w="1076"/>
        <w:gridCol w:w="185"/>
        <w:gridCol w:w="1036"/>
        <w:gridCol w:w="185"/>
        <w:gridCol w:w="1036"/>
      </w:tblGrid>
      <w:tr w:rsidR="007616C1" w:rsidRPr="00BE20BD" w14:paraId="1B85A19C" w14:textId="77777777" w:rsidTr="00ED035F">
        <w:trPr>
          <w:trHeight w:val="255"/>
        </w:trPr>
        <w:tc>
          <w:tcPr>
            <w:tcW w:w="2996" w:type="dxa"/>
            <w:tcBorders>
              <w:top w:val="nil"/>
              <w:left w:val="nil"/>
              <w:bottom w:val="nil"/>
              <w:right w:val="nil"/>
            </w:tcBorders>
            <w:shd w:val="clear" w:color="000000" w:fill="FFFFFF"/>
            <w:noWrap/>
            <w:vAlign w:val="bottom"/>
            <w:hideMark/>
          </w:tcPr>
          <w:p w14:paraId="1FD7BA27" w14:textId="77777777" w:rsidR="007616C1" w:rsidRPr="00BE20BD" w:rsidRDefault="007616C1" w:rsidP="00A0280B">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216" w:type="dxa"/>
            <w:tcBorders>
              <w:top w:val="nil"/>
              <w:left w:val="nil"/>
              <w:bottom w:val="nil"/>
              <w:right w:val="nil"/>
            </w:tcBorders>
            <w:shd w:val="clear" w:color="000000" w:fill="FFFFFF"/>
            <w:noWrap/>
            <w:vAlign w:val="bottom"/>
            <w:hideMark/>
          </w:tcPr>
          <w:p w14:paraId="320D3732" w14:textId="77777777" w:rsidR="007616C1" w:rsidRPr="00BE20BD" w:rsidRDefault="007616C1" w:rsidP="00A0280B">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1076" w:type="dxa"/>
            <w:tcBorders>
              <w:top w:val="nil"/>
              <w:left w:val="nil"/>
              <w:bottom w:val="nil"/>
              <w:right w:val="nil"/>
            </w:tcBorders>
            <w:shd w:val="clear" w:color="000000" w:fill="D9D9D9"/>
            <w:noWrap/>
            <w:vAlign w:val="bottom"/>
            <w:hideMark/>
          </w:tcPr>
          <w:p w14:paraId="400B4883" w14:textId="2D39A2BD" w:rsidR="007616C1" w:rsidRPr="00BE20BD" w:rsidRDefault="007616C1" w:rsidP="00A0280B">
            <w:pPr>
              <w:keepNext/>
              <w:spacing w:line="240" w:lineRule="auto"/>
              <w:rPr>
                <w:rFonts w:eastAsia="Times New Roman" w:cs="Arial"/>
                <w:b/>
                <w:bCs/>
                <w:color w:val="000000"/>
                <w:sz w:val="16"/>
                <w:szCs w:val="16"/>
                <w:lang w:val="de-CH" w:eastAsia="de-CH"/>
              </w:rPr>
            </w:pPr>
            <w:r w:rsidRPr="00BE20BD">
              <w:rPr>
                <w:rFonts w:eastAsia="Times New Roman" w:cs="Arial"/>
                <w:b/>
                <w:bCs/>
                <w:color w:val="000000"/>
                <w:sz w:val="16"/>
                <w:szCs w:val="16"/>
                <w:lang w:val="de-CH" w:eastAsia="de-CH"/>
              </w:rPr>
              <w:t xml:space="preserve">SST </w:t>
            </w:r>
            <w:r w:rsidR="00596C13" w:rsidRPr="00BE20BD">
              <w:rPr>
                <w:rFonts w:eastAsia="Times New Roman" w:cs="Arial"/>
                <w:b/>
                <w:bCs/>
                <w:color w:val="000000"/>
                <w:sz w:val="16"/>
                <w:szCs w:val="16"/>
                <w:lang w:val="de-CH" w:eastAsia="de-CH"/>
              </w:rPr>
              <w:t>20</w:t>
            </w:r>
            <w:r w:rsidR="00ED035F" w:rsidRPr="00BE20BD">
              <w:rPr>
                <w:rFonts w:eastAsia="Times New Roman" w:cs="Arial"/>
                <w:b/>
                <w:bCs/>
                <w:color w:val="000000"/>
                <w:sz w:val="16"/>
                <w:szCs w:val="16"/>
                <w:lang w:val="de-CH" w:eastAsia="de-CH"/>
              </w:rPr>
              <w:t>24</w:t>
            </w:r>
          </w:p>
        </w:tc>
        <w:tc>
          <w:tcPr>
            <w:tcW w:w="185" w:type="dxa"/>
            <w:tcBorders>
              <w:top w:val="nil"/>
              <w:left w:val="nil"/>
              <w:bottom w:val="nil"/>
              <w:right w:val="nil"/>
            </w:tcBorders>
            <w:shd w:val="clear" w:color="000000" w:fill="FFFFFF"/>
            <w:noWrap/>
            <w:vAlign w:val="bottom"/>
            <w:hideMark/>
          </w:tcPr>
          <w:p w14:paraId="0BE9B125" w14:textId="77777777" w:rsidR="007616C1" w:rsidRPr="00BE20BD" w:rsidRDefault="007616C1" w:rsidP="00A0280B">
            <w:pPr>
              <w:keepNext/>
              <w:spacing w:line="240" w:lineRule="auto"/>
              <w:rPr>
                <w:rFonts w:eastAsia="Times New Roman" w:cs="Arial"/>
                <w:b/>
                <w:bCs/>
                <w:color w:val="000000"/>
                <w:sz w:val="16"/>
                <w:szCs w:val="16"/>
                <w:lang w:val="de-CH" w:eastAsia="de-CH"/>
              </w:rPr>
            </w:pPr>
            <w:r w:rsidRPr="00BE20BD">
              <w:rPr>
                <w:rFonts w:eastAsia="Times New Roman" w:cs="Arial"/>
                <w:b/>
                <w:bCs/>
                <w:color w:val="000000"/>
                <w:sz w:val="16"/>
                <w:szCs w:val="16"/>
                <w:lang w:val="de-CH" w:eastAsia="de-CH"/>
              </w:rPr>
              <w:t> </w:t>
            </w:r>
          </w:p>
        </w:tc>
        <w:tc>
          <w:tcPr>
            <w:tcW w:w="1036" w:type="dxa"/>
            <w:tcBorders>
              <w:top w:val="nil"/>
              <w:left w:val="nil"/>
              <w:bottom w:val="nil"/>
              <w:right w:val="nil"/>
            </w:tcBorders>
            <w:shd w:val="clear" w:color="000000" w:fill="D9D9D9"/>
            <w:noWrap/>
            <w:vAlign w:val="bottom"/>
            <w:hideMark/>
          </w:tcPr>
          <w:p w14:paraId="1F3D8CF8" w14:textId="6C4FAC9F" w:rsidR="007616C1" w:rsidRPr="00BE20BD" w:rsidRDefault="007616C1" w:rsidP="00A0280B">
            <w:pPr>
              <w:keepNext/>
              <w:spacing w:line="240" w:lineRule="auto"/>
              <w:rPr>
                <w:rFonts w:eastAsia="Times New Roman" w:cs="Arial"/>
                <w:b/>
                <w:bCs/>
                <w:color w:val="000000"/>
                <w:sz w:val="16"/>
                <w:szCs w:val="16"/>
                <w:lang w:val="de-CH" w:eastAsia="de-CH"/>
              </w:rPr>
            </w:pPr>
            <w:r w:rsidRPr="00BE20BD">
              <w:rPr>
                <w:rFonts w:eastAsia="Times New Roman" w:cs="Arial"/>
                <w:b/>
                <w:bCs/>
                <w:color w:val="000000"/>
                <w:sz w:val="16"/>
                <w:szCs w:val="16"/>
                <w:lang w:val="de-CH" w:eastAsia="de-CH"/>
              </w:rPr>
              <w:t xml:space="preserve">SST </w:t>
            </w:r>
            <w:r w:rsidR="00596C13" w:rsidRPr="00BE20BD">
              <w:rPr>
                <w:rFonts w:eastAsia="Times New Roman" w:cs="Arial"/>
                <w:b/>
                <w:bCs/>
                <w:color w:val="000000"/>
                <w:sz w:val="16"/>
                <w:szCs w:val="16"/>
                <w:lang w:val="de-CH" w:eastAsia="de-CH"/>
              </w:rPr>
              <w:t>20</w:t>
            </w:r>
            <w:r w:rsidR="00ED035F" w:rsidRPr="00BE20BD">
              <w:rPr>
                <w:rFonts w:eastAsia="Times New Roman" w:cs="Arial"/>
                <w:b/>
                <w:bCs/>
                <w:color w:val="000000"/>
                <w:sz w:val="16"/>
                <w:szCs w:val="16"/>
                <w:lang w:val="de-CH" w:eastAsia="de-CH"/>
              </w:rPr>
              <w:t>23</w:t>
            </w:r>
            <w:r w:rsidR="00EA28F4" w:rsidRPr="00BE20BD">
              <w:rPr>
                <w:rFonts w:eastAsia="Times New Roman" w:cs="Arial"/>
                <w:b/>
                <w:bCs/>
                <w:color w:val="000000"/>
                <w:sz w:val="16"/>
                <w:szCs w:val="16"/>
                <w:lang w:val="de-CH" w:eastAsia="de-CH"/>
              </w:rPr>
              <w:t xml:space="preserve"> </w:t>
            </w:r>
          </w:p>
        </w:tc>
        <w:tc>
          <w:tcPr>
            <w:tcW w:w="185" w:type="dxa"/>
            <w:tcBorders>
              <w:top w:val="nil"/>
              <w:left w:val="nil"/>
              <w:bottom w:val="nil"/>
              <w:right w:val="nil"/>
            </w:tcBorders>
            <w:shd w:val="clear" w:color="000000" w:fill="FFFFFF"/>
            <w:noWrap/>
            <w:vAlign w:val="bottom"/>
            <w:hideMark/>
          </w:tcPr>
          <w:p w14:paraId="1755C63C" w14:textId="77777777" w:rsidR="007616C1" w:rsidRPr="00BE20BD" w:rsidRDefault="007616C1" w:rsidP="00A0280B">
            <w:pPr>
              <w:keepNext/>
              <w:spacing w:line="240" w:lineRule="auto"/>
              <w:rPr>
                <w:rFonts w:eastAsia="Times New Roman" w:cs="Arial"/>
                <w:b/>
                <w:bCs/>
                <w:color w:val="000000"/>
                <w:sz w:val="16"/>
                <w:szCs w:val="16"/>
                <w:lang w:val="de-CH" w:eastAsia="de-CH"/>
              </w:rPr>
            </w:pPr>
            <w:r w:rsidRPr="00BE20BD">
              <w:rPr>
                <w:rFonts w:eastAsia="Times New Roman" w:cs="Arial"/>
                <w:b/>
                <w:bCs/>
                <w:color w:val="000000"/>
                <w:sz w:val="16"/>
                <w:szCs w:val="16"/>
                <w:lang w:val="de-CH" w:eastAsia="de-CH"/>
              </w:rPr>
              <w:t> </w:t>
            </w:r>
          </w:p>
        </w:tc>
        <w:tc>
          <w:tcPr>
            <w:tcW w:w="1076" w:type="dxa"/>
            <w:tcBorders>
              <w:top w:val="nil"/>
              <w:left w:val="nil"/>
              <w:bottom w:val="nil"/>
              <w:right w:val="nil"/>
            </w:tcBorders>
            <w:shd w:val="clear" w:color="000000" w:fill="D9D9D9"/>
            <w:noWrap/>
            <w:vAlign w:val="bottom"/>
            <w:hideMark/>
          </w:tcPr>
          <w:p w14:paraId="50A2B1DB" w14:textId="42F7B18C" w:rsidR="007616C1" w:rsidRPr="00BE20BD" w:rsidRDefault="007616C1" w:rsidP="00A0280B">
            <w:pPr>
              <w:keepNext/>
              <w:spacing w:line="240" w:lineRule="auto"/>
              <w:rPr>
                <w:rFonts w:eastAsia="Times New Roman" w:cs="Arial"/>
                <w:b/>
                <w:bCs/>
                <w:color w:val="000000"/>
                <w:sz w:val="16"/>
                <w:szCs w:val="16"/>
                <w:lang w:val="de-CH" w:eastAsia="de-CH"/>
              </w:rPr>
            </w:pPr>
            <w:r w:rsidRPr="00BE20BD">
              <w:rPr>
                <w:rFonts w:eastAsia="Times New Roman" w:cs="Arial"/>
                <w:b/>
                <w:bCs/>
                <w:color w:val="000000"/>
                <w:sz w:val="16"/>
                <w:szCs w:val="16"/>
                <w:lang w:val="de-CH" w:eastAsia="de-CH"/>
              </w:rPr>
              <w:t>SST 202</w:t>
            </w:r>
            <w:r w:rsidR="00ED035F" w:rsidRPr="00BE20BD">
              <w:rPr>
                <w:rFonts w:eastAsia="Times New Roman" w:cs="Arial"/>
                <w:b/>
                <w:bCs/>
                <w:color w:val="000000"/>
                <w:sz w:val="16"/>
                <w:szCs w:val="16"/>
                <w:lang w:val="de-CH" w:eastAsia="de-CH"/>
              </w:rPr>
              <w:t>2</w:t>
            </w:r>
          </w:p>
        </w:tc>
        <w:tc>
          <w:tcPr>
            <w:tcW w:w="185" w:type="dxa"/>
            <w:tcBorders>
              <w:top w:val="nil"/>
              <w:left w:val="nil"/>
              <w:bottom w:val="nil"/>
              <w:right w:val="nil"/>
            </w:tcBorders>
            <w:shd w:val="clear" w:color="000000" w:fill="FFFFFF"/>
            <w:noWrap/>
            <w:vAlign w:val="bottom"/>
            <w:hideMark/>
          </w:tcPr>
          <w:p w14:paraId="0C8DF208" w14:textId="77777777" w:rsidR="007616C1" w:rsidRPr="00BE20BD" w:rsidRDefault="007616C1" w:rsidP="00A0280B">
            <w:pPr>
              <w:keepNext/>
              <w:spacing w:line="240" w:lineRule="auto"/>
              <w:rPr>
                <w:rFonts w:eastAsia="Times New Roman" w:cs="Arial"/>
                <w:b/>
                <w:bCs/>
                <w:color w:val="000000"/>
                <w:sz w:val="16"/>
                <w:szCs w:val="16"/>
                <w:lang w:val="de-CH" w:eastAsia="de-CH"/>
              </w:rPr>
            </w:pPr>
            <w:r w:rsidRPr="00BE20BD">
              <w:rPr>
                <w:rFonts w:eastAsia="Times New Roman" w:cs="Arial"/>
                <w:b/>
                <w:bCs/>
                <w:color w:val="000000"/>
                <w:sz w:val="16"/>
                <w:szCs w:val="16"/>
                <w:lang w:val="de-CH" w:eastAsia="de-CH"/>
              </w:rPr>
              <w:t> </w:t>
            </w:r>
          </w:p>
        </w:tc>
        <w:tc>
          <w:tcPr>
            <w:tcW w:w="1036" w:type="dxa"/>
            <w:tcBorders>
              <w:top w:val="nil"/>
              <w:left w:val="nil"/>
              <w:bottom w:val="nil"/>
              <w:right w:val="nil"/>
            </w:tcBorders>
            <w:shd w:val="clear" w:color="000000" w:fill="D9D9D9"/>
            <w:noWrap/>
            <w:vAlign w:val="bottom"/>
            <w:hideMark/>
          </w:tcPr>
          <w:p w14:paraId="3C8ADDB8" w14:textId="7E1ED58A" w:rsidR="007616C1" w:rsidRPr="00BE20BD" w:rsidRDefault="007616C1" w:rsidP="00A0280B">
            <w:pPr>
              <w:keepNext/>
              <w:spacing w:line="240" w:lineRule="auto"/>
              <w:rPr>
                <w:rFonts w:eastAsia="Times New Roman" w:cs="Arial"/>
                <w:b/>
                <w:bCs/>
                <w:color w:val="000000"/>
                <w:sz w:val="16"/>
                <w:szCs w:val="16"/>
                <w:lang w:val="de-CH" w:eastAsia="de-CH"/>
              </w:rPr>
            </w:pPr>
            <w:r w:rsidRPr="00BE20BD">
              <w:rPr>
                <w:rFonts w:eastAsia="Times New Roman" w:cs="Arial"/>
                <w:b/>
                <w:bCs/>
                <w:color w:val="000000"/>
                <w:sz w:val="16"/>
                <w:szCs w:val="16"/>
                <w:lang w:val="de-CH" w:eastAsia="de-CH"/>
              </w:rPr>
              <w:t>SST 20</w:t>
            </w:r>
            <w:r w:rsidR="00596C13" w:rsidRPr="00BE20BD">
              <w:rPr>
                <w:rFonts w:eastAsia="Times New Roman" w:cs="Arial"/>
                <w:b/>
                <w:bCs/>
                <w:color w:val="000000"/>
                <w:sz w:val="16"/>
                <w:szCs w:val="16"/>
                <w:lang w:val="de-CH" w:eastAsia="de-CH"/>
              </w:rPr>
              <w:t>2</w:t>
            </w:r>
            <w:r w:rsidR="00ED035F" w:rsidRPr="00BE20BD">
              <w:rPr>
                <w:rFonts w:eastAsia="Times New Roman" w:cs="Arial"/>
                <w:b/>
                <w:bCs/>
                <w:color w:val="000000"/>
                <w:sz w:val="16"/>
                <w:szCs w:val="16"/>
                <w:lang w:val="de-CH" w:eastAsia="de-CH"/>
              </w:rPr>
              <w:t>1</w:t>
            </w:r>
          </w:p>
        </w:tc>
        <w:tc>
          <w:tcPr>
            <w:tcW w:w="185" w:type="dxa"/>
            <w:tcBorders>
              <w:top w:val="nil"/>
              <w:left w:val="nil"/>
              <w:bottom w:val="nil"/>
              <w:right w:val="nil"/>
            </w:tcBorders>
            <w:shd w:val="clear" w:color="000000" w:fill="FFFFFF"/>
            <w:noWrap/>
            <w:vAlign w:val="bottom"/>
            <w:hideMark/>
          </w:tcPr>
          <w:p w14:paraId="3668BA41" w14:textId="77777777" w:rsidR="007616C1" w:rsidRPr="00BE20BD" w:rsidRDefault="007616C1" w:rsidP="00A0280B">
            <w:pPr>
              <w:keepNext/>
              <w:spacing w:line="240" w:lineRule="auto"/>
              <w:rPr>
                <w:rFonts w:eastAsia="Times New Roman" w:cs="Arial"/>
                <w:b/>
                <w:bCs/>
                <w:color w:val="000000"/>
                <w:sz w:val="16"/>
                <w:szCs w:val="16"/>
                <w:lang w:val="de-CH" w:eastAsia="de-CH"/>
              </w:rPr>
            </w:pPr>
            <w:r w:rsidRPr="00BE20BD">
              <w:rPr>
                <w:rFonts w:eastAsia="Times New Roman" w:cs="Arial"/>
                <w:b/>
                <w:bCs/>
                <w:color w:val="000000"/>
                <w:sz w:val="16"/>
                <w:szCs w:val="16"/>
                <w:lang w:val="de-CH" w:eastAsia="de-CH"/>
              </w:rPr>
              <w:t> </w:t>
            </w:r>
          </w:p>
        </w:tc>
        <w:tc>
          <w:tcPr>
            <w:tcW w:w="1036" w:type="dxa"/>
            <w:tcBorders>
              <w:top w:val="nil"/>
              <w:left w:val="nil"/>
              <w:bottom w:val="nil"/>
              <w:right w:val="nil"/>
            </w:tcBorders>
            <w:shd w:val="clear" w:color="000000" w:fill="D9D9D9"/>
            <w:noWrap/>
            <w:vAlign w:val="bottom"/>
            <w:hideMark/>
          </w:tcPr>
          <w:p w14:paraId="6ABE245B" w14:textId="1B6176B0" w:rsidR="007616C1" w:rsidRPr="00BE20BD" w:rsidRDefault="007616C1" w:rsidP="00A0280B">
            <w:pPr>
              <w:keepNext/>
              <w:spacing w:line="240" w:lineRule="auto"/>
              <w:rPr>
                <w:rFonts w:eastAsia="Times New Roman" w:cs="Arial"/>
                <w:b/>
                <w:bCs/>
                <w:color w:val="000000"/>
                <w:sz w:val="16"/>
                <w:szCs w:val="16"/>
                <w:lang w:val="de-CH" w:eastAsia="de-CH"/>
              </w:rPr>
            </w:pPr>
            <w:r w:rsidRPr="00BE20BD">
              <w:rPr>
                <w:rFonts w:eastAsia="Times New Roman" w:cs="Arial"/>
                <w:b/>
                <w:bCs/>
                <w:color w:val="000000"/>
                <w:sz w:val="16"/>
                <w:szCs w:val="16"/>
                <w:lang w:val="de-CH" w:eastAsia="de-CH"/>
              </w:rPr>
              <w:t>SST 20</w:t>
            </w:r>
            <w:r w:rsidR="00ED035F" w:rsidRPr="00BE20BD">
              <w:rPr>
                <w:rFonts w:eastAsia="Times New Roman" w:cs="Arial"/>
                <w:b/>
                <w:bCs/>
                <w:color w:val="000000"/>
                <w:sz w:val="16"/>
                <w:szCs w:val="16"/>
                <w:lang w:val="de-CH" w:eastAsia="de-CH"/>
              </w:rPr>
              <w:t>20</w:t>
            </w:r>
          </w:p>
        </w:tc>
      </w:tr>
      <w:tr w:rsidR="007616C1" w:rsidRPr="00BE20BD" w14:paraId="06A405D8" w14:textId="77777777" w:rsidTr="00ED035F">
        <w:trPr>
          <w:trHeight w:val="675"/>
        </w:trPr>
        <w:tc>
          <w:tcPr>
            <w:tcW w:w="2996" w:type="dxa"/>
            <w:tcBorders>
              <w:top w:val="nil"/>
              <w:left w:val="nil"/>
              <w:bottom w:val="nil"/>
              <w:right w:val="nil"/>
            </w:tcBorders>
            <w:shd w:val="clear" w:color="000000" w:fill="FFFFFF"/>
            <w:noWrap/>
            <w:vAlign w:val="bottom"/>
            <w:hideMark/>
          </w:tcPr>
          <w:p w14:paraId="70959C62" w14:textId="77777777" w:rsidR="007616C1" w:rsidRPr="00BE20BD" w:rsidRDefault="007616C1" w:rsidP="00A0280B">
            <w:pPr>
              <w:keepNext/>
              <w:spacing w:line="240" w:lineRule="auto"/>
              <w:rPr>
                <w:rFonts w:eastAsia="Times New Roman" w:cs="Arial"/>
                <w:color w:val="000000"/>
                <w:sz w:val="20"/>
                <w:lang w:val="de-CH" w:eastAsia="de-CH"/>
              </w:rPr>
            </w:pPr>
            <w:r w:rsidRPr="00BE20BD">
              <w:rPr>
                <w:rFonts w:eastAsia="Times New Roman" w:cs="Arial"/>
                <w:color w:val="000000"/>
                <w:sz w:val="20"/>
                <w:lang w:val="de-CH" w:eastAsia="de-CH"/>
              </w:rPr>
              <w:t> </w:t>
            </w:r>
          </w:p>
        </w:tc>
        <w:tc>
          <w:tcPr>
            <w:tcW w:w="216" w:type="dxa"/>
            <w:tcBorders>
              <w:top w:val="nil"/>
              <w:left w:val="nil"/>
              <w:bottom w:val="nil"/>
              <w:right w:val="nil"/>
            </w:tcBorders>
            <w:shd w:val="clear" w:color="000000" w:fill="FFFFFF"/>
            <w:noWrap/>
            <w:vAlign w:val="bottom"/>
            <w:hideMark/>
          </w:tcPr>
          <w:p w14:paraId="369D5D14" w14:textId="77777777" w:rsidR="007616C1" w:rsidRPr="00BE20BD" w:rsidRDefault="007616C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1076" w:type="dxa"/>
            <w:tcBorders>
              <w:top w:val="nil"/>
              <w:left w:val="nil"/>
              <w:bottom w:val="single" w:sz="4" w:space="0" w:color="auto"/>
              <w:right w:val="nil"/>
            </w:tcBorders>
            <w:shd w:val="clear" w:color="auto" w:fill="auto"/>
            <w:vAlign w:val="bottom"/>
            <w:hideMark/>
          </w:tcPr>
          <w:p w14:paraId="4E089D4F" w14:textId="6738B4AA" w:rsidR="007616C1" w:rsidRPr="00BE20BD" w:rsidRDefault="007616C1" w:rsidP="00A0280B">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In % or &lt;SST currency&gt; millions</w:t>
            </w:r>
          </w:p>
        </w:tc>
        <w:tc>
          <w:tcPr>
            <w:tcW w:w="185" w:type="dxa"/>
            <w:tcBorders>
              <w:top w:val="nil"/>
              <w:left w:val="nil"/>
              <w:bottom w:val="single" w:sz="4" w:space="0" w:color="auto"/>
              <w:right w:val="nil"/>
            </w:tcBorders>
            <w:shd w:val="clear" w:color="000000" w:fill="FFFFFF"/>
            <w:vAlign w:val="bottom"/>
            <w:hideMark/>
          </w:tcPr>
          <w:p w14:paraId="3B87BFC2" w14:textId="77777777" w:rsidR="007616C1" w:rsidRPr="00BE20BD" w:rsidRDefault="007616C1" w:rsidP="00A0280B">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1036" w:type="dxa"/>
            <w:tcBorders>
              <w:top w:val="nil"/>
              <w:left w:val="nil"/>
              <w:bottom w:val="single" w:sz="4" w:space="0" w:color="auto"/>
              <w:right w:val="nil"/>
            </w:tcBorders>
            <w:shd w:val="clear" w:color="auto" w:fill="auto"/>
            <w:vAlign w:val="bottom"/>
            <w:hideMark/>
          </w:tcPr>
          <w:p w14:paraId="61D44A12" w14:textId="33F94D36" w:rsidR="007616C1" w:rsidRPr="00BE20BD" w:rsidRDefault="007616C1" w:rsidP="00A0280B">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In % or &lt;SST currency&gt; millions</w:t>
            </w:r>
          </w:p>
        </w:tc>
        <w:tc>
          <w:tcPr>
            <w:tcW w:w="185" w:type="dxa"/>
            <w:tcBorders>
              <w:top w:val="nil"/>
              <w:left w:val="nil"/>
              <w:bottom w:val="single" w:sz="4" w:space="0" w:color="auto"/>
              <w:right w:val="nil"/>
            </w:tcBorders>
            <w:shd w:val="clear" w:color="000000" w:fill="FFFFFF"/>
            <w:vAlign w:val="bottom"/>
            <w:hideMark/>
          </w:tcPr>
          <w:p w14:paraId="282A7127" w14:textId="77777777" w:rsidR="007616C1" w:rsidRPr="00BE20BD" w:rsidRDefault="007616C1" w:rsidP="00A0280B">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1076" w:type="dxa"/>
            <w:tcBorders>
              <w:top w:val="nil"/>
              <w:left w:val="nil"/>
              <w:bottom w:val="single" w:sz="4" w:space="0" w:color="auto"/>
              <w:right w:val="nil"/>
            </w:tcBorders>
            <w:shd w:val="clear" w:color="auto" w:fill="auto"/>
            <w:vAlign w:val="bottom"/>
            <w:hideMark/>
          </w:tcPr>
          <w:p w14:paraId="7F43AC1F" w14:textId="17B5DBCC" w:rsidR="007616C1" w:rsidRPr="00BE20BD" w:rsidRDefault="007616C1" w:rsidP="00A0280B">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In % or &lt;SST currency&gt; millions</w:t>
            </w:r>
          </w:p>
        </w:tc>
        <w:tc>
          <w:tcPr>
            <w:tcW w:w="185" w:type="dxa"/>
            <w:tcBorders>
              <w:top w:val="nil"/>
              <w:left w:val="nil"/>
              <w:bottom w:val="single" w:sz="4" w:space="0" w:color="auto"/>
              <w:right w:val="nil"/>
            </w:tcBorders>
            <w:shd w:val="clear" w:color="000000" w:fill="FFFFFF"/>
            <w:vAlign w:val="bottom"/>
            <w:hideMark/>
          </w:tcPr>
          <w:p w14:paraId="622F21FD" w14:textId="77777777" w:rsidR="007616C1" w:rsidRPr="00BE20BD" w:rsidRDefault="007616C1" w:rsidP="00A0280B">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1036" w:type="dxa"/>
            <w:tcBorders>
              <w:top w:val="nil"/>
              <w:left w:val="nil"/>
              <w:bottom w:val="single" w:sz="4" w:space="0" w:color="auto"/>
              <w:right w:val="nil"/>
            </w:tcBorders>
            <w:shd w:val="clear" w:color="auto" w:fill="auto"/>
            <w:vAlign w:val="bottom"/>
            <w:hideMark/>
          </w:tcPr>
          <w:p w14:paraId="4537C326" w14:textId="73E4F1EB" w:rsidR="007616C1" w:rsidRPr="00BE20BD" w:rsidRDefault="007616C1" w:rsidP="00A0280B">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In % or &lt;SST currency&gt; millions</w:t>
            </w:r>
          </w:p>
        </w:tc>
        <w:tc>
          <w:tcPr>
            <w:tcW w:w="185" w:type="dxa"/>
            <w:tcBorders>
              <w:top w:val="nil"/>
              <w:left w:val="nil"/>
              <w:bottom w:val="single" w:sz="4" w:space="0" w:color="auto"/>
              <w:right w:val="nil"/>
            </w:tcBorders>
            <w:shd w:val="clear" w:color="000000" w:fill="FFFFFF"/>
            <w:vAlign w:val="bottom"/>
            <w:hideMark/>
          </w:tcPr>
          <w:p w14:paraId="0746534A" w14:textId="77777777" w:rsidR="007616C1" w:rsidRPr="00BE20BD" w:rsidRDefault="007616C1" w:rsidP="00A0280B">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1036" w:type="dxa"/>
            <w:tcBorders>
              <w:top w:val="nil"/>
              <w:left w:val="nil"/>
              <w:bottom w:val="single" w:sz="4" w:space="0" w:color="auto"/>
              <w:right w:val="nil"/>
            </w:tcBorders>
            <w:shd w:val="clear" w:color="auto" w:fill="auto"/>
            <w:vAlign w:val="bottom"/>
            <w:hideMark/>
          </w:tcPr>
          <w:p w14:paraId="2FF5E020" w14:textId="170C01AD" w:rsidR="007616C1" w:rsidRPr="00BE20BD" w:rsidRDefault="007616C1" w:rsidP="00A0280B">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In % or &lt;SST currency&gt; millions</w:t>
            </w:r>
          </w:p>
        </w:tc>
      </w:tr>
      <w:tr w:rsidR="007616C1" w:rsidRPr="00BE20BD" w14:paraId="2703E8D6" w14:textId="77777777" w:rsidTr="00ED035F">
        <w:trPr>
          <w:trHeight w:val="255"/>
        </w:trPr>
        <w:tc>
          <w:tcPr>
            <w:tcW w:w="2996" w:type="dxa"/>
            <w:tcBorders>
              <w:top w:val="nil"/>
              <w:left w:val="nil"/>
              <w:bottom w:val="nil"/>
              <w:right w:val="nil"/>
            </w:tcBorders>
            <w:shd w:val="clear" w:color="000000" w:fill="FFFFFF"/>
            <w:noWrap/>
            <w:vAlign w:val="bottom"/>
            <w:hideMark/>
          </w:tcPr>
          <w:p w14:paraId="5D80D741" w14:textId="77777777" w:rsidR="007616C1" w:rsidRPr="00BE20BD" w:rsidRDefault="007616C1" w:rsidP="00A0280B">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216" w:type="dxa"/>
            <w:tcBorders>
              <w:top w:val="nil"/>
              <w:left w:val="nil"/>
              <w:bottom w:val="nil"/>
              <w:right w:val="nil"/>
            </w:tcBorders>
            <w:shd w:val="clear" w:color="000000" w:fill="FFFFFF"/>
            <w:noWrap/>
            <w:vAlign w:val="bottom"/>
            <w:hideMark/>
          </w:tcPr>
          <w:p w14:paraId="32CEC3C3" w14:textId="77777777" w:rsidR="007616C1" w:rsidRPr="00BE20BD" w:rsidRDefault="007616C1" w:rsidP="00A0280B">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1076" w:type="dxa"/>
            <w:tcBorders>
              <w:top w:val="nil"/>
              <w:left w:val="nil"/>
              <w:bottom w:val="nil"/>
              <w:right w:val="nil"/>
            </w:tcBorders>
            <w:shd w:val="clear" w:color="auto" w:fill="auto"/>
            <w:noWrap/>
            <w:vAlign w:val="bottom"/>
            <w:hideMark/>
          </w:tcPr>
          <w:p w14:paraId="4138DFF0" w14:textId="77777777" w:rsidR="007616C1" w:rsidRPr="00BE20BD" w:rsidRDefault="007616C1" w:rsidP="00A0280B">
            <w:pPr>
              <w:keepNext/>
              <w:spacing w:line="240" w:lineRule="auto"/>
              <w:rPr>
                <w:rFonts w:eastAsia="Times New Roman" w:cs="Arial"/>
                <w:color w:val="000000"/>
                <w:sz w:val="16"/>
                <w:szCs w:val="16"/>
                <w:lang w:val="en-US" w:eastAsia="de-CH"/>
              </w:rPr>
            </w:pPr>
          </w:p>
        </w:tc>
        <w:tc>
          <w:tcPr>
            <w:tcW w:w="185" w:type="dxa"/>
            <w:tcBorders>
              <w:top w:val="nil"/>
              <w:left w:val="nil"/>
              <w:bottom w:val="nil"/>
              <w:right w:val="nil"/>
            </w:tcBorders>
            <w:shd w:val="clear" w:color="000000" w:fill="FFFFFF"/>
            <w:noWrap/>
            <w:vAlign w:val="bottom"/>
            <w:hideMark/>
          </w:tcPr>
          <w:p w14:paraId="3DF3DAB2" w14:textId="77777777" w:rsidR="007616C1" w:rsidRPr="00BE20BD" w:rsidRDefault="007616C1" w:rsidP="00A0280B">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1036" w:type="dxa"/>
            <w:tcBorders>
              <w:top w:val="nil"/>
              <w:left w:val="nil"/>
              <w:bottom w:val="nil"/>
              <w:right w:val="nil"/>
            </w:tcBorders>
            <w:shd w:val="clear" w:color="auto" w:fill="auto"/>
            <w:noWrap/>
            <w:vAlign w:val="bottom"/>
            <w:hideMark/>
          </w:tcPr>
          <w:p w14:paraId="4F19B6B4" w14:textId="77777777" w:rsidR="007616C1" w:rsidRPr="00BE20BD" w:rsidRDefault="007616C1" w:rsidP="00A0280B">
            <w:pPr>
              <w:keepNext/>
              <w:spacing w:line="240" w:lineRule="auto"/>
              <w:rPr>
                <w:rFonts w:eastAsia="Times New Roman" w:cs="Arial"/>
                <w:color w:val="000000"/>
                <w:sz w:val="16"/>
                <w:szCs w:val="16"/>
                <w:lang w:val="en-US" w:eastAsia="de-CH"/>
              </w:rPr>
            </w:pPr>
          </w:p>
        </w:tc>
        <w:tc>
          <w:tcPr>
            <w:tcW w:w="185" w:type="dxa"/>
            <w:tcBorders>
              <w:top w:val="nil"/>
              <w:left w:val="nil"/>
              <w:bottom w:val="nil"/>
              <w:right w:val="nil"/>
            </w:tcBorders>
            <w:shd w:val="clear" w:color="000000" w:fill="FFFFFF"/>
            <w:noWrap/>
            <w:vAlign w:val="bottom"/>
            <w:hideMark/>
          </w:tcPr>
          <w:p w14:paraId="288301A4" w14:textId="77777777" w:rsidR="007616C1" w:rsidRPr="00BE20BD" w:rsidRDefault="007616C1" w:rsidP="00A0280B">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1076" w:type="dxa"/>
            <w:tcBorders>
              <w:top w:val="nil"/>
              <w:left w:val="nil"/>
              <w:bottom w:val="nil"/>
              <w:right w:val="nil"/>
            </w:tcBorders>
            <w:shd w:val="clear" w:color="auto" w:fill="auto"/>
            <w:noWrap/>
            <w:vAlign w:val="bottom"/>
            <w:hideMark/>
          </w:tcPr>
          <w:p w14:paraId="44E2B9C8" w14:textId="77777777" w:rsidR="007616C1" w:rsidRPr="00BE20BD" w:rsidRDefault="007616C1" w:rsidP="00A0280B">
            <w:pPr>
              <w:keepNext/>
              <w:spacing w:line="240" w:lineRule="auto"/>
              <w:rPr>
                <w:rFonts w:eastAsia="Times New Roman" w:cs="Arial"/>
                <w:color w:val="000000"/>
                <w:sz w:val="16"/>
                <w:szCs w:val="16"/>
                <w:lang w:val="en-US" w:eastAsia="de-CH"/>
              </w:rPr>
            </w:pPr>
          </w:p>
        </w:tc>
        <w:tc>
          <w:tcPr>
            <w:tcW w:w="185" w:type="dxa"/>
            <w:tcBorders>
              <w:top w:val="nil"/>
              <w:left w:val="nil"/>
              <w:bottom w:val="nil"/>
              <w:right w:val="nil"/>
            </w:tcBorders>
            <w:shd w:val="clear" w:color="000000" w:fill="FFFFFF"/>
            <w:noWrap/>
            <w:vAlign w:val="bottom"/>
            <w:hideMark/>
          </w:tcPr>
          <w:p w14:paraId="48FE1941" w14:textId="77777777" w:rsidR="007616C1" w:rsidRPr="00BE20BD" w:rsidRDefault="007616C1" w:rsidP="00A0280B">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1036" w:type="dxa"/>
            <w:tcBorders>
              <w:top w:val="nil"/>
              <w:left w:val="nil"/>
              <w:bottom w:val="nil"/>
              <w:right w:val="nil"/>
            </w:tcBorders>
            <w:shd w:val="clear" w:color="auto" w:fill="auto"/>
            <w:noWrap/>
            <w:vAlign w:val="bottom"/>
            <w:hideMark/>
          </w:tcPr>
          <w:p w14:paraId="571BA628" w14:textId="77777777" w:rsidR="007616C1" w:rsidRPr="00BE20BD" w:rsidRDefault="007616C1" w:rsidP="00A0280B">
            <w:pPr>
              <w:keepNext/>
              <w:spacing w:line="240" w:lineRule="auto"/>
              <w:rPr>
                <w:rFonts w:eastAsia="Times New Roman" w:cs="Arial"/>
                <w:color w:val="000000"/>
                <w:sz w:val="16"/>
                <w:szCs w:val="16"/>
                <w:lang w:val="en-US" w:eastAsia="de-CH"/>
              </w:rPr>
            </w:pPr>
          </w:p>
        </w:tc>
        <w:tc>
          <w:tcPr>
            <w:tcW w:w="185" w:type="dxa"/>
            <w:tcBorders>
              <w:top w:val="nil"/>
              <w:left w:val="nil"/>
              <w:bottom w:val="nil"/>
              <w:right w:val="nil"/>
            </w:tcBorders>
            <w:shd w:val="clear" w:color="000000" w:fill="FFFFFF"/>
            <w:noWrap/>
            <w:vAlign w:val="bottom"/>
            <w:hideMark/>
          </w:tcPr>
          <w:p w14:paraId="5AC23AAD" w14:textId="77777777" w:rsidR="007616C1" w:rsidRPr="00BE20BD" w:rsidRDefault="007616C1" w:rsidP="00A0280B">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1036" w:type="dxa"/>
            <w:tcBorders>
              <w:top w:val="nil"/>
              <w:left w:val="nil"/>
              <w:bottom w:val="nil"/>
              <w:right w:val="nil"/>
            </w:tcBorders>
            <w:shd w:val="clear" w:color="auto" w:fill="auto"/>
            <w:noWrap/>
            <w:vAlign w:val="bottom"/>
            <w:hideMark/>
          </w:tcPr>
          <w:p w14:paraId="6851D922" w14:textId="77777777" w:rsidR="007616C1" w:rsidRPr="00BE20BD" w:rsidRDefault="007616C1" w:rsidP="00A0280B">
            <w:pPr>
              <w:keepNext/>
              <w:spacing w:line="240" w:lineRule="auto"/>
              <w:rPr>
                <w:rFonts w:eastAsia="Times New Roman" w:cs="Arial"/>
                <w:color w:val="000000"/>
                <w:sz w:val="16"/>
                <w:szCs w:val="16"/>
                <w:lang w:val="en-US" w:eastAsia="de-CH"/>
              </w:rPr>
            </w:pPr>
          </w:p>
        </w:tc>
      </w:tr>
      <w:tr w:rsidR="007616C1" w:rsidRPr="00BE20BD" w14:paraId="44B123CD" w14:textId="77777777" w:rsidTr="00ED035F">
        <w:trPr>
          <w:trHeight w:val="255"/>
        </w:trPr>
        <w:tc>
          <w:tcPr>
            <w:tcW w:w="2996" w:type="dxa"/>
            <w:tcBorders>
              <w:top w:val="nil"/>
              <w:left w:val="nil"/>
              <w:bottom w:val="nil"/>
              <w:right w:val="nil"/>
            </w:tcBorders>
            <w:shd w:val="clear" w:color="000000" w:fill="D9D9D9"/>
            <w:noWrap/>
            <w:vAlign w:val="bottom"/>
            <w:hideMark/>
          </w:tcPr>
          <w:p w14:paraId="5C081A67" w14:textId="77777777" w:rsidR="007616C1" w:rsidRPr="00BE20BD" w:rsidRDefault="007616C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xml:space="preserve">SST </w:t>
            </w:r>
            <w:proofErr w:type="spellStart"/>
            <w:r w:rsidRPr="00BE20BD">
              <w:rPr>
                <w:rFonts w:eastAsia="Times New Roman" w:cs="Arial"/>
                <w:color w:val="000000"/>
                <w:sz w:val="16"/>
                <w:szCs w:val="16"/>
                <w:lang w:val="de-CH" w:eastAsia="de-CH"/>
              </w:rPr>
              <w:t>ratio</w:t>
            </w:r>
            <w:proofErr w:type="spellEnd"/>
          </w:p>
        </w:tc>
        <w:tc>
          <w:tcPr>
            <w:tcW w:w="216" w:type="dxa"/>
            <w:tcBorders>
              <w:top w:val="nil"/>
              <w:left w:val="nil"/>
              <w:bottom w:val="nil"/>
              <w:right w:val="nil"/>
            </w:tcBorders>
            <w:shd w:val="clear" w:color="000000" w:fill="FFFFFF"/>
            <w:noWrap/>
            <w:vAlign w:val="bottom"/>
            <w:hideMark/>
          </w:tcPr>
          <w:p w14:paraId="3DE9D841" w14:textId="77777777" w:rsidR="007616C1" w:rsidRPr="00BE20BD" w:rsidRDefault="007616C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1076" w:type="dxa"/>
            <w:tcBorders>
              <w:top w:val="nil"/>
              <w:left w:val="nil"/>
              <w:bottom w:val="nil"/>
              <w:right w:val="nil"/>
            </w:tcBorders>
            <w:shd w:val="clear" w:color="000000" w:fill="D9D9D9"/>
            <w:noWrap/>
            <w:vAlign w:val="bottom"/>
            <w:hideMark/>
          </w:tcPr>
          <w:p w14:paraId="4F1A1299" w14:textId="77777777" w:rsidR="007616C1" w:rsidRPr="00BE20BD" w:rsidRDefault="007616C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185" w:type="dxa"/>
            <w:tcBorders>
              <w:top w:val="nil"/>
              <w:left w:val="nil"/>
              <w:bottom w:val="nil"/>
              <w:right w:val="nil"/>
            </w:tcBorders>
            <w:shd w:val="clear" w:color="000000" w:fill="FFFFFF"/>
            <w:noWrap/>
            <w:vAlign w:val="bottom"/>
            <w:hideMark/>
          </w:tcPr>
          <w:p w14:paraId="36486162" w14:textId="77777777" w:rsidR="007616C1" w:rsidRPr="00BE20BD" w:rsidRDefault="007616C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1036" w:type="dxa"/>
            <w:tcBorders>
              <w:top w:val="nil"/>
              <w:left w:val="nil"/>
              <w:bottom w:val="nil"/>
              <w:right w:val="nil"/>
            </w:tcBorders>
            <w:shd w:val="clear" w:color="000000" w:fill="D9D9D9"/>
            <w:noWrap/>
            <w:vAlign w:val="bottom"/>
            <w:hideMark/>
          </w:tcPr>
          <w:p w14:paraId="11CCB25D" w14:textId="77777777" w:rsidR="007616C1" w:rsidRPr="00BE20BD" w:rsidRDefault="007616C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185" w:type="dxa"/>
            <w:tcBorders>
              <w:top w:val="nil"/>
              <w:left w:val="nil"/>
              <w:bottom w:val="nil"/>
              <w:right w:val="nil"/>
            </w:tcBorders>
            <w:shd w:val="clear" w:color="000000" w:fill="FFFFFF"/>
            <w:noWrap/>
            <w:vAlign w:val="bottom"/>
            <w:hideMark/>
          </w:tcPr>
          <w:p w14:paraId="74E35161" w14:textId="77777777" w:rsidR="007616C1" w:rsidRPr="00BE20BD" w:rsidRDefault="007616C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1076" w:type="dxa"/>
            <w:tcBorders>
              <w:top w:val="nil"/>
              <w:left w:val="nil"/>
              <w:bottom w:val="nil"/>
              <w:right w:val="nil"/>
            </w:tcBorders>
            <w:shd w:val="clear" w:color="000000" w:fill="D9D9D9"/>
            <w:noWrap/>
            <w:vAlign w:val="bottom"/>
            <w:hideMark/>
          </w:tcPr>
          <w:p w14:paraId="4FB5EDE6" w14:textId="77777777" w:rsidR="007616C1" w:rsidRPr="00BE20BD" w:rsidRDefault="007616C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185" w:type="dxa"/>
            <w:tcBorders>
              <w:top w:val="nil"/>
              <w:left w:val="nil"/>
              <w:bottom w:val="nil"/>
              <w:right w:val="nil"/>
            </w:tcBorders>
            <w:shd w:val="clear" w:color="000000" w:fill="FFFFFF"/>
            <w:noWrap/>
            <w:vAlign w:val="bottom"/>
            <w:hideMark/>
          </w:tcPr>
          <w:p w14:paraId="11746D8B" w14:textId="77777777" w:rsidR="007616C1" w:rsidRPr="00BE20BD" w:rsidRDefault="007616C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1036" w:type="dxa"/>
            <w:tcBorders>
              <w:top w:val="nil"/>
              <w:left w:val="nil"/>
              <w:bottom w:val="nil"/>
              <w:right w:val="nil"/>
            </w:tcBorders>
            <w:shd w:val="clear" w:color="000000" w:fill="D9D9D9"/>
            <w:noWrap/>
            <w:vAlign w:val="bottom"/>
            <w:hideMark/>
          </w:tcPr>
          <w:p w14:paraId="3A9B30EF" w14:textId="77777777" w:rsidR="007616C1" w:rsidRPr="00BE20BD" w:rsidRDefault="007616C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185" w:type="dxa"/>
            <w:tcBorders>
              <w:top w:val="nil"/>
              <w:left w:val="nil"/>
              <w:bottom w:val="nil"/>
              <w:right w:val="nil"/>
            </w:tcBorders>
            <w:shd w:val="clear" w:color="000000" w:fill="FFFFFF"/>
            <w:noWrap/>
            <w:vAlign w:val="bottom"/>
            <w:hideMark/>
          </w:tcPr>
          <w:p w14:paraId="6EB10694" w14:textId="77777777" w:rsidR="007616C1" w:rsidRPr="00BE20BD" w:rsidRDefault="007616C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1036" w:type="dxa"/>
            <w:tcBorders>
              <w:top w:val="nil"/>
              <w:left w:val="nil"/>
              <w:bottom w:val="nil"/>
              <w:right w:val="nil"/>
            </w:tcBorders>
            <w:shd w:val="clear" w:color="000000" w:fill="D9D9D9"/>
            <w:noWrap/>
            <w:vAlign w:val="bottom"/>
            <w:hideMark/>
          </w:tcPr>
          <w:p w14:paraId="18566017" w14:textId="77777777" w:rsidR="007616C1" w:rsidRPr="00BE20BD" w:rsidRDefault="007616C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r>
      <w:tr w:rsidR="007616C1" w:rsidRPr="00BE20BD" w14:paraId="3F01A399" w14:textId="77777777" w:rsidTr="00ED035F">
        <w:trPr>
          <w:trHeight w:val="255"/>
        </w:trPr>
        <w:tc>
          <w:tcPr>
            <w:tcW w:w="2996" w:type="dxa"/>
            <w:tcBorders>
              <w:top w:val="nil"/>
              <w:left w:val="nil"/>
              <w:bottom w:val="nil"/>
              <w:right w:val="nil"/>
            </w:tcBorders>
            <w:shd w:val="clear" w:color="auto" w:fill="auto"/>
            <w:noWrap/>
            <w:vAlign w:val="bottom"/>
            <w:hideMark/>
          </w:tcPr>
          <w:p w14:paraId="5AB75A52" w14:textId="77777777" w:rsidR="007616C1" w:rsidRPr="00BE20BD" w:rsidRDefault="007616C1" w:rsidP="00A0280B">
            <w:pPr>
              <w:keepNext/>
              <w:spacing w:line="240" w:lineRule="auto"/>
              <w:rPr>
                <w:rFonts w:eastAsia="Times New Roman" w:cs="Arial"/>
                <w:color w:val="000000"/>
                <w:sz w:val="16"/>
                <w:szCs w:val="16"/>
                <w:lang w:val="de-CH" w:eastAsia="de-CH"/>
              </w:rPr>
            </w:pPr>
          </w:p>
        </w:tc>
        <w:tc>
          <w:tcPr>
            <w:tcW w:w="216" w:type="dxa"/>
            <w:tcBorders>
              <w:top w:val="nil"/>
              <w:left w:val="nil"/>
              <w:bottom w:val="nil"/>
              <w:right w:val="nil"/>
            </w:tcBorders>
            <w:shd w:val="clear" w:color="000000" w:fill="FFFFFF"/>
            <w:noWrap/>
            <w:vAlign w:val="bottom"/>
            <w:hideMark/>
          </w:tcPr>
          <w:p w14:paraId="4710D661" w14:textId="77777777" w:rsidR="007616C1" w:rsidRPr="00BE20BD" w:rsidRDefault="007616C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1076" w:type="dxa"/>
            <w:tcBorders>
              <w:top w:val="nil"/>
              <w:left w:val="nil"/>
              <w:bottom w:val="nil"/>
              <w:right w:val="nil"/>
            </w:tcBorders>
            <w:shd w:val="clear" w:color="auto" w:fill="auto"/>
            <w:noWrap/>
            <w:vAlign w:val="bottom"/>
            <w:hideMark/>
          </w:tcPr>
          <w:p w14:paraId="6BFD11DD" w14:textId="77777777" w:rsidR="007616C1" w:rsidRPr="00BE20BD" w:rsidRDefault="007616C1" w:rsidP="00A0280B">
            <w:pPr>
              <w:keepNext/>
              <w:spacing w:line="240" w:lineRule="auto"/>
              <w:rPr>
                <w:rFonts w:eastAsia="Times New Roman" w:cs="Arial"/>
                <w:color w:val="000000"/>
                <w:sz w:val="16"/>
                <w:szCs w:val="16"/>
                <w:lang w:val="de-CH" w:eastAsia="de-CH"/>
              </w:rPr>
            </w:pPr>
          </w:p>
        </w:tc>
        <w:tc>
          <w:tcPr>
            <w:tcW w:w="185" w:type="dxa"/>
            <w:tcBorders>
              <w:top w:val="nil"/>
              <w:left w:val="nil"/>
              <w:bottom w:val="nil"/>
              <w:right w:val="nil"/>
            </w:tcBorders>
            <w:shd w:val="clear" w:color="000000" w:fill="FFFFFF"/>
            <w:noWrap/>
            <w:vAlign w:val="bottom"/>
            <w:hideMark/>
          </w:tcPr>
          <w:p w14:paraId="66A34830" w14:textId="77777777" w:rsidR="007616C1" w:rsidRPr="00BE20BD" w:rsidRDefault="007616C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1036" w:type="dxa"/>
            <w:tcBorders>
              <w:top w:val="nil"/>
              <w:left w:val="nil"/>
              <w:bottom w:val="nil"/>
              <w:right w:val="nil"/>
            </w:tcBorders>
            <w:shd w:val="clear" w:color="auto" w:fill="auto"/>
            <w:noWrap/>
            <w:vAlign w:val="bottom"/>
            <w:hideMark/>
          </w:tcPr>
          <w:p w14:paraId="211551D9" w14:textId="77777777" w:rsidR="007616C1" w:rsidRPr="00BE20BD" w:rsidRDefault="007616C1" w:rsidP="00A0280B">
            <w:pPr>
              <w:keepNext/>
              <w:spacing w:line="240" w:lineRule="auto"/>
              <w:rPr>
                <w:rFonts w:eastAsia="Times New Roman" w:cs="Arial"/>
                <w:color w:val="000000"/>
                <w:sz w:val="16"/>
                <w:szCs w:val="16"/>
                <w:lang w:val="de-CH" w:eastAsia="de-CH"/>
              </w:rPr>
            </w:pPr>
          </w:p>
        </w:tc>
        <w:tc>
          <w:tcPr>
            <w:tcW w:w="185" w:type="dxa"/>
            <w:tcBorders>
              <w:top w:val="nil"/>
              <w:left w:val="nil"/>
              <w:bottom w:val="nil"/>
              <w:right w:val="nil"/>
            </w:tcBorders>
            <w:shd w:val="clear" w:color="000000" w:fill="FFFFFF"/>
            <w:noWrap/>
            <w:vAlign w:val="bottom"/>
            <w:hideMark/>
          </w:tcPr>
          <w:p w14:paraId="49F1C7B3" w14:textId="77777777" w:rsidR="007616C1" w:rsidRPr="00BE20BD" w:rsidRDefault="007616C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1076" w:type="dxa"/>
            <w:tcBorders>
              <w:top w:val="nil"/>
              <w:left w:val="nil"/>
              <w:bottom w:val="nil"/>
              <w:right w:val="nil"/>
            </w:tcBorders>
            <w:shd w:val="clear" w:color="auto" w:fill="auto"/>
            <w:noWrap/>
            <w:vAlign w:val="bottom"/>
            <w:hideMark/>
          </w:tcPr>
          <w:p w14:paraId="5B86FE02" w14:textId="77777777" w:rsidR="007616C1" w:rsidRPr="00BE20BD" w:rsidRDefault="007616C1" w:rsidP="00A0280B">
            <w:pPr>
              <w:keepNext/>
              <w:spacing w:line="240" w:lineRule="auto"/>
              <w:rPr>
                <w:rFonts w:eastAsia="Times New Roman" w:cs="Arial"/>
                <w:color w:val="000000"/>
                <w:sz w:val="16"/>
                <w:szCs w:val="16"/>
                <w:lang w:val="de-CH" w:eastAsia="de-CH"/>
              </w:rPr>
            </w:pPr>
          </w:p>
        </w:tc>
        <w:tc>
          <w:tcPr>
            <w:tcW w:w="185" w:type="dxa"/>
            <w:tcBorders>
              <w:top w:val="nil"/>
              <w:left w:val="nil"/>
              <w:bottom w:val="nil"/>
              <w:right w:val="nil"/>
            </w:tcBorders>
            <w:shd w:val="clear" w:color="000000" w:fill="FFFFFF"/>
            <w:noWrap/>
            <w:vAlign w:val="bottom"/>
            <w:hideMark/>
          </w:tcPr>
          <w:p w14:paraId="64CB86B7" w14:textId="77777777" w:rsidR="007616C1" w:rsidRPr="00BE20BD" w:rsidRDefault="007616C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1036" w:type="dxa"/>
            <w:tcBorders>
              <w:top w:val="nil"/>
              <w:left w:val="nil"/>
              <w:bottom w:val="nil"/>
              <w:right w:val="nil"/>
            </w:tcBorders>
            <w:shd w:val="clear" w:color="auto" w:fill="auto"/>
            <w:noWrap/>
            <w:vAlign w:val="bottom"/>
            <w:hideMark/>
          </w:tcPr>
          <w:p w14:paraId="6EFBFB36" w14:textId="77777777" w:rsidR="007616C1" w:rsidRPr="00BE20BD" w:rsidRDefault="007616C1" w:rsidP="00A0280B">
            <w:pPr>
              <w:keepNext/>
              <w:spacing w:line="240" w:lineRule="auto"/>
              <w:rPr>
                <w:rFonts w:eastAsia="Times New Roman" w:cs="Arial"/>
                <w:color w:val="000000"/>
                <w:sz w:val="16"/>
                <w:szCs w:val="16"/>
                <w:lang w:val="de-CH" w:eastAsia="de-CH"/>
              </w:rPr>
            </w:pPr>
          </w:p>
        </w:tc>
        <w:tc>
          <w:tcPr>
            <w:tcW w:w="185" w:type="dxa"/>
            <w:tcBorders>
              <w:top w:val="nil"/>
              <w:left w:val="nil"/>
              <w:bottom w:val="nil"/>
              <w:right w:val="nil"/>
            </w:tcBorders>
            <w:shd w:val="clear" w:color="000000" w:fill="FFFFFF"/>
            <w:noWrap/>
            <w:vAlign w:val="bottom"/>
            <w:hideMark/>
          </w:tcPr>
          <w:p w14:paraId="53E13390" w14:textId="77777777" w:rsidR="007616C1" w:rsidRPr="00BE20BD" w:rsidRDefault="007616C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1036" w:type="dxa"/>
            <w:tcBorders>
              <w:top w:val="nil"/>
              <w:left w:val="nil"/>
              <w:bottom w:val="nil"/>
              <w:right w:val="nil"/>
            </w:tcBorders>
            <w:shd w:val="clear" w:color="auto" w:fill="auto"/>
            <w:noWrap/>
            <w:vAlign w:val="bottom"/>
            <w:hideMark/>
          </w:tcPr>
          <w:p w14:paraId="0183F95A" w14:textId="77777777" w:rsidR="007616C1" w:rsidRPr="00BE20BD" w:rsidRDefault="007616C1" w:rsidP="00A0280B">
            <w:pPr>
              <w:keepNext/>
              <w:spacing w:line="240" w:lineRule="auto"/>
              <w:rPr>
                <w:rFonts w:eastAsia="Times New Roman" w:cs="Arial"/>
                <w:color w:val="000000"/>
                <w:sz w:val="16"/>
                <w:szCs w:val="16"/>
                <w:lang w:val="de-CH" w:eastAsia="de-CH"/>
              </w:rPr>
            </w:pPr>
          </w:p>
        </w:tc>
      </w:tr>
      <w:tr w:rsidR="007616C1" w:rsidRPr="00BE20BD" w14:paraId="56AF9CC4" w14:textId="77777777" w:rsidTr="00ED035F">
        <w:trPr>
          <w:trHeight w:val="255"/>
        </w:trPr>
        <w:tc>
          <w:tcPr>
            <w:tcW w:w="2996" w:type="dxa"/>
            <w:tcBorders>
              <w:top w:val="nil"/>
              <w:left w:val="nil"/>
              <w:bottom w:val="nil"/>
              <w:right w:val="nil"/>
            </w:tcBorders>
            <w:shd w:val="clear" w:color="000000" w:fill="D9D9D9"/>
            <w:noWrap/>
            <w:vAlign w:val="bottom"/>
            <w:hideMark/>
          </w:tcPr>
          <w:p w14:paraId="3CEDFD60" w14:textId="77777777" w:rsidR="007616C1" w:rsidRPr="00BE20BD" w:rsidRDefault="007616C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Risk-</w:t>
            </w:r>
            <w:proofErr w:type="spellStart"/>
            <w:r w:rsidRPr="00BE20BD">
              <w:rPr>
                <w:rFonts w:eastAsia="Times New Roman" w:cs="Arial"/>
                <w:color w:val="000000"/>
                <w:sz w:val="16"/>
                <w:szCs w:val="16"/>
                <w:lang w:val="de-CH" w:eastAsia="de-CH"/>
              </w:rPr>
              <w:t>bearing</w:t>
            </w:r>
            <w:proofErr w:type="spellEnd"/>
            <w:r w:rsidRPr="00BE20BD">
              <w:rPr>
                <w:rFonts w:eastAsia="Times New Roman" w:cs="Arial"/>
                <w:color w:val="000000"/>
                <w:sz w:val="16"/>
                <w:szCs w:val="16"/>
                <w:lang w:val="de-CH" w:eastAsia="de-CH"/>
              </w:rPr>
              <w:t xml:space="preserve"> </w:t>
            </w:r>
            <w:proofErr w:type="spellStart"/>
            <w:r w:rsidRPr="00BE20BD">
              <w:rPr>
                <w:rFonts w:eastAsia="Times New Roman" w:cs="Arial"/>
                <w:color w:val="000000"/>
                <w:sz w:val="16"/>
                <w:szCs w:val="16"/>
                <w:lang w:val="de-CH" w:eastAsia="de-CH"/>
              </w:rPr>
              <w:t>capital</w:t>
            </w:r>
            <w:proofErr w:type="spellEnd"/>
            <w:r w:rsidRPr="00BE20BD">
              <w:rPr>
                <w:rFonts w:eastAsia="Times New Roman" w:cs="Arial"/>
                <w:color w:val="000000"/>
                <w:sz w:val="16"/>
                <w:szCs w:val="16"/>
                <w:lang w:val="de-CH" w:eastAsia="de-CH"/>
              </w:rPr>
              <w:t xml:space="preserve"> (RBC)</w:t>
            </w:r>
          </w:p>
        </w:tc>
        <w:tc>
          <w:tcPr>
            <w:tcW w:w="216" w:type="dxa"/>
            <w:tcBorders>
              <w:top w:val="nil"/>
              <w:left w:val="nil"/>
              <w:bottom w:val="nil"/>
              <w:right w:val="nil"/>
            </w:tcBorders>
            <w:shd w:val="clear" w:color="000000" w:fill="FFFFFF"/>
            <w:noWrap/>
            <w:vAlign w:val="bottom"/>
            <w:hideMark/>
          </w:tcPr>
          <w:p w14:paraId="111E142F" w14:textId="77777777" w:rsidR="007616C1" w:rsidRPr="00BE20BD" w:rsidRDefault="007616C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1076" w:type="dxa"/>
            <w:tcBorders>
              <w:top w:val="nil"/>
              <w:left w:val="nil"/>
              <w:bottom w:val="nil"/>
              <w:right w:val="nil"/>
            </w:tcBorders>
            <w:shd w:val="clear" w:color="000000" w:fill="D9D9D9"/>
            <w:noWrap/>
            <w:vAlign w:val="bottom"/>
            <w:hideMark/>
          </w:tcPr>
          <w:p w14:paraId="49F90D6A" w14:textId="77777777" w:rsidR="007616C1" w:rsidRPr="00BE20BD" w:rsidRDefault="007616C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185" w:type="dxa"/>
            <w:tcBorders>
              <w:top w:val="nil"/>
              <w:left w:val="nil"/>
              <w:bottom w:val="nil"/>
              <w:right w:val="nil"/>
            </w:tcBorders>
            <w:shd w:val="clear" w:color="000000" w:fill="FFFFFF"/>
            <w:noWrap/>
            <w:vAlign w:val="bottom"/>
            <w:hideMark/>
          </w:tcPr>
          <w:p w14:paraId="72847A24" w14:textId="77777777" w:rsidR="007616C1" w:rsidRPr="00BE20BD" w:rsidRDefault="007616C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1036" w:type="dxa"/>
            <w:tcBorders>
              <w:top w:val="nil"/>
              <w:left w:val="nil"/>
              <w:bottom w:val="nil"/>
              <w:right w:val="nil"/>
            </w:tcBorders>
            <w:shd w:val="clear" w:color="000000" w:fill="D9D9D9"/>
            <w:noWrap/>
            <w:vAlign w:val="bottom"/>
            <w:hideMark/>
          </w:tcPr>
          <w:p w14:paraId="5F4EA0BA" w14:textId="77777777" w:rsidR="007616C1" w:rsidRPr="00BE20BD" w:rsidRDefault="007616C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185" w:type="dxa"/>
            <w:tcBorders>
              <w:top w:val="nil"/>
              <w:left w:val="nil"/>
              <w:bottom w:val="nil"/>
              <w:right w:val="nil"/>
            </w:tcBorders>
            <w:shd w:val="clear" w:color="000000" w:fill="FFFFFF"/>
            <w:noWrap/>
            <w:vAlign w:val="bottom"/>
            <w:hideMark/>
          </w:tcPr>
          <w:p w14:paraId="6678DDE7" w14:textId="77777777" w:rsidR="007616C1" w:rsidRPr="00BE20BD" w:rsidRDefault="007616C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1076" w:type="dxa"/>
            <w:tcBorders>
              <w:top w:val="nil"/>
              <w:left w:val="nil"/>
              <w:bottom w:val="nil"/>
              <w:right w:val="nil"/>
            </w:tcBorders>
            <w:shd w:val="clear" w:color="000000" w:fill="D9D9D9"/>
            <w:noWrap/>
            <w:vAlign w:val="bottom"/>
            <w:hideMark/>
          </w:tcPr>
          <w:p w14:paraId="45E5DB0F" w14:textId="77777777" w:rsidR="007616C1" w:rsidRPr="00BE20BD" w:rsidRDefault="007616C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185" w:type="dxa"/>
            <w:tcBorders>
              <w:top w:val="nil"/>
              <w:left w:val="nil"/>
              <w:bottom w:val="nil"/>
              <w:right w:val="nil"/>
            </w:tcBorders>
            <w:shd w:val="clear" w:color="000000" w:fill="FFFFFF"/>
            <w:noWrap/>
            <w:vAlign w:val="bottom"/>
            <w:hideMark/>
          </w:tcPr>
          <w:p w14:paraId="1E1196C2" w14:textId="77777777" w:rsidR="007616C1" w:rsidRPr="00BE20BD" w:rsidRDefault="007616C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1036" w:type="dxa"/>
            <w:tcBorders>
              <w:top w:val="nil"/>
              <w:left w:val="nil"/>
              <w:bottom w:val="nil"/>
              <w:right w:val="nil"/>
            </w:tcBorders>
            <w:shd w:val="clear" w:color="000000" w:fill="D9D9D9"/>
            <w:noWrap/>
            <w:vAlign w:val="bottom"/>
            <w:hideMark/>
          </w:tcPr>
          <w:p w14:paraId="23D14ED2" w14:textId="77777777" w:rsidR="007616C1" w:rsidRPr="00BE20BD" w:rsidRDefault="007616C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185" w:type="dxa"/>
            <w:tcBorders>
              <w:top w:val="nil"/>
              <w:left w:val="nil"/>
              <w:bottom w:val="nil"/>
              <w:right w:val="nil"/>
            </w:tcBorders>
            <w:shd w:val="clear" w:color="000000" w:fill="FFFFFF"/>
            <w:noWrap/>
            <w:vAlign w:val="bottom"/>
            <w:hideMark/>
          </w:tcPr>
          <w:p w14:paraId="2FC98690" w14:textId="77777777" w:rsidR="007616C1" w:rsidRPr="00BE20BD" w:rsidRDefault="007616C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1036" w:type="dxa"/>
            <w:tcBorders>
              <w:top w:val="nil"/>
              <w:left w:val="nil"/>
              <w:bottom w:val="nil"/>
              <w:right w:val="nil"/>
            </w:tcBorders>
            <w:shd w:val="clear" w:color="000000" w:fill="D9D9D9"/>
            <w:noWrap/>
            <w:vAlign w:val="bottom"/>
            <w:hideMark/>
          </w:tcPr>
          <w:p w14:paraId="613C0599" w14:textId="77777777" w:rsidR="007616C1" w:rsidRPr="00BE20BD" w:rsidRDefault="007616C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r>
      <w:tr w:rsidR="00266B87" w:rsidRPr="00BE20BD" w14:paraId="40DC32A2" w14:textId="77777777" w:rsidTr="00E54C35">
        <w:trPr>
          <w:trHeight w:val="188"/>
        </w:trPr>
        <w:tc>
          <w:tcPr>
            <w:tcW w:w="2996" w:type="dxa"/>
            <w:tcBorders>
              <w:top w:val="nil"/>
              <w:left w:val="nil"/>
              <w:bottom w:val="nil"/>
              <w:right w:val="nil"/>
            </w:tcBorders>
            <w:shd w:val="clear" w:color="auto" w:fill="F2F2F2" w:themeFill="background1" w:themeFillShade="F2"/>
            <w:noWrap/>
            <w:vAlign w:val="bottom"/>
          </w:tcPr>
          <w:p w14:paraId="047EA3DB" w14:textId="47CDCE9C" w:rsidR="00266B87" w:rsidRPr="00BE20BD" w:rsidRDefault="00CB6971" w:rsidP="00E54C35">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xml:space="preserve">Market </w:t>
            </w:r>
            <w:proofErr w:type="spellStart"/>
            <w:r w:rsidR="00266B87" w:rsidRPr="00BE20BD">
              <w:rPr>
                <w:rFonts w:eastAsia="Times New Roman" w:cs="Arial"/>
                <w:color w:val="000000"/>
                <w:sz w:val="16"/>
                <w:szCs w:val="16"/>
                <w:lang w:val="de-CH" w:eastAsia="de-CH"/>
              </w:rPr>
              <w:t>value</w:t>
            </w:r>
            <w:proofErr w:type="spellEnd"/>
            <w:r w:rsidR="00266B87" w:rsidRPr="00BE20BD">
              <w:rPr>
                <w:rFonts w:eastAsia="Times New Roman" w:cs="Arial"/>
                <w:color w:val="000000"/>
                <w:sz w:val="16"/>
                <w:szCs w:val="16"/>
                <w:lang w:val="de-CH" w:eastAsia="de-CH"/>
              </w:rPr>
              <w:t xml:space="preserve"> </w:t>
            </w:r>
            <w:proofErr w:type="spellStart"/>
            <w:r w:rsidR="00266B87" w:rsidRPr="00BE20BD">
              <w:rPr>
                <w:rFonts w:eastAsia="Times New Roman" w:cs="Arial"/>
                <w:color w:val="000000"/>
                <w:sz w:val="16"/>
                <w:szCs w:val="16"/>
                <w:lang w:val="de-CH" w:eastAsia="de-CH"/>
              </w:rPr>
              <w:t>margin</w:t>
            </w:r>
            <w:proofErr w:type="spellEnd"/>
            <w:r w:rsidR="00266B87" w:rsidRPr="00BE20BD">
              <w:rPr>
                <w:rFonts w:eastAsia="Times New Roman" w:cs="Arial"/>
                <w:color w:val="000000"/>
                <w:sz w:val="16"/>
                <w:szCs w:val="16"/>
                <w:lang w:val="de-CH" w:eastAsia="de-CH"/>
              </w:rPr>
              <w:t xml:space="preserve"> (MVM)</w:t>
            </w:r>
          </w:p>
        </w:tc>
        <w:tc>
          <w:tcPr>
            <w:tcW w:w="216" w:type="dxa"/>
            <w:tcBorders>
              <w:top w:val="nil"/>
              <w:left w:val="nil"/>
              <w:bottom w:val="nil"/>
              <w:right w:val="nil"/>
            </w:tcBorders>
            <w:shd w:val="clear" w:color="auto" w:fill="FFFFFF" w:themeFill="background1"/>
            <w:noWrap/>
            <w:vAlign w:val="bottom"/>
          </w:tcPr>
          <w:p w14:paraId="0960B119" w14:textId="77777777" w:rsidR="00266B87" w:rsidRPr="00BE20BD" w:rsidRDefault="00266B87" w:rsidP="00A0280B">
            <w:pPr>
              <w:keepNext/>
              <w:spacing w:line="240" w:lineRule="auto"/>
              <w:rPr>
                <w:rFonts w:eastAsia="Times New Roman" w:cs="Arial"/>
                <w:color w:val="000000"/>
                <w:sz w:val="16"/>
                <w:szCs w:val="16"/>
                <w:lang w:val="de-CH" w:eastAsia="de-CH"/>
              </w:rPr>
            </w:pPr>
          </w:p>
        </w:tc>
        <w:tc>
          <w:tcPr>
            <w:tcW w:w="1076" w:type="dxa"/>
            <w:tcBorders>
              <w:top w:val="nil"/>
              <w:left w:val="nil"/>
              <w:bottom w:val="nil"/>
              <w:right w:val="nil"/>
            </w:tcBorders>
            <w:shd w:val="clear" w:color="auto" w:fill="F2F2F2" w:themeFill="background1" w:themeFillShade="F2"/>
            <w:noWrap/>
            <w:vAlign w:val="bottom"/>
          </w:tcPr>
          <w:p w14:paraId="5D76C9D2" w14:textId="77777777" w:rsidR="00266B87" w:rsidRPr="00BE20BD" w:rsidRDefault="00266B87" w:rsidP="00A0280B">
            <w:pPr>
              <w:keepNext/>
              <w:spacing w:line="240" w:lineRule="auto"/>
              <w:rPr>
                <w:rFonts w:eastAsia="Times New Roman" w:cs="Arial"/>
                <w:color w:val="000000"/>
                <w:sz w:val="16"/>
                <w:szCs w:val="16"/>
                <w:lang w:val="de-CH" w:eastAsia="de-CH"/>
              </w:rPr>
            </w:pPr>
          </w:p>
        </w:tc>
        <w:tc>
          <w:tcPr>
            <w:tcW w:w="185" w:type="dxa"/>
            <w:tcBorders>
              <w:top w:val="nil"/>
              <w:left w:val="nil"/>
              <w:bottom w:val="nil"/>
              <w:right w:val="nil"/>
            </w:tcBorders>
            <w:shd w:val="clear" w:color="auto" w:fill="FFFFFF" w:themeFill="background1"/>
            <w:noWrap/>
            <w:vAlign w:val="bottom"/>
          </w:tcPr>
          <w:p w14:paraId="312970E8" w14:textId="77777777" w:rsidR="00266B87" w:rsidRPr="00BE20BD" w:rsidRDefault="00266B87" w:rsidP="00A0280B">
            <w:pPr>
              <w:keepNext/>
              <w:spacing w:line="240" w:lineRule="auto"/>
              <w:rPr>
                <w:rFonts w:eastAsia="Times New Roman" w:cs="Arial"/>
                <w:color w:val="000000"/>
                <w:sz w:val="16"/>
                <w:szCs w:val="16"/>
                <w:lang w:val="de-CH" w:eastAsia="de-CH"/>
              </w:rPr>
            </w:pPr>
          </w:p>
        </w:tc>
        <w:tc>
          <w:tcPr>
            <w:tcW w:w="1036" w:type="dxa"/>
            <w:tcBorders>
              <w:top w:val="nil"/>
              <w:left w:val="nil"/>
              <w:bottom w:val="nil"/>
              <w:right w:val="nil"/>
            </w:tcBorders>
            <w:shd w:val="clear" w:color="auto" w:fill="F2F2F2" w:themeFill="background1" w:themeFillShade="F2"/>
            <w:noWrap/>
            <w:vAlign w:val="bottom"/>
          </w:tcPr>
          <w:p w14:paraId="1DDD322D" w14:textId="77777777" w:rsidR="00266B87" w:rsidRPr="00BE20BD" w:rsidRDefault="00266B87" w:rsidP="00A0280B">
            <w:pPr>
              <w:keepNext/>
              <w:spacing w:line="240" w:lineRule="auto"/>
              <w:rPr>
                <w:rFonts w:eastAsia="Times New Roman" w:cs="Arial"/>
                <w:color w:val="000000"/>
                <w:sz w:val="16"/>
                <w:szCs w:val="16"/>
                <w:lang w:val="de-CH" w:eastAsia="de-CH"/>
              </w:rPr>
            </w:pPr>
          </w:p>
        </w:tc>
        <w:tc>
          <w:tcPr>
            <w:tcW w:w="185" w:type="dxa"/>
            <w:tcBorders>
              <w:top w:val="nil"/>
              <w:left w:val="nil"/>
              <w:bottom w:val="nil"/>
              <w:right w:val="nil"/>
            </w:tcBorders>
            <w:shd w:val="clear" w:color="auto" w:fill="FFFFFF" w:themeFill="background1"/>
            <w:noWrap/>
            <w:vAlign w:val="bottom"/>
          </w:tcPr>
          <w:p w14:paraId="49DA9D2C" w14:textId="77777777" w:rsidR="00266B87" w:rsidRPr="00BE20BD" w:rsidRDefault="00266B87" w:rsidP="00A0280B">
            <w:pPr>
              <w:keepNext/>
              <w:spacing w:line="240" w:lineRule="auto"/>
              <w:rPr>
                <w:rFonts w:eastAsia="Times New Roman" w:cs="Arial"/>
                <w:color w:val="000000"/>
                <w:sz w:val="16"/>
                <w:szCs w:val="16"/>
                <w:lang w:val="de-CH" w:eastAsia="de-CH"/>
              </w:rPr>
            </w:pPr>
          </w:p>
        </w:tc>
        <w:tc>
          <w:tcPr>
            <w:tcW w:w="1076" w:type="dxa"/>
            <w:tcBorders>
              <w:top w:val="nil"/>
              <w:left w:val="nil"/>
              <w:bottom w:val="nil"/>
              <w:right w:val="nil"/>
            </w:tcBorders>
            <w:shd w:val="clear" w:color="auto" w:fill="F2F2F2" w:themeFill="background1" w:themeFillShade="F2"/>
            <w:noWrap/>
            <w:vAlign w:val="bottom"/>
          </w:tcPr>
          <w:p w14:paraId="62CC7CFF" w14:textId="77777777" w:rsidR="00266B87" w:rsidRPr="00BE20BD" w:rsidRDefault="00266B87" w:rsidP="00A0280B">
            <w:pPr>
              <w:keepNext/>
              <w:spacing w:line="240" w:lineRule="auto"/>
              <w:rPr>
                <w:rFonts w:eastAsia="Times New Roman" w:cs="Arial"/>
                <w:color w:val="000000"/>
                <w:sz w:val="16"/>
                <w:szCs w:val="16"/>
                <w:lang w:val="de-CH" w:eastAsia="de-CH"/>
              </w:rPr>
            </w:pPr>
          </w:p>
        </w:tc>
        <w:tc>
          <w:tcPr>
            <w:tcW w:w="185" w:type="dxa"/>
            <w:tcBorders>
              <w:top w:val="nil"/>
              <w:left w:val="nil"/>
              <w:bottom w:val="nil"/>
              <w:right w:val="nil"/>
            </w:tcBorders>
            <w:shd w:val="clear" w:color="auto" w:fill="FFFFFF" w:themeFill="background1"/>
            <w:noWrap/>
            <w:vAlign w:val="bottom"/>
          </w:tcPr>
          <w:p w14:paraId="59E41E93" w14:textId="77777777" w:rsidR="00266B87" w:rsidRPr="00BE20BD" w:rsidRDefault="00266B87" w:rsidP="00A0280B">
            <w:pPr>
              <w:keepNext/>
              <w:spacing w:line="240" w:lineRule="auto"/>
              <w:rPr>
                <w:rFonts w:eastAsia="Times New Roman" w:cs="Arial"/>
                <w:color w:val="000000"/>
                <w:sz w:val="16"/>
                <w:szCs w:val="16"/>
                <w:lang w:val="de-CH" w:eastAsia="de-CH"/>
              </w:rPr>
            </w:pPr>
          </w:p>
        </w:tc>
        <w:tc>
          <w:tcPr>
            <w:tcW w:w="1036" w:type="dxa"/>
            <w:tcBorders>
              <w:top w:val="nil"/>
              <w:left w:val="nil"/>
              <w:bottom w:val="nil"/>
              <w:right w:val="nil"/>
            </w:tcBorders>
            <w:shd w:val="clear" w:color="auto" w:fill="F2F2F2" w:themeFill="background1" w:themeFillShade="F2"/>
            <w:noWrap/>
            <w:vAlign w:val="bottom"/>
          </w:tcPr>
          <w:p w14:paraId="1F75C260" w14:textId="77777777" w:rsidR="00266B87" w:rsidRPr="00BE20BD" w:rsidRDefault="00266B87" w:rsidP="00A0280B">
            <w:pPr>
              <w:keepNext/>
              <w:spacing w:line="240" w:lineRule="auto"/>
              <w:rPr>
                <w:rFonts w:eastAsia="Times New Roman" w:cs="Arial"/>
                <w:color w:val="000000"/>
                <w:sz w:val="16"/>
                <w:szCs w:val="16"/>
                <w:lang w:val="de-CH" w:eastAsia="de-CH"/>
              </w:rPr>
            </w:pPr>
          </w:p>
        </w:tc>
        <w:tc>
          <w:tcPr>
            <w:tcW w:w="185" w:type="dxa"/>
            <w:tcBorders>
              <w:top w:val="nil"/>
              <w:left w:val="nil"/>
              <w:bottom w:val="nil"/>
              <w:right w:val="nil"/>
            </w:tcBorders>
            <w:shd w:val="clear" w:color="auto" w:fill="FFFFFF" w:themeFill="background1"/>
            <w:noWrap/>
            <w:vAlign w:val="bottom"/>
          </w:tcPr>
          <w:p w14:paraId="03AE8F9B" w14:textId="77777777" w:rsidR="00266B87" w:rsidRPr="00BE20BD" w:rsidRDefault="00266B87" w:rsidP="00A0280B">
            <w:pPr>
              <w:keepNext/>
              <w:spacing w:line="240" w:lineRule="auto"/>
              <w:rPr>
                <w:rFonts w:eastAsia="Times New Roman" w:cs="Arial"/>
                <w:color w:val="000000"/>
                <w:sz w:val="16"/>
                <w:szCs w:val="16"/>
                <w:lang w:val="de-CH" w:eastAsia="de-CH"/>
              </w:rPr>
            </w:pPr>
          </w:p>
        </w:tc>
        <w:tc>
          <w:tcPr>
            <w:tcW w:w="1036" w:type="dxa"/>
            <w:tcBorders>
              <w:top w:val="nil"/>
              <w:left w:val="nil"/>
              <w:bottom w:val="nil"/>
              <w:right w:val="nil"/>
            </w:tcBorders>
            <w:shd w:val="clear" w:color="auto" w:fill="F2F2F2" w:themeFill="background1" w:themeFillShade="F2"/>
            <w:noWrap/>
            <w:vAlign w:val="bottom"/>
          </w:tcPr>
          <w:p w14:paraId="5AC7DFA9" w14:textId="77777777" w:rsidR="00266B87" w:rsidRPr="00BE20BD" w:rsidRDefault="00266B87" w:rsidP="00A0280B">
            <w:pPr>
              <w:keepNext/>
              <w:spacing w:line="240" w:lineRule="auto"/>
              <w:rPr>
                <w:rFonts w:eastAsia="Times New Roman" w:cs="Arial"/>
                <w:color w:val="000000"/>
                <w:sz w:val="16"/>
                <w:szCs w:val="16"/>
                <w:lang w:val="de-CH" w:eastAsia="de-CH"/>
              </w:rPr>
            </w:pPr>
          </w:p>
        </w:tc>
      </w:tr>
      <w:tr w:rsidR="008D5A94" w:rsidRPr="00BE20BD" w14:paraId="34A4E4DB" w14:textId="77777777" w:rsidTr="008D5A94">
        <w:trPr>
          <w:trHeight w:val="188"/>
        </w:trPr>
        <w:tc>
          <w:tcPr>
            <w:tcW w:w="2996" w:type="dxa"/>
            <w:tcBorders>
              <w:top w:val="nil"/>
              <w:left w:val="nil"/>
              <w:bottom w:val="nil"/>
              <w:right w:val="nil"/>
            </w:tcBorders>
            <w:shd w:val="clear" w:color="auto" w:fill="FFFFFF" w:themeFill="background1"/>
            <w:noWrap/>
            <w:vAlign w:val="bottom"/>
          </w:tcPr>
          <w:p w14:paraId="6798D24D" w14:textId="77777777" w:rsidR="008D5A94" w:rsidRPr="00BE20BD" w:rsidRDefault="008D5A94" w:rsidP="00E54C35">
            <w:pPr>
              <w:keepNext/>
              <w:spacing w:line="240" w:lineRule="auto"/>
              <w:rPr>
                <w:rFonts w:eastAsia="Times New Roman" w:cs="Arial"/>
                <w:color w:val="000000"/>
                <w:sz w:val="16"/>
                <w:szCs w:val="16"/>
                <w:lang w:val="de-CH" w:eastAsia="de-CH"/>
              </w:rPr>
            </w:pPr>
          </w:p>
        </w:tc>
        <w:tc>
          <w:tcPr>
            <w:tcW w:w="216" w:type="dxa"/>
            <w:tcBorders>
              <w:top w:val="nil"/>
              <w:left w:val="nil"/>
              <w:bottom w:val="nil"/>
              <w:right w:val="nil"/>
            </w:tcBorders>
            <w:shd w:val="clear" w:color="auto" w:fill="FFFFFF" w:themeFill="background1"/>
            <w:noWrap/>
            <w:vAlign w:val="bottom"/>
          </w:tcPr>
          <w:p w14:paraId="6CC8C603" w14:textId="77777777" w:rsidR="008D5A94" w:rsidRPr="00BE20BD" w:rsidRDefault="008D5A94" w:rsidP="00A0280B">
            <w:pPr>
              <w:keepNext/>
              <w:spacing w:line="240" w:lineRule="auto"/>
              <w:rPr>
                <w:rFonts w:eastAsia="Times New Roman" w:cs="Arial"/>
                <w:color w:val="000000"/>
                <w:sz w:val="16"/>
                <w:szCs w:val="16"/>
                <w:lang w:val="de-CH" w:eastAsia="de-CH"/>
              </w:rPr>
            </w:pPr>
          </w:p>
        </w:tc>
        <w:tc>
          <w:tcPr>
            <w:tcW w:w="1076" w:type="dxa"/>
            <w:tcBorders>
              <w:top w:val="nil"/>
              <w:left w:val="nil"/>
              <w:bottom w:val="nil"/>
              <w:right w:val="nil"/>
            </w:tcBorders>
            <w:shd w:val="clear" w:color="auto" w:fill="FFFFFF" w:themeFill="background1"/>
            <w:noWrap/>
            <w:vAlign w:val="bottom"/>
          </w:tcPr>
          <w:p w14:paraId="6D614C76" w14:textId="77777777" w:rsidR="008D5A94" w:rsidRPr="00BE20BD" w:rsidRDefault="008D5A94" w:rsidP="00A0280B">
            <w:pPr>
              <w:keepNext/>
              <w:spacing w:line="240" w:lineRule="auto"/>
              <w:rPr>
                <w:rFonts w:eastAsia="Times New Roman" w:cs="Arial"/>
                <w:color w:val="000000"/>
                <w:sz w:val="16"/>
                <w:szCs w:val="16"/>
                <w:lang w:val="de-CH" w:eastAsia="de-CH"/>
              </w:rPr>
            </w:pPr>
          </w:p>
        </w:tc>
        <w:tc>
          <w:tcPr>
            <w:tcW w:w="185" w:type="dxa"/>
            <w:tcBorders>
              <w:top w:val="nil"/>
              <w:left w:val="nil"/>
              <w:bottom w:val="nil"/>
              <w:right w:val="nil"/>
            </w:tcBorders>
            <w:shd w:val="clear" w:color="auto" w:fill="FFFFFF" w:themeFill="background1"/>
            <w:noWrap/>
            <w:vAlign w:val="bottom"/>
          </w:tcPr>
          <w:p w14:paraId="48BF2FF2" w14:textId="77777777" w:rsidR="008D5A94" w:rsidRPr="00BE20BD" w:rsidRDefault="008D5A94" w:rsidP="00A0280B">
            <w:pPr>
              <w:keepNext/>
              <w:spacing w:line="240" w:lineRule="auto"/>
              <w:rPr>
                <w:rFonts w:eastAsia="Times New Roman" w:cs="Arial"/>
                <w:color w:val="000000"/>
                <w:sz w:val="16"/>
                <w:szCs w:val="16"/>
                <w:lang w:val="de-CH" w:eastAsia="de-CH"/>
              </w:rPr>
            </w:pPr>
          </w:p>
        </w:tc>
        <w:tc>
          <w:tcPr>
            <w:tcW w:w="1036" w:type="dxa"/>
            <w:tcBorders>
              <w:top w:val="nil"/>
              <w:left w:val="nil"/>
              <w:bottom w:val="nil"/>
              <w:right w:val="nil"/>
            </w:tcBorders>
            <w:shd w:val="clear" w:color="auto" w:fill="FFFFFF" w:themeFill="background1"/>
            <w:noWrap/>
            <w:vAlign w:val="bottom"/>
          </w:tcPr>
          <w:p w14:paraId="699F3219" w14:textId="77777777" w:rsidR="008D5A94" w:rsidRPr="00BE20BD" w:rsidRDefault="008D5A94" w:rsidP="00A0280B">
            <w:pPr>
              <w:keepNext/>
              <w:spacing w:line="240" w:lineRule="auto"/>
              <w:rPr>
                <w:rFonts w:eastAsia="Times New Roman" w:cs="Arial"/>
                <w:color w:val="000000"/>
                <w:sz w:val="16"/>
                <w:szCs w:val="16"/>
                <w:lang w:val="de-CH" w:eastAsia="de-CH"/>
              </w:rPr>
            </w:pPr>
          </w:p>
        </w:tc>
        <w:tc>
          <w:tcPr>
            <w:tcW w:w="185" w:type="dxa"/>
            <w:tcBorders>
              <w:top w:val="nil"/>
              <w:left w:val="nil"/>
              <w:bottom w:val="nil"/>
              <w:right w:val="nil"/>
            </w:tcBorders>
            <w:shd w:val="clear" w:color="auto" w:fill="FFFFFF" w:themeFill="background1"/>
            <w:noWrap/>
            <w:vAlign w:val="bottom"/>
          </w:tcPr>
          <w:p w14:paraId="1B51EB76" w14:textId="77777777" w:rsidR="008D5A94" w:rsidRPr="00BE20BD" w:rsidRDefault="008D5A94" w:rsidP="00A0280B">
            <w:pPr>
              <w:keepNext/>
              <w:spacing w:line="240" w:lineRule="auto"/>
              <w:rPr>
                <w:rFonts w:eastAsia="Times New Roman" w:cs="Arial"/>
                <w:color w:val="000000"/>
                <w:sz w:val="16"/>
                <w:szCs w:val="16"/>
                <w:lang w:val="de-CH" w:eastAsia="de-CH"/>
              </w:rPr>
            </w:pPr>
          </w:p>
        </w:tc>
        <w:tc>
          <w:tcPr>
            <w:tcW w:w="1076" w:type="dxa"/>
            <w:tcBorders>
              <w:top w:val="nil"/>
              <w:left w:val="nil"/>
              <w:bottom w:val="nil"/>
              <w:right w:val="nil"/>
            </w:tcBorders>
            <w:shd w:val="clear" w:color="auto" w:fill="FFFFFF" w:themeFill="background1"/>
            <w:noWrap/>
            <w:vAlign w:val="bottom"/>
          </w:tcPr>
          <w:p w14:paraId="30C2C371" w14:textId="77777777" w:rsidR="008D5A94" w:rsidRPr="00BE20BD" w:rsidRDefault="008D5A94" w:rsidP="00A0280B">
            <w:pPr>
              <w:keepNext/>
              <w:spacing w:line="240" w:lineRule="auto"/>
              <w:rPr>
                <w:rFonts w:eastAsia="Times New Roman" w:cs="Arial"/>
                <w:color w:val="000000"/>
                <w:sz w:val="16"/>
                <w:szCs w:val="16"/>
                <w:lang w:val="de-CH" w:eastAsia="de-CH"/>
              </w:rPr>
            </w:pPr>
          </w:p>
        </w:tc>
        <w:tc>
          <w:tcPr>
            <w:tcW w:w="185" w:type="dxa"/>
            <w:tcBorders>
              <w:top w:val="nil"/>
              <w:left w:val="nil"/>
              <w:bottom w:val="nil"/>
              <w:right w:val="nil"/>
            </w:tcBorders>
            <w:shd w:val="clear" w:color="auto" w:fill="FFFFFF" w:themeFill="background1"/>
            <w:noWrap/>
            <w:vAlign w:val="bottom"/>
          </w:tcPr>
          <w:p w14:paraId="3AD09B05" w14:textId="77777777" w:rsidR="008D5A94" w:rsidRPr="00BE20BD" w:rsidRDefault="008D5A94" w:rsidP="00A0280B">
            <w:pPr>
              <w:keepNext/>
              <w:spacing w:line="240" w:lineRule="auto"/>
              <w:rPr>
                <w:rFonts w:eastAsia="Times New Roman" w:cs="Arial"/>
                <w:color w:val="000000"/>
                <w:sz w:val="16"/>
                <w:szCs w:val="16"/>
                <w:lang w:val="de-CH" w:eastAsia="de-CH"/>
              </w:rPr>
            </w:pPr>
          </w:p>
        </w:tc>
        <w:tc>
          <w:tcPr>
            <w:tcW w:w="1036" w:type="dxa"/>
            <w:tcBorders>
              <w:top w:val="nil"/>
              <w:left w:val="nil"/>
              <w:bottom w:val="nil"/>
              <w:right w:val="nil"/>
            </w:tcBorders>
            <w:shd w:val="clear" w:color="auto" w:fill="FFFFFF" w:themeFill="background1"/>
            <w:noWrap/>
            <w:vAlign w:val="bottom"/>
          </w:tcPr>
          <w:p w14:paraId="6FD7E7E7" w14:textId="77777777" w:rsidR="008D5A94" w:rsidRPr="00BE20BD" w:rsidRDefault="008D5A94" w:rsidP="00A0280B">
            <w:pPr>
              <w:keepNext/>
              <w:spacing w:line="240" w:lineRule="auto"/>
              <w:rPr>
                <w:rFonts w:eastAsia="Times New Roman" w:cs="Arial"/>
                <w:color w:val="000000"/>
                <w:sz w:val="16"/>
                <w:szCs w:val="16"/>
                <w:lang w:val="de-CH" w:eastAsia="de-CH"/>
              </w:rPr>
            </w:pPr>
          </w:p>
        </w:tc>
        <w:tc>
          <w:tcPr>
            <w:tcW w:w="185" w:type="dxa"/>
            <w:tcBorders>
              <w:top w:val="nil"/>
              <w:left w:val="nil"/>
              <w:bottom w:val="nil"/>
              <w:right w:val="nil"/>
            </w:tcBorders>
            <w:shd w:val="clear" w:color="auto" w:fill="FFFFFF" w:themeFill="background1"/>
            <w:noWrap/>
            <w:vAlign w:val="bottom"/>
          </w:tcPr>
          <w:p w14:paraId="48E887FF" w14:textId="77777777" w:rsidR="008D5A94" w:rsidRPr="00BE20BD" w:rsidRDefault="008D5A94" w:rsidP="00A0280B">
            <w:pPr>
              <w:keepNext/>
              <w:spacing w:line="240" w:lineRule="auto"/>
              <w:rPr>
                <w:rFonts w:eastAsia="Times New Roman" w:cs="Arial"/>
                <w:color w:val="000000"/>
                <w:sz w:val="16"/>
                <w:szCs w:val="16"/>
                <w:lang w:val="de-CH" w:eastAsia="de-CH"/>
              </w:rPr>
            </w:pPr>
          </w:p>
        </w:tc>
        <w:tc>
          <w:tcPr>
            <w:tcW w:w="1036" w:type="dxa"/>
            <w:tcBorders>
              <w:top w:val="nil"/>
              <w:left w:val="nil"/>
              <w:bottom w:val="nil"/>
              <w:right w:val="nil"/>
            </w:tcBorders>
            <w:shd w:val="clear" w:color="auto" w:fill="FFFFFF" w:themeFill="background1"/>
            <w:noWrap/>
            <w:vAlign w:val="bottom"/>
          </w:tcPr>
          <w:p w14:paraId="1BB61DE0" w14:textId="77777777" w:rsidR="008D5A94" w:rsidRPr="00BE20BD" w:rsidRDefault="008D5A94" w:rsidP="00A0280B">
            <w:pPr>
              <w:keepNext/>
              <w:spacing w:line="240" w:lineRule="auto"/>
              <w:rPr>
                <w:rFonts w:eastAsia="Times New Roman" w:cs="Arial"/>
                <w:color w:val="000000"/>
                <w:sz w:val="16"/>
                <w:szCs w:val="16"/>
                <w:lang w:val="de-CH" w:eastAsia="de-CH"/>
              </w:rPr>
            </w:pPr>
          </w:p>
        </w:tc>
      </w:tr>
      <w:tr w:rsidR="007616C1" w:rsidRPr="00BE20BD" w14:paraId="4EDBAEE3" w14:textId="77777777" w:rsidTr="00ED035F">
        <w:trPr>
          <w:trHeight w:val="255"/>
        </w:trPr>
        <w:tc>
          <w:tcPr>
            <w:tcW w:w="2996" w:type="dxa"/>
            <w:tcBorders>
              <w:top w:val="nil"/>
              <w:left w:val="nil"/>
              <w:bottom w:val="nil"/>
              <w:right w:val="nil"/>
            </w:tcBorders>
            <w:shd w:val="clear" w:color="000000" w:fill="D9D9D9"/>
            <w:noWrap/>
            <w:vAlign w:val="bottom"/>
            <w:hideMark/>
          </w:tcPr>
          <w:p w14:paraId="0A55D30E" w14:textId="77777777" w:rsidR="007616C1" w:rsidRPr="00BE20BD" w:rsidRDefault="007616C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xml:space="preserve">Target </w:t>
            </w:r>
            <w:proofErr w:type="spellStart"/>
            <w:r w:rsidRPr="00BE20BD">
              <w:rPr>
                <w:rFonts w:eastAsia="Times New Roman" w:cs="Arial"/>
                <w:color w:val="000000"/>
                <w:sz w:val="16"/>
                <w:szCs w:val="16"/>
                <w:lang w:val="de-CH" w:eastAsia="de-CH"/>
              </w:rPr>
              <w:t>capital</w:t>
            </w:r>
            <w:proofErr w:type="spellEnd"/>
            <w:r w:rsidRPr="00BE20BD">
              <w:rPr>
                <w:rFonts w:eastAsia="Times New Roman" w:cs="Arial"/>
                <w:color w:val="000000"/>
                <w:sz w:val="16"/>
                <w:szCs w:val="16"/>
                <w:lang w:val="de-CH" w:eastAsia="de-CH"/>
              </w:rPr>
              <w:t xml:space="preserve"> (TC)</w:t>
            </w:r>
          </w:p>
        </w:tc>
        <w:tc>
          <w:tcPr>
            <w:tcW w:w="216" w:type="dxa"/>
            <w:tcBorders>
              <w:top w:val="nil"/>
              <w:left w:val="nil"/>
              <w:bottom w:val="nil"/>
              <w:right w:val="nil"/>
            </w:tcBorders>
            <w:shd w:val="clear" w:color="000000" w:fill="FFFFFF"/>
            <w:noWrap/>
            <w:vAlign w:val="bottom"/>
            <w:hideMark/>
          </w:tcPr>
          <w:p w14:paraId="198E736A" w14:textId="77777777" w:rsidR="007616C1" w:rsidRPr="00BE20BD" w:rsidRDefault="007616C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1076" w:type="dxa"/>
            <w:tcBorders>
              <w:top w:val="nil"/>
              <w:left w:val="nil"/>
              <w:bottom w:val="nil"/>
              <w:right w:val="nil"/>
            </w:tcBorders>
            <w:shd w:val="clear" w:color="000000" w:fill="D9D9D9"/>
            <w:noWrap/>
            <w:vAlign w:val="bottom"/>
            <w:hideMark/>
          </w:tcPr>
          <w:p w14:paraId="08EE6D3F" w14:textId="77777777" w:rsidR="007616C1" w:rsidRPr="00BE20BD" w:rsidRDefault="007616C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185" w:type="dxa"/>
            <w:tcBorders>
              <w:top w:val="nil"/>
              <w:left w:val="nil"/>
              <w:bottom w:val="nil"/>
              <w:right w:val="nil"/>
            </w:tcBorders>
            <w:shd w:val="clear" w:color="000000" w:fill="FFFFFF"/>
            <w:noWrap/>
            <w:vAlign w:val="bottom"/>
            <w:hideMark/>
          </w:tcPr>
          <w:p w14:paraId="3DE1C528" w14:textId="77777777" w:rsidR="007616C1" w:rsidRPr="00BE20BD" w:rsidRDefault="007616C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1036" w:type="dxa"/>
            <w:tcBorders>
              <w:top w:val="nil"/>
              <w:left w:val="nil"/>
              <w:bottom w:val="nil"/>
              <w:right w:val="nil"/>
            </w:tcBorders>
            <w:shd w:val="clear" w:color="000000" w:fill="D9D9D9"/>
            <w:noWrap/>
            <w:vAlign w:val="bottom"/>
            <w:hideMark/>
          </w:tcPr>
          <w:p w14:paraId="19555D03" w14:textId="77777777" w:rsidR="007616C1" w:rsidRPr="00BE20BD" w:rsidRDefault="007616C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185" w:type="dxa"/>
            <w:tcBorders>
              <w:top w:val="nil"/>
              <w:left w:val="nil"/>
              <w:bottom w:val="nil"/>
              <w:right w:val="nil"/>
            </w:tcBorders>
            <w:shd w:val="clear" w:color="000000" w:fill="FFFFFF"/>
            <w:noWrap/>
            <w:vAlign w:val="bottom"/>
            <w:hideMark/>
          </w:tcPr>
          <w:p w14:paraId="7ADDE885" w14:textId="77777777" w:rsidR="007616C1" w:rsidRPr="00BE20BD" w:rsidRDefault="007616C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1076" w:type="dxa"/>
            <w:tcBorders>
              <w:top w:val="nil"/>
              <w:left w:val="nil"/>
              <w:bottom w:val="nil"/>
              <w:right w:val="nil"/>
            </w:tcBorders>
            <w:shd w:val="clear" w:color="000000" w:fill="D9D9D9"/>
            <w:noWrap/>
            <w:vAlign w:val="bottom"/>
            <w:hideMark/>
          </w:tcPr>
          <w:p w14:paraId="2E2E2B81" w14:textId="77777777" w:rsidR="007616C1" w:rsidRPr="00BE20BD" w:rsidRDefault="007616C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185" w:type="dxa"/>
            <w:tcBorders>
              <w:top w:val="nil"/>
              <w:left w:val="nil"/>
              <w:bottom w:val="nil"/>
              <w:right w:val="nil"/>
            </w:tcBorders>
            <w:shd w:val="clear" w:color="000000" w:fill="FFFFFF"/>
            <w:noWrap/>
            <w:vAlign w:val="bottom"/>
            <w:hideMark/>
          </w:tcPr>
          <w:p w14:paraId="3C47D100" w14:textId="77777777" w:rsidR="007616C1" w:rsidRPr="00BE20BD" w:rsidRDefault="007616C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1036" w:type="dxa"/>
            <w:tcBorders>
              <w:top w:val="nil"/>
              <w:left w:val="nil"/>
              <w:bottom w:val="nil"/>
              <w:right w:val="nil"/>
            </w:tcBorders>
            <w:shd w:val="clear" w:color="000000" w:fill="D9D9D9"/>
            <w:noWrap/>
            <w:vAlign w:val="bottom"/>
            <w:hideMark/>
          </w:tcPr>
          <w:p w14:paraId="2A29BE60" w14:textId="77777777" w:rsidR="007616C1" w:rsidRPr="00BE20BD" w:rsidRDefault="007616C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185" w:type="dxa"/>
            <w:tcBorders>
              <w:top w:val="nil"/>
              <w:left w:val="nil"/>
              <w:bottom w:val="nil"/>
              <w:right w:val="nil"/>
            </w:tcBorders>
            <w:shd w:val="clear" w:color="000000" w:fill="FFFFFF"/>
            <w:noWrap/>
            <w:vAlign w:val="bottom"/>
            <w:hideMark/>
          </w:tcPr>
          <w:p w14:paraId="1E792665" w14:textId="77777777" w:rsidR="007616C1" w:rsidRPr="00BE20BD" w:rsidRDefault="007616C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1036" w:type="dxa"/>
            <w:tcBorders>
              <w:top w:val="nil"/>
              <w:left w:val="nil"/>
              <w:bottom w:val="nil"/>
              <w:right w:val="nil"/>
            </w:tcBorders>
            <w:shd w:val="clear" w:color="000000" w:fill="D9D9D9"/>
            <w:noWrap/>
            <w:vAlign w:val="bottom"/>
            <w:hideMark/>
          </w:tcPr>
          <w:p w14:paraId="28C2A90A" w14:textId="77777777" w:rsidR="007616C1" w:rsidRPr="00BE20BD" w:rsidRDefault="007616C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r>
      <w:tr w:rsidR="007616C1" w:rsidRPr="00BE20BD" w14:paraId="56DFF444" w14:textId="77777777" w:rsidTr="003D1DBE">
        <w:trPr>
          <w:trHeight w:val="233"/>
        </w:trPr>
        <w:tc>
          <w:tcPr>
            <w:tcW w:w="2996" w:type="dxa"/>
            <w:tcBorders>
              <w:top w:val="nil"/>
              <w:left w:val="nil"/>
              <w:bottom w:val="nil"/>
              <w:right w:val="nil"/>
            </w:tcBorders>
            <w:shd w:val="clear" w:color="000000" w:fill="F2F2F2"/>
            <w:vAlign w:val="bottom"/>
            <w:hideMark/>
          </w:tcPr>
          <w:p w14:paraId="0FD92BCD" w14:textId="77777777" w:rsidR="007616C1" w:rsidRPr="00BE20BD" w:rsidRDefault="007616C1" w:rsidP="00A0280B">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Expected financial result above risk-free</w:t>
            </w:r>
          </w:p>
        </w:tc>
        <w:tc>
          <w:tcPr>
            <w:tcW w:w="216" w:type="dxa"/>
            <w:tcBorders>
              <w:top w:val="nil"/>
              <w:left w:val="nil"/>
              <w:bottom w:val="nil"/>
              <w:right w:val="nil"/>
            </w:tcBorders>
            <w:shd w:val="clear" w:color="000000" w:fill="FFFFFF"/>
            <w:noWrap/>
            <w:vAlign w:val="bottom"/>
            <w:hideMark/>
          </w:tcPr>
          <w:p w14:paraId="197207F4" w14:textId="77777777" w:rsidR="007616C1" w:rsidRPr="00BE20BD" w:rsidRDefault="007616C1" w:rsidP="00A0280B">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1076" w:type="dxa"/>
            <w:tcBorders>
              <w:top w:val="nil"/>
              <w:left w:val="nil"/>
              <w:bottom w:val="nil"/>
              <w:right w:val="nil"/>
            </w:tcBorders>
            <w:shd w:val="clear" w:color="000000" w:fill="F2F2F2"/>
            <w:noWrap/>
            <w:vAlign w:val="bottom"/>
            <w:hideMark/>
          </w:tcPr>
          <w:p w14:paraId="46A7E31F" w14:textId="77777777" w:rsidR="007616C1" w:rsidRPr="00BE20BD" w:rsidRDefault="007616C1" w:rsidP="00A0280B">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185" w:type="dxa"/>
            <w:tcBorders>
              <w:top w:val="nil"/>
              <w:left w:val="nil"/>
              <w:bottom w:val="nil"/>
              <w:right w:val="nil"/>
            </w:tcBorders>
            <w:shd w:val="clear" w:color="000000" w:fill="FFFFFF"/>
            <w:noWrap/>
            <w:vAlign w:val="bottom"/>
            <w:hideMark/>
          </w:tcPr>
          <w:p w14:paraId="31C1010B" w14:textId="77777777" w:rsidR="007616C1" w:rsidRPr="00BE20BD" w:rsidRDefault="007616C1" w:rsidP="00A0280B">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1036" w:type="dxa"/>
            <w:tcBorders>
              <w:top w:val="nil"/>
              <w:left w:val="nil"/>
              <w:bottom w:val="nil"/>
              <w:right w:val="nil"/>
            </w:tcBorders>
            <w:shd w:val="clear" w:color="000000" w:fill="F2F2F2"/>
            <w:noWrap/>
            <w:vAlign w:val="bottom"/>
            <w:hideMark/>
          </w:tcPr>
          <w:p w14:paraId="5451C23C" w14:textId="77777777" w:rsidR="007616C1" w:rsidRPr="00BE20BD" w:rsidRDefault="007616C1" w:rsidP="00A0280B">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185" w:type="dxa"/>
            <w:tcBorders>
              <w:top w:val="nil"/>
              <w:left w:val="nil"/>
              <w:bottom w:val="nil"/>
              <w:right w:val="nil"/>
            </w:tcBorders>
            <w:shd w:val="clear" w:color="000000" w:fill="FFFFFF"/>
            <w:noWrap/>
            <w:vAlign w:val="bottom"/>
            <w:hideMark/>
          </w:tcPr>
          <w:p w14:paraId="5F955D53" w14:textId="77777777" w:rsidR="007616C1" w:rsidRPr="00BE20BD" w:rsidRDefault="007616C1" w:rsidP="00A0280B">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1076" w:type="dxa"/>
            <w:tcBorders>
              <w:top w:val="nil"/>
              <w:left w:val="nil"/>
              <w:bottom w:val="nil"/>
              <w:right w:val="nil"/>
            </w:tcBorders>
            <w:shd w:val="clear" w:color="000000" w:fill="F2F2F2"/>
            <w:noWrap/>
            <w:vAlign w:val="bottom"/>
            <w:hideMark/>
          </w:tcPr>
          <w:p w14:paraId="002A17B7" w14:textId="77777777" w:rsidR="007616C1" w:rsidRPr="00BE20BD" w:rsidRDefault="007616C1" w:rsidP="00A0280B">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185" w:type="dxa"/>
            <w:tcBorders>
              <w:top w:val="nil"/>
              <w:left w:val="nil"/>
              <w:bottom w:val="nil"/>
              <w:right w:val="nil"/>
            </w:tcBorders>
            <w:shd w:val="clear" w:color="000000" w:fill="FFFFFF"/>
            <w:noWrap/>
            <w:vAlign w:val="bottom"/>
            <w:hideMark/>
          </w:tcPr>
          <w:p w14:paraId="69DC83CC" w14:textId="77777777" w:rsidR="007616C1" w:rsidRPr="00BE20BD" w:rsidRDefault="007616C1" w:rsidP="00A0280B">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1036" w:type="dxa"/>
            <w:tcBorders>
              <w:top w:val="nil"/>
              <w:left w:val="nil"/>
              <w:bottom w:val="nil"/>
              <w:right w:val="nil"/>
            </w:tcBorders>
            <w:shd w:val="clear" w:color="000000" w:fill="F2F2F2"/>
            <w:noWrap/>
            <w:vAlign w:val="bottom"/>
            <w:hideMark/>
          </w:tcPr>
          <w:p w14:paraId="4BB90B6B" w14:textId="77777777" w:rsidR="007616C1" w:rsidRPr="00BE20BD" w:rsidRDefault="007616C1" w:rsidP="00A0280B">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185" w:type="dxa"/>
            <w:tcBorders>
              <w:top w:val="nil"/>
              <w:left w:val="nil"/>
              <w:bottom w:val="nil"/>
              <w:right w:val="nil"/>
            </w:tcBorders>
            <w:shd w:val="clear" w:color="000000" w:fill="FFFFFF"/>
            <w:noWrap/>
            <w:vAlign w:val="bottom"/>
            <w:hideMark/>
          </w:tcPr>
          <w:p w14:paraId="14F7D5B9" w14:textId="77777777" w:rsidR="007616C1" w:rsidRPr="00BE20BD" w:rsidRDefault="007616C1" w:rsidP="00A0280B">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1036" w:type="dxa"/>
            <w:tcBorders>
              <w:top w:val="nil"/>
              <w:left w:val="nil"/>
              <w:bottom w:val="nil"/>
              <w:right w:val="nil"/>
            </w:tcBorders>
            <w:shd w:val="clear" w:color="000000" w:fill="F2F2F2"/>
            <w:noWrap/>
            <w:vAlign w:val="bottom"/>
            <w:hideMark/>
          </w:tcPr>
          <w:p w14:paraId="02CEE97C" w14:textId="77777777" w:rsidR="007616C1" w:rsidRPr="00BE20BD" w:rsidRDefault="007616C1" w:rsidP="00A0280B">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r>
      <w:tr w:rsidR="007616C1" w:rsidRPr="00BE20BD" w14:paraId="10CD5338" w14:textId="77777777" w:rsidTr="000C0F79">
        <w:trPr>
          <w:trHeight w:val="215"/>
        </w:trPr>
        <w:tc>
          <w:tcPr>
            <w:tcW w:w="2996" w:type="dxa"/>
            <w:tcBorders>
              <w:top w:val="nil"/>
              <w:left w:val="nil"/>
              <w:bottom w:val="nil"/>
              <w:right w:val="nil"/>
            </w:tcBorders>
            <w:shd w:val="clear" w:color="auto" w:fill="F2F2F2" w:themeFill="background1" w:themeFillShade="F2"/>
            <w:vAlign w:val="bottom"/>
            <w:hideMark/>
          </w:tcPr>
          <w:p w14:paraId="68AAB3B6" w14:textId="10AC84F8" w:rsidR="007616C1" w:rsidRPr="00BE20BD" w:rsidRDefault="007616C1" w:rsidP="00A0280B">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xml:space="preserve">Expected insurance result </w:t>
            </w:r>
          </w:p>
        </w:tc>
        <w:tc>
          <w:tcPr>
            <w:tcW w:w="216" w:type="dxa"/>
            <w:tcBorders>
              <w:top w:val="nil"/>
              <w:left w:val="nil"/>
              <w:bottom w:val="nil"/>
              <w:right w:val="nil"/>
            </w:tcBorders>
            <w:shd w:val="clear" w:color="000000" w:fill="FFFFFF"/>
            <w:noWrap/>
            <w:vAlign w:val="bottom"/>
            <w:hideMark/>
          </w:tcPr>
          <w:p w14:paraId="77BD4A3F" w14:textId="77777777" w:rsidR="007616C1" w:rsidRPr="00BE20BD" w:rsidRDefault="007616C1" w:rsidP="00A0280B">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1076" w:type="dxa"/>
            <w:tcBorders>
              <w:top w:val="nil"/>
              <w:left w:val="nil"/>
              <w:bottom w:val="nil"/>
              <w:right w:val="nil"/>
            </w:tcBorders>
            <w:shd w:val="clear" w:color="auto" w:fill="F2F2F2" w:themeFill="background1" w:themeFillShade="F2"/>
            <w:noWrap/>
            <w:vAlign w:val="bottom"/>
            <w:hideMark/>
          </w:tcPr>
          <w:p w14:paraId="33D639C4" w14:textId="77777777" w:rsidR="007616C1" w:rsidRPr="00BE20BD" w:rsidRDefault="007616C1" w:rsidP="00A0280B">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185" w:type="dxa"/>
            <w:tcBorders>
              <w:top w:val="nil"/>
              <w:left w:val="nil"/>
              <w:bottom w:val="nil"/>
              <w:right w:val="nil"/>
            </w:tcBorders>
            <w:shd w:val="clear" w:color="000000" w:fill="FFFFFF"/>
            <w:noWrap/>
            <w:vAlign w:val="bottom"/>
            <w:hideMark/>
          </w:tcPr>
          <w:p w14:paraId="3C72D6D1" w14:textId="77777777" w:rsidR="007616C1" w:rsidRPr="00BE20BD" w:rsidRDefault="007616C1" w:rsidP="00A0280B">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1036" w:type="dxa"/>
            <w:tcBorders>
              <w:top w:val="nil"/>
              <w:left w:val="nil"/>
              <w:bottom w:val="nil"/>
              <w:right w:val="nil"/>
            </w:tcBorders>
            <w:shd w:val="clear" w:color="auto" w:fill="F2F2F2" w:themeFill="background1" w:themeFillShade="F2"/>
            <w:noWrap/>
            <w:vAlign w:val="bottom"/>
            <w:hideMark/>
          </w:tcPr>
          <w:p w14:paraId="1CA7D5C3" w14:textId="77777777" w:rsidR="007616C1" w:rsidRPr="00BE20BD" w:rsidRDefault="007616C1" w:rsidP="00A0280B">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185" w:type="dxa"/>
            <w:tcBorders>
              <w:top w:val="nil"/>
              <w:left w:val="nil"/>
              <w:bottom w:val="nil"/>
              <w:right w:val="nil"/>
            </w:tcBorders>
            <w:shd w:val="clear" w:color="000000" w:fill="FFFFFF"/>
            <w:noWrap/>
            <w:vAlign w:val="bottom"/>
            <w:hideMark/>
          </w:tcPr>
          <w:p w14:paraId="6DC05867" w14:textId="77777777" w:rsidR="007616C1" w:rsidRPr="00BE20BD" w:rsidRDefault="007616C1" w:rsidP="00A0280B">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1076" w:type="dxa"/>
            <w:tcBorders>
              <w:top w:val="nil"/>
              <w:left w:val="nil"/>
              <w:bottom w:val="nil"/>
              <w:right w:val="nil"/>
            </w:tcBorders>
            <w:shd w:val="clear" w:color="auto" w:fill="F2F2F2" w:themeFill="background1" w:themeFillShade="F2"/>
            <w:noWrap/>
            <w:vAlign w:val="bottom"/>
            <w:hideMark/>
          </w:tcPr>
          <w:p w14:paraId="070C5AF6" w14:textId="77777777" w:rsidR="007616C1" w:rsidRPr="00BE20BD" w:rsidRDefault="007616C1" w:rsidP="00A0280B">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185" w:type="dxa"/>
            <w:tcBorders>
              <w:top w:val="nil"/>
              <w:left w:val="nil"/>
              <w:bottom w:val="nil"/>
              <w:right w:val="nil"/>
            </w:tcBorders>
            <w:shd w:val="clear" w:color="000000" w:fill="FFFFFF"/>
            <w:noWrap/>
            <w:vAlign w:val="bottom"/>
            <w:hideMark/>
          </w:tcPr>
          <w:p w14:paraId="000A4672" w14:textId="77777777" w:rsidR="007616C1" w:rsidRPr="00BE20BD" w:rsidRDefault="007616C1" w:rsidP="00A0280B">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1036" w:type="dxa"/>
            <w:tcBorders>
              <w:top w:val="nil"/>
              <w:left w:val="nil"/>
              <w:bottom w:val="nil"/>
              <w:right w:val="nil"/>
            </w:tcBorders>
            <w:shd w:val="clear" w:color="auto" w:fill="F2F2F2" w:themeFill="background1" w:themeFillShade="F2"/>
            <w:noWrap/>
            <w:vAlign w:val="bottom"/>
            <w:hideMark/>
          </w:tcPr>
          <w:p w14:paraId="253D23EF" w14:textId="77777777" w:rsidR="007616C1" w:rsidRPr="00BE20BD" w:rsidRDefault="007616C1" w:rsidP="00A0280B">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185" w:type="dxa"/>
            <w:tcBorders>
              <w:top w:val="nil"/>
              <w:left w:val="nil"/>
              <w:bottom w:val="nil"/>
              <w:right w:val="nil"/>
            </w:tcBorders>
            <w:shd w:val="clear" w:color="000000" w:fill="FFFFFF"/>
            <w:noWrap/>
            <w:vAlign w:val="bottom"/>
            <w:hideMark/>
          </w:tcPr>
          <w:p w14:paraId="35985B39" w14:textId="77777777" w:rsidR="007616C1" w:rsidRPr="00BE20BD" w:rsidRDefault="007616C1" w:rsidP="00A0280B">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1036" w:type="dxa"/>
            <w:tcBorders>
              <w:top w:val="nil"/>
              <w:left w:val="nil"/>
              <w:bottom w:val="nil"/>
              <w:right w:val="nil"/>
            </w:tcBorders>
            <w:shd w:val="clear" w:color="auto" w:fill="F2F2F2" w:themeFill="background1" w:themeFillShade="F2"/>
            <w:noWrap/>
            <w:vAlign w:val="bottom"/>
            <w:hideMark/>
          </w:tcPr>
          <w:p w14:paraId="30F06131" w14:textId="77777777" w:rsidR="007616C1" w:rsidRPr="00BE20BD" w:rsidRDefault="007616C1" w:rsidP="00A0280B">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r>
    </w:tbl>
    <w:p w14:paraId="2A7A148E" w14:textId="77777777" w:rsidR="00D60D73" w:rsidRPr="00BE20BD" w:rsidRDefault="00D60D73" w:rsidP="00D60D73">
      <w:pPr>
        <w:pStyle w:val="FINMATabelleohneAufzzeichen"/>
        <w:rPr>
          <w:lang w:val="en-US"/>
        </w:rPr>
      </w:pPr>
    </w:p>
    <w:p w14:paraId="5B7B0990" w14:textId="088D077D" w:rsidR="00072B06" w:rsidRPr="00BE20BD" w:rsidRDefault="00072B06" w:rsidP="00D60D73">
      <w:pPr>
        <w:pStyle w:val="FINMATabelleohneAufzzeichen"/>
      </w:pPr>
      <w:r w:rsidRPr="00BE20BD">
        <w:t>Components of the SST ratio:</w:t>
      </w:r>
    </w:p>
    <w:p w14:paraId="53D898A6" w14:textId="442920A4" w:rsidR="002A7AF7" w:rsidRPr="00BE20BD" w:rsidRDefault="002A7AF7" w:rsidP="00D60D73">
      <w:pPr>
        <w:pStyle w:val="FINMATabelleohneAufzzeichen"/>
      </w:pPr>
    </w:p>
    <w:tbl>
      <w:tblPr>
        <w:tblW w:w="9904" w:type="dxa"/>
        <w:tblLayout w:type="fixed"/>
        <w:tblCellMar>
          <w:left w:w="70" w:type="dxa"/>
          <w:right w:w="70" w:type="dxa"/>
        </w:tblCellMar>
        <w:tblLook w:val="04A0" w:firstRow="1" w:lastRow="0" w:firstColumn="1" w:lastColumn="0" w:noHBand="0" w:noVBand="1"/>
      </w:tblPr>
      <w:tblGrid>
        <w:gridCol w:w="2886"/>
        <w:gridCol w:w="196"/>
        <w:gridCol w:w="887"/>
        <w:gridCol w:w="523"/>
        <w:gridCol w:w="185"/>
        <w:gridCol w:w="723"/>
        <w:gridCol w:w="523"/>
        <w:gridCol w:w="232"/>
        <w:gridCol w:w="618"/>
        <w:gridCol w:w="505"/>
        <w:gridCol w:w="359"/>
        <w:gridCol w:w="913"/>
        <w:gridCol w:w="787"/>
        <w:gridCol w:w="567"/>
      </w:tblGrid>
      <w:tr w:rsidR="002A7AF7" w:rsidRPr="00BE20BD" w14:paraId="1D715441" w14:textId="77777777" w:rsidTr="009E56CE">
        <w:trPr>
          <w:trHeight w:val="241"/>
        </w:trPr>
        <w:tc>
          <w:tcPr>
            <w:tcW w:w="2886" w:type="dxa"/>
            <w:tcBorders>
              <w:top w:val="nil"/>
              <w:left w:val="nil"/>
              <w:bottom w:val="nil"/>
              <w:right w:val="nil"/>
            </w:tcBorders>
            <w:shd w:val="clear" w:color="000000" w:fill="FFFFFF"/>
            <w:noWrap/>
            <w:vAlign w:val="bottom"/>
            <w:hideMark/>
          </w:tcPr>
          <w:p w14:paraId="55D8B038" w14:textId="77777777" w:rsidR="002A7AF7" w:rsidRPr="00BE20BD" w:rsidRDefault="002A7AF7" w:rsidP="002A7AF7">
            <w:pPr>
              <w:spacing w:line="240" w:lineRule="auto"/>
              <w:rPr>
                <w:rFonts w:eastAsia="Times New Roman" w:cs="Arial"/>
                <w:b/>
                <w:bCs/>
                <w:color w:val="000000"/>
                <w:sz w:val="16"/>
                <w:szCs w:val="16"/>
                <w:lang w:val="en-US" w:eastAsia="de-CH"/>
              </w:rPr>
            </w:pPr>
            <w:r w:rsidRPr="00BE20BD">
              <w:rPr>
                <w:rFonts w:eastAsia="Times New Roman" w:cs="Arial"/>
                <w:b/>
                <w:bCs/>
                <w:color w:val="000000"/>
                <w:sz w:val="16"/>
                <w:szCs w:val="16"/>
                <w:lang w:val="en-US" w:eastAsia="de-CH"/>
              </w:rPr>
              <w:t> </w:t>
            </w:r>
          </w:p>
        </w:tc>
        <w:tc>
          <w:tcPr>
            <w:tcW w:w="196" w:type="dxa"/>
            <w:tcBorders>
              <w:top w:val="nil"/>
              <w:left w:val="nil"/>
              <w:bottom w:val="nil"/>
              <w:right w:val="nil"/>
            </w:tcBorders>
            <w:shd w:val="clear" w:color="000000" w:fill="FFFFFF"/>
            <w:noWrap/>
            <w:vAlign w:val="bottom"/>
            <w:hideMark/>
          </w:tcPr>
          <w:p w14:paraId="74ED3346" w14:textId="77777777" w:rsidR="002A7AF7" w:rsidRPr="00BE20BD" w:rsidRDefault="002A7AF7" w:rsidP="002A7AF7">
            <w:pPr>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887" w:type="dxa"/>
            <w:tcBorders>
              <w:top w:val="nil"/>
              <w:left w:val="nil"/>
              <w:bottom w:val="nil"/>
              <w:right w:val="nil"/>
            </w:tcBorders>
            <w:shd w:val="clear" w:color="000000" w:fill="D9D9D9"/>
            <w:noWrap/>
            <w:vAlign w:val="bottom"/>
            <w:hideMark/>
          </w:tcPr>
          <w:p w14:paraId="4AD509F4" w14:textId="416D0EA2" w:rsidR="002A7AF7" w:rsidRPr="00BE20BD" w:rsidRDefault="002A7AF7" w:rsidP="002A7AF7">
            <w:pPr>
              <w:spacing w:line="240" w:lineRule="auto"/>
              <w:rPr>
                <w:rFonts w:eastAsia="Times New Roman" w:cs="Arial"/>
                <w:b/>
                <w:bCs/>
                <w:color w:val="000000"/>
                <w:sz w:val="16"/>
                <w:szCs w:val="16"/>
                <w:lang w:val="de-CH" w:eastAsia="de-CH"/>
              </w:rPr>
            </w:pPr>
            <w:r w:rsidRPr="00BE20BD">
              <w:rPr>
                <w:rFonts w:eastAsia="Times New Roman" w:cs="Arial"/>
                <w:b/>
                <w:bCs/>
                <w:color w:val="000000"/>
                <w:sz w:val="16"/>
                <w:szCs w:val="16"/>
                <w:lang w:val="de-CH" w:eastAsia="de-CH"/>
              </w:rPr>
              <w:t xml:space="preserve">SST </w:t>
            </w:r>
            <w:r w:rsidR="00596C13" w:rsidRPr="00BE20BD">
              <w:rPr>
                <w:rFonts w:eastAsia="Times New Roman" w:cs="Arial"/>
                <w:b/>
                <w:bCs/>
                <w:color w:val="000000"/>
                <w:sz w:val="16"/>
                <w:szCs w:val="16"/>
                <w:lang w:val="de-CH" w:eastAsia="de-CH"/>
              </w:rPr>
              <w:t>202</w:t>
            </w:r>
            <w:r w:rsidR="00B50B39" w:rsidRPr="00BE20BD">
              <w:rPr>
                <w:rFonts w:eastAsia="Times New Roman" w:cs="Arial"/>
                <w:b/>
                <w:bCs/>
                <w:color w:val="000000"/>
                <w:sz w:val="16"/>
                <w:szCs w:val="16"/>
                <w:lang w:val="de-CH" w:eastAsia="de-CH"/>
              </w:rPr>
              <w:t>4</w:t>
            </w:r>
          </w:p>
        </w:tc>
        <w:tc>
          <w:tcPr>
            <w:tcW w:w="523" w:type="dxa"/>
            <w:tcBorders>
              <w:top w:val="nil"/>
              <w:left w:val="nil"/>
              <w:bottom w:val="nil"/>
              <w:right w:val="nil"/>
            </w:tcBorders>
            <w:shd w:val="clear" w:color="000000" w:fill="D9D9D9"/>
            <w:noWrap/>
            <w:vAlign w:val="bottom"/>
            <w:hideMark/>
          </w:tcPr>
          <w:p w14:paraId="69EBA37D" w14:textId="77777777" w:rsidR="002A7AF7" w:rsidRPr="00BE20BD" w:rsidRDefault="002A7AF7" w:rsidP="002A7AF7">
            <w:pPr>
              <w:spacing w:line="240" w:lineRule="auto"/>
              <w:rPr>
                <w:rFonts w:eastAsia="Times New Roman" w:cs="Arial"/>
                <w:b/>
                <w:bCs/>
                <w:color w:val="000000"/>
                <w:sz w:val="16"/>
                <w:szCs w:val="16"/>
                <w:lang w:val="de-CH" w:eastAsia="de-CH"/>
              </w:rPr>
            </w:pPr>
            <w:r w:rsidRPr="00BE20BD">
              <w:rPr>
                <w:rFonts w:eastAsia="Times New Roman" w:cs="Arial"/>
                <w:b/>
                <w:bCs/>
                <w:color w:val="000000"/>
                <w:sz w:val="16"/>
                <w:szCs w:val="16"/>
                <w:lang w:val="de-CH" w:eastAsia="de-CH"/>
              </w:rPr>
              <w:t> </w:t>
            </w:r>
          </w:p>
        </w:tc>
        <w:tc>
          <w:tcPr>
            <w:tcW w:w="185" w:type="dxa"/>
            <w:tcBorders>
              <w:top w:val="nil"/>
              <w:left w:val="nil"/>
              <w:bottom w:val="nil"/>
              <w:right w:val="nil"/>
            </w:tcBorders>
            <w:shd w:val="clear" w:color="000000" w:fill="D9D9D9"/>
            <w:noWrap/>
            <w:vAlign w:val="bottom"/>
            <w:hideMark/>
          </w:tcPr>
          <w:p w14:paraId="0FEBE80D" w14:textId="77777777" w:rsidR="002A7AF7" w:rsidRPr="00BE20BD" w:rsidRDefault="002A7AF7" w:rsidP="002A7AF7">
            <w:pPr>
              <w:spacing w:line="240" w:lineRule="auto"/>
              <w:rPr>
                <w:rFonts w:eastAsia="Times New Roman" w:cs="Arial"/>
                <w:b/>
                <w:bCs/>
                <w:color w:val="000000"/>
                <w:sz w:val="16"/>
                <w:szCs w:val="16"/>
                <w:lang w:val="de-CH" w:eastAsia="de-CH"/>
              </w:rPr>
            </w:pPr>
            <w:r w:rsidRPr="00BE20BD">
              <w:rPr>
                <w:rFonts w:eastAsia="Times New Roman" w:cs="Arial"/>
                <w:b/>
                <w:bCs/>
                <w:color w:val="000000"/>
                <w:sz w:val="16"/>
                <w:szCs w:val="16"/>
                <w:lang w:val="de-CH" w:eastAsia="de-CH"/>
              </w:rPr>
              <w:t> </w:t>
            </w:r>
          </w:p>
        </w:tc>
        <w:tc>
          <w:tcPr>
            <w:tcW w:w="723" w:type="dxa"/>
            <w:tcBorders>
              <w:top w:val="nil"/>
              <w:left w:val="nil"/>
              <w:bottom w:val="nil"/>
              <w:right w:val="nil"/>
            </w:tcBorders>
            <w:shd w:val="clear" w:color="000000" w:fill="D9D9D9"/>
            <w:noWrap/>
            <w:vAlign w:val="bottom"/>
            <w:hideMark/>
          </w:tcPr>
          <w:p w14:paraId="6831F4F1" w14:textId="77777777" w:rsidR="002A7AF7" w:rsidRPr="00BE20BD" w:rsidRDefault="002A7AF7" w:rsidP="002A7AF7">
            <w:pPr>
              <w:spacing w:line="240" w:lineRule="auto"/>
              <w:rPr>
                <w:rFonts w:eastAsia="Times New Roman" w:cs="Arial"/>
                <w:b/>
                <w:bCs/>
                <w:color w:val="000000"/>
                <w:sz w:val="16"/>
                <w:szCs w:val="16"/>
                <w:lang w:val="de-CH" w:eastAsia="de-CH"/>
              </w:rPr>
            </w:pPr>
            <w:r w:rsidRPr="00BE20BD">
              <w:rPr>
                <w:rFonts w:eastAsia="Times New Roman" w:cs="Arial"/>
                <w:b/>
                <w:bCs/>
                <w:color w:val="000000"/>
                <w:sz w:val="16"/>
                <w:szCs w:val="16"/>
                <w:lang w:val="de-CH" w:eastAsia="de-CH"/>
              </w:rPr>
              <w:t> </w:t>
            </w:r>
          </w:p>
        </w:tc>
        <w:tc>
          <w:tcPr>
            <w:tcW w:w="523" w:type="dxa"/>
            <w:tcBorders>
              <w:top w:val="nil"/>
              <w:left w:val="nil"/>
              <w:bottom w:val="nil"/>
              <w:right w:val="nil"/>
            </w:tcBorders>
            <w:shd w:val="clear" w:color="000000" w:fill="D9D9D9"/>
            <w:noWrap/>
            <w:vAlign w:val="bottom"/>
            <w:hideMark/>
          </w:tcPr>
          <w:p w14:paraId="5F8EA08F" w14:textId="77777777" w:rsidR="002A7AF7" w:rsidRPr="00BE20BD" w:rsidRDefault="002A7AF7" w:rsidP="002A7AF7">
            <w:pPr>
              <w:spacing w:line="240" w:lineRule="auto"/>
              <w:rPr>
                <w:rFonts w:eastAsia="Times New Roman" w:cs="Arial"/>
                <w:b/>
                <w:bCs/>
                <w:color w:val="000000"/>
                <w:sz w:val="16"/>
                <w:szCs w:val="16"/>
                <w:lang w:val="de-CH" w:eastAsia="de-CH"/>
              </w:rPr>
            </w:pPr>
            <w:r w:rsidRPr="00BE20BD">
              <w:rPr>
                <w:rFonts w:eastAsia="Times New Roman" w:cs="Arial"/>
                <w:b/>
                <w:bCs/>
                <w:color w:val="000000"/>
                <w:sz w:val="16"/>
                <w:szCs w:val="16"/>
                <w:lang w:val="de-CH" w:eastAsia="de-CH"/>
              </w:rPr>
              <w:t> </w:t>
            </w:r>
          </w:p>
        </w:tc>
        <w:tc>
          <w:tcPr>
            <w:tcW w:w="232" w:type="dxa"/>
            <w:tcBorders>
              <w:top w:val="nil"/>
              <w:left w:val="nil"/>
              <w:bottom w:val="nil"/>
              <w:right w:val="nil"/>
            </w:tcBorders>
            <w:shd w:val="clear" w:color="000000" w:fill="D9D9D9"/>
            <w:noWrap/>
            <w:vAlign w:val="bottom"/>
            <w:hideMark/>
          </w:tcPr>
          <w:p w14:paraId="7DB27413" w14:textId="77777777" w:rsidR="002A7AF7" w:rsidRPr="00BE20BD" w:rsidRDefault="002A7AF7" w:rsidP="002A7AF7">
            <w:pPr>
              <w:spacing w:line="240" w:lineRule="auto"/>
              <w:rPr>
                <w:rFonts w:eastAsia="Times New Roman" w:cs="Arial"/>
                <w:b/>
                <w:bCs/>
                <w:color w:val="000000"/>
                <w:sz w:val="16"/>
                <w:szCs w:val="16"/>
                <w:lang w:val="de-CH" w:eastAsia="de-CH"/>
              </w:rPr>
            </w:pPr>
            <w:r w:rsidRPr="00BE20BD">
              <w:rPr>
                <w:rFonts w:eastAsia="Times New Roman" w:cs="Arial"/>
                <w:b/>
                <w:bCs/>
                <w:color w:val="000000"/>
                <w:sz w:val="16"/>
                <w:szCs w:val="16"/>
                <w:lang w:val="de-CH" w:eastAsia="de-CH"/>
              </w:rPr>
              <w:t> </w:t>
            </w:r>
          </w:p>
        </w:tc>
        <w:tc>
          <w:tcPr>
            <w:tcW w:w="618" w:type="dxa"/>
            <w:tcBorders>
              <w:top w:val="nil"/>
              <w:left w:val="nil"/>
              <w:bottom w:val="nil"/>
              <w:right w:val="nil"/>
            </w:tcBorders>
            <w:shd w:val="clear" w:color="000000" w:fill="D9D9D9"/>
            <w:noWrap/>
            <w:vAlign w:val="bottom"/>
            <w:hideMark/>
          </w:tcPr>
          <w:p w14:paraId="421BECD8" w14:textId="77777777" w:rsidR="002A7AF7" w:rsidRPr="00BE20BD" w:rsidRDefault="002A7AF7" w:rsidP="002A7AF7">
            <w:pPr>
              <w:spacing w:line="240" w:lineRule="auto"/>
              <w:rPr>
                <w:rFonts w:eastAsia="Times New Roman" w:cs="Arial"/>
                <w:b/>
                <w:bCs/>
                <w:color w:val="000000"/>
                <w:sz w:val="16"/>
                <w:szCs w:val="16"/>
                <w:lang w:val="de-CH" w:eastAsia="de-CH"/>
              </w:rPr>
            </w:pPr>
            <w:r w:rsidRPr="00BE20BD">
              <w:rPr>
                <w:rFonts w:eastAsia="Times New Roman" w:cs="Arial"/>
                <w:b/>
                <w:bCs/>
                <w:color w:val="000000"/>
                <w:sz w:val="16"/>
                <w:szCs w:val="16"/>
                <w:lang w:val="de-CH" w:eastAsia="de-CH"/>
              </w:rPr>
              <w:t> </w:t>
            </w:r>
          </w:p>
        </w:tc>
        <w:tc>
          <w:tcPr>
            <w:tcW w:w="505" w:type="dxa"/>
            <w:tcBorders>
              <w:top w:val="nil"/>
              <w:left w:val="nil"/>
              <w:bottom w:val="nil"/>
              <w:right w:val="nil"/>
            </w:tcBorders>
            <w:shd w:val="clear" w:color="000000" w:fill="D9D9D9"/>
            <w:noWrap/>
            <w:vAlign w:val="bottom"/>
            <w:hideMark/>
          </w:tcPr>
          <w:p w14:paraId="445A02B2" w14:textId="77777777" w:rsidR="002A7AF7" w:rsidRPr="00BE20BD" w:rsidRDefault="002A7AF7" w:rsidP="002A7AF7">
            <w:pPr>
              <w:spacing w:line="240" w:lineRule="auto"/>
              <w:rPr>
                <w:rFonts w:eastAsia="Times New Roman" w:cs="Arial"/>
                <w:b/>
                <w:bCs/>
                <w:color w:val="000000"/>
                <w:sz w:val="16"/>
                <w:szCs w:val="16"/>
                <w:lang w:val="de-CH" w:eastAsia="de-CH"/>
              </w:rPr>
            </w:pPr>
            <w:r w:rsidRPr="00BE20BD">
              <w:rPr>
                <w:rFonts w:eastAsia="Times New Roman" w:cs="Arial"/>
                <w:b/>
                <w:bCs/>
                <w:color w:val="000000"/>
                <w:sz w:val="16"/>
                <w:szCs w:val="16"/>
                <w:lang w:val="de-CH" w:eastAsia="de-CH"/>
              </w:rPr>
              <w:t> </w:t>
            </w:r>
          </w:p>
        </w:tc>
        <w:tc>
          <w:tcPr>
            <w:tcW w:w="359" w:type="dxa"/>
            <w:tcBorders>
              <w:top w:val="nil"/>
              <w:left w:val="nil"/>
              <w:bottom w:val="nil"/>
              <w:right w:val="nil"/>
            </w:tcBorders>
            <w:shd w:val="clear" w:color="auto" w:fill="D9D9D9" w:themeFill="background1" w:themeFillShade="D9"/>
            <w:noWrap/>
            <w:vAlign w:val="bottom"/>
            <w:hideMark/>
          </w:tcPr>
          <w:p w14:paraId="4C26338A" w14:textId="77777777" w:rsidR="002A7AF7" w:rsidRPr="00BE20BD" w:rsidRDefault="002A7AF7" w:rsidP="002A7AF7">
            <w:pPr>
              <w:spacing w:line="240" w:lineRule="auto"/>
              <w:rPr>
                <w:rFonts w:eastAsia="Times New Roman" w:cs="Arial"/>
                <w:b/>
                <w:bCs/>
                <w:color w:val="000000"/>
                <w:sz w:val="16"/>
                <w:szCs w:val="16"/>
                <w:lang w:val="de-CH" w:eastAsia="de-CH"/>
              </w:rPr>
            </w:pPr>
            <w:r w:rsidRPr="00BE20BD">
              <w:rPr>
                <w:rFonts w:eastAsia="Times New Roman" w:cs="Arial"/>
                <w:b/>
                <w:bCs/>
                <w:color w:val="000000"/>
                <w:sz w:val="16"/>
                <w:szCs w:val="16"/>
                <w:lang w:val="de-CH" w:eastAsia="de-CH"/>
              </w:rPr>
              <w:t> </w:t>
            </w:r>
          </w:p>
        </w:tc>
        <w:tc>
          <w:tcPr>
            <w:tcW w:w="913" w:type="dxa"/>
            <w:tcBorders>
              <w:top w:val="nil"/>
              <w:left w:val="nil"/>
              <w:bottom w:val="nil"/>
              <w:right w:val="nil"/>
            </w:tcBorders>
            <w:shd w:val="clear" w:color="000000" w:fill="D9D9D9"/>
            <w:noWrap/>
            <w:vAlign w:val="bottom"/>
            <w:hideMark/>
          </w:tcPr>
          <w:p w14:paraId="70941CE8" w14:textId="28573A03" w:rsidR="002A7AF7" w:rsidRPr="00BE20BD" w:rsidRDefault="002A7AF7" w:rsidP="002A7AF7">
            <w:pPr>
              <w:spacing w:line="240" w:lineRule="auto"/>
              <w:rPr>
                <w:rFonts w:eastAsia="Times New Roman" w:cs="Arial"/>
                <w:b/>
                <w:bCs/>
                <w:color w:val="FF0000"/>
                <w:sz w:val="16"/>
                <w:szCs w:val="16"/>
                <w:lang w:val="de-CH" w:eastAsia="de-CH"/>
              </w:rPr>
            </w:pPr>
            <w:r w:rsidRPr="00BE20BD">
              <w:rPr>
                <w:rFonts w:eastAsia="Times New Roman" w:cs="Arial"/>
                <w:b/>
                <w:bCs/>
                <w:sz w:val="16"/>
                <w:szCs w:val="16"/>
                <w:lang w:val="de-CH" w:eastAsia="de-CH"/>
              </w:rPr>
              <w:t xml:space="preserve">SST </w:t>
            </w:r>
            <w:r w:rsidR="00596C13" w:rsidRPr="00BE20BD">
              <w:rPr>
                <w:rFonts w:eastAsia="Times New Roman" w:cs="Arial"/>
                <w:b/>
                <w:bCs/>
                <w:sz w:val="16"/>
                <w:szCs w:val="16"/>
                <w:lang w:val="de-CH" w:eastAsia="de-CH"/>
              </w:rPr>
              <w:t>202</w:t>
            </w:r>
            <w:r w:rsidR="00B50B39" w:rsidRPr="00BE20BD">
              <w:rPr>
                <w:rFonts w:eastAsia="Times New Roman" w:cs="Arial"/>
                <w:b/>
                <w:bCs/>
                <w:sz w:val="16"/>
                <w:szCs w:val="16"/>
                <w:lang w:val="de-CH" w:eastAsia="de-CH"/>
              </w:rPr>
              <w:t>3 (</w:t>
            </w:r>
            <w:proofErr w:type="spellStart"/>
            <w:r w:rsidR="00B50B39" w:rsidRPr="00BE20BD">
              <w:rPr>
                <w:rFonts w:eastAsia="Times New Roman" w:cs="Arial"/>
                <w:b/>
                <w:bCs/>
                <w:sz w:val="16"/>
                <w:szCs w:val="16"/>
                <w:lang w:val="de-CH" w:eastAsia="de-CH"/>
              </w:rPr>
              <w:t>restate</w:t>
            </w:r>
            <w:r w:rsidR="00325292" w:rsidRPr="00BE20BD">
              <w:rPr>
                <w:rFonts w:eastAsia="Times New Roman" w:cs="Arial"/>
                <w:b/>
                <w:bCs/>
                <w:sz w:val="16"/>
                <w:szCs w:val="16"/>
                <w:lang w:val="de-CH" w:eastAsia="de-CH"/>
              </w:rPr>
              <w:t>d</w:t>
            </w:r>
            <w:proofErr w:type="spellEnd"/>
            <w:r w:rsidR="00B50B39" w:rsidRPr="00BE20BD">
              <w:rPr>
                <w:rFonts w:eastAsia="Times New Roman" w:cs="Arial"/>
                <w:b/>
                <w:bCs/>
                <w:sz w:val="16"/>
                <w:szCs w:val="16"/>
                <w:lang w:val="de-CH" w:eastAsia="de-CH"/>
              </w:rPr>
              <w:t>)</w:t>
            </w:r>
          </w:p>
        </w:tc>
        <w:tc>
          <w:tcPr>
            <w:tcW w:w="787" w:type="dxa"/>
            <w:tcBorders>
              <w:top w:val="nil"/>
              <w:left w:val="nil"/>
              <w:bottom w:val="nil"/>
              <w:right w:val="nil"/>
            </w:tcBorders>
            <w:shd w:val="clear" w:color="000000" w:fill="D9D9D9"/>
            <w:noWrap/>
            <w:vAlign w:val="bottom"/>
            <w:hideMark/>
          </w:tcPr>
          <w:p w14:paraId="7D25E012" w14:textId="77777777" w:rsidR="002A7AF7" w:rsidRPr="00BE20BD" w:rsidRDefault="002A7AF7" w:rsidP="002A7AF7">
            <w:pPr>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567" w:type="dxa"/>
            <w:tcBorders>
              <w:top w:val="nil"/>
              <w:left w:val="nil"/>
              <w:bottom w:val="nil"/>
              <w:right w:val="nil"/>
            </w:tcBorders>
            <w:shd w:val="clear" w:color="000000" w:fill="D9D9D9"/>
            <w:noWrap/>
            <w:vAlign w:val="bottom"/>
            <w:hideMark/>
          </w:tcPr>
          <w:p w14:paraId="3112130B" w14:textId="77777777" w:rsidR="002A7AF7" w:rsidRPr="00BE20BD" w:rsidRDefault="002A7AF7" w:rsidP="002A7AF7">
            <w:pPr>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r>
      <w:tr w:rsidR="002A7AF7" w:rsidRPr="00BE20BD" w14:paraId="7DC2058F" w14:textId="77777777" w:rsidTr="00325292">
        <w:trPr>
          <w:trHeight w:val="1062"/>
        </w:trPr>
        <w:tc>
          <w:tcPr>
            <w:tcW w:w="2886" w:type="dxa"/>
            <w:tcBorders>
              <w:top w:val="nil"/>
              <w:left w:val="nil"/>
              <w:bottom w:val="single" w:sz="4" w:space="0" w:color="auto"/>
              <w:right w:val="nil"/>
            </w:tcBorders>
            <w:shd w:val="clear" w:color="000000" w:fill="FFFFFF"/>
            <w:vAlign w:val="bottom"/>
            <w:hideMark/>
          </w:tcPr>
          <w:p w14:paraId="1FBA117D" w14:textId="55C2B3CF" w:rsidR="002A7AF7" w:rsidRPr="00BE20BD" w:rsidRDefault="002A7AF7" w:rsidP="002A7AF7">
            <w:pPr>
              <w:spacing w:line="240" w:lineRule="auto"/>
              <w:rPr>
                <w:rFonts w:eastAsia="Times New Roman" w:cs="Arial"/>
                <w:color w:val="000000"/>
                <w:sz w:val="12"/>
                <w:szCs w:val="12"/>
                <w:lang w:val="en-US" w:eastAsia="de-CH"/>
              </w:rPr>
            </w:pPr>
            <w:r w:rsidRPr="00BE20BD">
              <w:rPr>
                <w:rFonts w:eastAsia="Times New Roman" w:cs="Arial"/>
                <w:color w:val="000000"/>
                <w:sz w:val="12"/>
                <w:szCs w:val="12"/>
                <w:lang w:val="en-US" w:eastAsia="de-CH"/>
              </w:rPr>
              <w:t>Sign convention:</w:t>
            </w:r>
            <w:r w:rsidRPr="00BE20BD">
              <w:rPr>
                <w:rFonts w:eastAsia="Times New Roman" w:cs="Arial"/>
                <w:color w:val="000000"/>
                <w:sz w:val="12"/>
                <w:szCs w:val="12"/>
                <w:lang w:val="en-US" w:eastAsia="de-CH"/>
              </w:rPr>
              <w:br/>
              <w:t xml:space="preserve">RBC = assets - liabilities + (deductions and </w:t>
            </w:r>
            <w:r w:rsidR="000E6985" w:rsidRPr="00BE20BD">
              <w:rPr>
                <w:rFonts w:eastAsia="Times New Roman" w:cs="Arial"/>
                <w:color w:val="000000"/>
                <w:sz w:val="12"/>
                <w:szCs w:val="12"/>
                <w:lang w:val="en-US" w:eastAsia="de-CH"/>
              </w:rPr>
              <w:t>RA</w:t>
            </w:r>
            <w:r w:rsidR="002502C1" w:rsidRPr="00BE20BD">
              <w:rPr>
                <w:rFonts w:eastAsia="Times New Roman" w:cs="Arial"/>
                <w:color w:val="000000"/>
                <w:sz w:val="12"/>
                <w:szCs w:val="12"/>
                <w:lang w:val="en-US" w:eastAsia="de-CH"/>
              </w:rPr>
              <w:t>K</w:t>
            </w:r>
            <w:proofErr w:type="gramStart"/>
            <w:r w:rsidRPr="00BE20BD">
              <w:rPr>
                <w:rFonts w:eastAsia="Times New Roman" w:cs="Arial"/>
                <w:color w:val="000000"/>
                <w:sz w:val="12"/>
                <w:szCs w:val="12"/>
                <w:lang w:val="en-US" w:eastAsia="de-CH"/>
              </w:rPr>
              <w:t>) ;</w:t>
            </w:r>
            <w:proofErr w:type="gramEnd"/>
            <w:r w:rsidRPr="00BE20BD">
              <w:rPr>
                <w:rFonts w:eastAsia="Times New Roman" w:cs="Arial"/>
                <w:color w:val="000000"/>
                <w:sz w:val="12"/>
                <w:szCs w:val="12"/>
                <w:lang w:val="en-US" w:eastAsia="de-CH"/>
              </w:rPr>
              <w:br/>
              <w:t xml:space="preserve">TC = sum of components;. </w:t>
            </w:r>
          </w:p>
        </w:tc>
        <w:tc>
          <w:tcPr>
            <w:tcW w:w="196" w:type="dxa"/>
            <w:tcBorders>
              <w:top w:val="nil"/>
              <w:left w:val="nil"/>
              <w:bottom w:val="single" w:sz="4" w:space="0" w:color="auto"/>
              <w:right w:val="nil"/>
            </w:tcBorders>
            <w:shd w:val="clear" w:color="000000" w:fill="FFFFFF"/>
            <w:vAlign w:val="bottom"/>
            <w:hideMark/>
          </w:tcPr>
          <w:p w14:paraId="403DB403" w14:textId="77777777" w:rsidR="002A7AF7" w:rsidRPr="00BE20BD" w:rsidRDefault="002A7AF7" w:rsidP="002A7AF7">
            <w:pPr>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887" w:type="dxa"/>
            <w:tcBorders>
              <w:top w:val="nil"/>
              <w:left w:val="nil"/>
              <w:bottom w:val="single" w:sz="4" w:space="0" w:color="auto"/>
              <w:right w:val="nil"/>
            </w:tcBorders>
            <w:shd w:val="clear" w:color="000000" w:fill="F2F2F2"/>
            <w:vAlign w:val="bottom"/>
            <w:hideMark/>
          </w:tcPr>
          <w:p w14:paraId="1A2FBB7F" w14:textId="6EB54487" w:rsidR="002A7AF7" w:rsidRPr="00BE20BD" w:rsidRDefault="002A7AF7" w:rsidP="002A7AF7">
            <w:pPr>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xml:space="preserve">In &lt;SST </w:t>
            </w:r>
            <w:proofErr w:type="spellStart"/>
            <w:r w:rsidRPr="00BE20BD">
              <w:rPr>
                <w:rFonts w:eastAsia="Times New Roman" w:cs="Arial"/>
                <w:color w:val="000000"/>
                <w:sz w:val="16"/>
                <w:szCs w:val="16"/>
                <w:lang w:val="en-US" w:eastAsia="de-CH"/>
              </w:rPr>
              <w:t>curren</w:t>
            </w:r>
            <w:proofErr w:type="spellEnd"/>
            <w:r w:rsidRPr="00BE20BD">
              <w:rPr>
                <w:rFonts w:eastAsia="Times New Roman" w:cs="Arial"/>
                <w:color w:val="000000"/>
                <w:sz w:val="16"/>
                <w:szCs w:val="16"/>
                <w:lang w:val="en-US" w:eastAsia="de-CH"/>
              </w:rPr>
              <w:t>-cy&gt; millions</w:t>
            </w:r>
          </w:p>
        </w:tc>
        <w:tc>
          <w:tcPr>
            <w:tcW w:w="523" w:type="dxa"/>
            <w:tcBorders>
              <w:top w:val="nil"/>
              <w:left w:val="nil"/>
              <w:bottom w:val="single" w:sz="4" w:space="0" w:color="auto"/>
              <w:right w:val="nil"/>
            </w:tcBorders>
            <w:shd w:val="clear" w:color="000000" w:fill="FFFFFF"/>
            <w:vAlign w:val="bottom"/>
            <w:hideMark/>
          </w:tcPr>
          <w:p w14:paraId="3438B9E6" w14:textId="77777777" w:rsidR="002A7AF7" w:rsidRPr="00BE20BD" w:rsidRDefault="002A7AF7" w:rsidP="002A7AF7">
            <w:pPr>
              <w:spacing w:line="240" w:lineRule="auto"/>
              <w:rPr>
                <w:rFonts w:eastAsia="Times New Roman" w:cs="Arial"/>
                <w:color w:val="000000"/>
                <w:sz w:val="12"/>
                <w:szCs w:val="12"/>
                <w:lang w:val="de-CH" w:eastAsia="de-CH"/>
              </w:rPr>
            </w:pPr>
            <w:r w:rsidRPr="00BE20BD">
              <w:rPr>
                <w:rFonts w:eastAsia="Times New Roman" w:cs="Arial"/>
                <w:color w:val="000000"/>
                <w:sz w:val="12"/>
                <w:szCs w:val="12"/>
                <w:lang w:val="de-CH" w:eastAsia="de-CH"/>
              </w:rPr>
              <w:t xml:space="preserve">Rel. diff. </w:t>
            </w:r>
            <w:proofErr w:type="spellStart"/>
            <w:r w:rsidRPr="00BE20BD">
              <w:rPr>
                <w:rFonts w:eastAsia="Times New Roman" w:cs="Arial"/>
                <w:color w:val="000000"/>
                <w:sz w:val="12"/>
                <w:szCs w:val="12"/>
                <w:lang w:val="de-CH" w:eastAsia="de-CH"/>
              </w:rPr>
              <w:t>prev</w:t>
            </w:r>
            <w:proofErr w:type="spellEnd"/>
            <w:r w:rsidRPr="00BE20BD">
              <w:rPr>
                <w:rFonts w:eastAsia="Times New Roman" w:cs="Arial"/>
                <w:color w:val="000000"/>
                <w:sz w:val="12"/>
                <w:szCs w:val="12"/>
                <w:lang w:val="de-CH" w:eastAsia="de-CH"/>
              </w:rPr>
              <w:t xml:space="preserve">. </w:t>
            </w:r>
            <w:proofErr w:type="spellStart"/>
            <w:r w:rsidRPr="00BE20BD">
              <w:rPr>
                <w:rFonts w:eastAsia="Times New Roman" w:cs="Arial"/>
                <w:color w:val="000000"/>
                <w:sz w:val="12"/>
                <w:szCs w:val="12"/>
                <w:lang w:val="de-CH" w:eastAsia="de-CH"/>
              </w:rPr>
              <w:t>year</w:t>
            </w:r>
            <w:proofErr w:type="spellEnd"/>
          </w:p>
        </w:tc>
        <w:tc>
          <w:tcPr>
            <w:tcW w:w="185" w:type="dxa"/>
            <w:tcBorders>
              <w:top w:val="nil"/>
              <w:left w:val="nil"/>
              <w:bottom w:val="single" w:sz="4" w:space="0" w:color="auto"/>
              <w:right w:val="nil"/>
            </w:tcBorders>
            <w:shd w:val="clear" w:color="000000" w:fill="FFFFFF"/>
            <w:vAlign w:val="bottom"/>
            <w:hideMark/>
          </w:tcPr>
          <w:p w14:paraId="7F408052" w14:textId="77777777" w:rsidR="002A7AF7" w:rsidRPr="00BE20BD" w:rsidRDefault="002A7AF7" w:rsidP="002A7AF7">
            <w:pPr>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723" w:type="dxa"/>
            <w:tcBorders>
              <w:top w:val="nil"/>
              <w:left w:val="nil"/>
              <w:bottom w:val="single" w:sz="4" w:space="0" w:color="auto"/>
              <w:right w:val="nil"/>
            </w:tcBorders>
            <w:shd w:val="clear" w:color="000000" w:fill="F2F2F2"/>
            <w:vAlign w:val="bottom"/>
            <w:hideMark/>
          </w:tcPr>
          <w:p w14:paraId="6887CCD6" w14:textId="0C3ADA63" w:rsidR="002A7AF7" w:rsidRPr="00BE20BD" w:rsidRDefault="002A7AF7" w:rsidP="002A7AF7">
            <w:pPr>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xml:space="preserve">Share </w:t>
            </w:r>
            <w:r w:rsidR="00B50B39" w:rsidRPr="00BE20BD">
              <w:rPr>
                <w:rFonts w:eastAsia="Times New Roman" w:cs="Arial"/>
                <w:color w:val="000000"/>
                <w:sz w:val="16"/>
                <w:szCs w:val="16"/>
                <w:lang w:val="de-CH" w:eastAsia="de-CH"/>
              </w:rPr>
              <w:t>TC</w:t>
            </w:r>
          </w:p>
        </w:tc>
        <w:tc>
          <w:tcPr>
            <w:tcW w:w="523" w:type="dxa"/>
            <w:tcBorders>
              <w:top w:val="nil"/>
              <w:left w:val="nil"/>
              <w:bottom w:val="single" w:sz="4" w:space="0" w:color="auto"/>
              <w:right w:val="nil"/>
            </w:tcBorders>
            <w:shd w:val="clear" w:color="000000" w:fill="FFFFFF"/>
            <w:vAlign w:val="bottom"/>
            <w:hideMark/>
          </w:tcPr>
          <w:p w14:paraId="3CCA221B" w14:textId="77777777" w:rsidR="002A7AF7" w:rsidRPr="00BE20BD" w:rsidRDefault="002A7AF7" w:rsidP="002A7AF7">
            <w:pPr>
              <w:spacing w:line="240" w:lineRule="auto"/>
              <w:rPr>
                <w:rFonts w:eastAsia="Times New Roman" w:cs="Arial"/>
                <w:color w:val="000000"/>
                <w:sz w:val="12"/>
                <w:szCs w:val="12"/>
                <w:lang w:val="de-CH" w:eastAsia="de-CH"/>
              </w:rPr>
            </w:pPr>
            <w:r w:rsidRPr="00BE20BD">
              <w:rPr>
                <w:rFonts w:eastAsia="Times New Roman" w:cs="Arial"/>
                <w:color w:val="000000"/>
                <w:sz w:val="12"/>
                <w:szCs w:val="12"/>
                <w:lang w:val="de-CH" w:eastAsia="de-CH"/>
              </w:rPr>
              <w:t xml:space="preserve">Rel. diff. </w:t>
            </w:r>
            <w:proofErr w:type="spellStart"/>
            <w:r w:rsidRPr="00BE20BD">
              <w:rPr>
                <w:rFonts w:eastAsia="Times New Roman" w:cs="Arial"/>
                <w:color w:val="000000"/>
                <w:sz w:val="12"/>
                <w:szCs w:val="12"/>
                <w:lang w:val="de-CH" w:eastAsia="de-CH"/>
              </w:rPr>
              <w:t>prev</w:t>
            </w:r>
            <w:proofErr w:type="spellEnd"/>
            <w:r w:rsidRPr="00BE20BD">
              <w:rPr>
                <w:rFonts w:eastAsia="Times New Roman" w:cs="Arial"/>
                <w:color w:val="000000"/>
                <w:sz w:val="12"/>
                <w:szCs w:val="12"/>
                <w:lang w:val="de-CH" w:eastAsia="de-CH"/>
              </w:rPr>
              <w:t xml:space="preserve">. </w:t>
            </w:r>
            <w:proofErr w:type="spellStart"/>
            <w:r w:rsidRPr="00BE20BD">
              <w:rPr>
                <w:rFonts w:eastAsia="Times New Roman" w:cs="Arial"/>
                <w:color w:val="000000"/>
                <w:sz w:val="12"/>
                <w:szCs w:val="12"/>
                <w:lang w:val="de-CH" w:eastAsia="de-CH"/>
              </w:rPr>
              <w:t>year</w:t>
            </w:r>
            <w:proofErr w:type="spellEnd"/>
          </w:p>
        </w:tc>
        <w:tc>
          <w:tcPr>
            <w:tcW w:w="232" w:type="dxa"/>
            <w:tcBorders>
              <w:top w:val="nil"/>
              <w:left w:val="nil"/>
              <w:bottom w:val="single" w:sz="4" w:space="0" w:color="auto"/>
              <w:right w:val="nil"/>
            </w:tcBorders>
            <w:shd w:val="clear" w:color="000000" w:fill="FFFFFF"/>
            <w:noWrap/>
            <w:vAlign w:val="bottom"/>
            <w:hideMark/>
          </w:tcPr>
          <w:p w14:paraId="318B4305" w14:textId="77777777" w:rsidR="002A7AF7" w:rsidRPr="00BE20BD" w:rsidRDefault="002A7AF7" w:rsidP="002A7AF7">
            <w:pPr>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618" w:type="dxa"/>
            <w:tcBorders>
              <w:top w:val="nil"/>
              <w:left w:val="nil"/>
              <w:bottom w:val="single" w:sz="4" w:space="0" w:color="auto"/>
              <w:right w:val="nil"/>
            </w:tcBorders>
            <w:shd w:val="clear" w:color="000000" w:fill="F2F2F2"/>
            <w:vAlign w:val="bottom"/>
            <w:hideMark/>
          </w:tcPr>
          <w:p w14:paraId="4696EF28" w14:textId="77777777" w:rsidR="002A7AF7" w:rsidRPr="00BE20BD" w:rsidRDefault="002A7AF7" w:rsidP="002A7AF7">
            <w:pPr>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Share total assets SST BS</w:t>
            </w:r>
          </w:p>
        </w:tc>
        <w:tc>
          <w:tcPr>
            <w:tcW w:w="505" w:type="dxa"/>
            <w:tcBorders>
              <w:top w:val="nil"/>
              <w:left w:val="nil"/>
              <w:bottom w:val="single" w:sz="4" w:space="0" w:color="auto"/>
              <w:right w:val="nil"/>
            </w:tcBorders>
            <w:shd w:val="clear" w:color="000000" w:fill="FFFFFF"/>
            <w:vAlign w:val="bottom"/>
            <w:hideMark/>
          </w:tcPr>
          <w:p w14:paraId="2761B14B" w14:textId="77777777" w:rsidR="002A7AF7" w:rsidRPr="00BE20BD" w:rsidRDefault="002A7AF7" w:rsidP="002A7AF7">
            <w:pPr>
              <w:spacing w:line="240" w:lineRule="auto"/>
              <w:rPr>
                <w:rFonts w:eastAsia="Times New Roman" w:cs="Arial"/>
                <w:color w:val="000000"/>
                <w:sz w:val="12"/>
                <w:szCs w:val="12"/>
                <w:lang w:val="de-CH" w:eastAsia="de-CH"/>
              </w:rPr>
            </w:pPr>
            <w:r w:rsidRPr="00BE20BD">
              <w:rPr>
                <w:rFonts w:eastAsia="Times New Roman" w:cs="Arial"/>
                <w:color w:val="000000"/>
                <w:sz w:val="12"/>
                <w:szCs w:val="12"/>
                <w:lang w:val="de-CH" w:eastAsia="de-CH"/>
              </w:rPr>
              <w:t xml:space="preserve">Rel. diff. </w:t>
            </w:r>
            <w:proofErr w:type="spellStart"/>
            <w:r w:rsidRPr="00BE20BD">
              <w:rPr>
                <w:rFonts w:eastAsia="Times New Roman" w:cs="Arial"/>
                <w:color w:val="000000"/>
                <w:sz w:val="12"/>
                <w:szCs w:val="12"/>
                <w:lang w:val="de-CH" w:eastAsia="de-CH"/>
              </w:rPr>
              <w:t>prev</w:t>
            </w:r>
            <w:proofErr w:type="spellEnd"/>
            <w:r w:rsidRPr="00BE20BD">
              <w:rPr>
                <w:rFonts w:eastAsia="Times New Roman" w:cs="Arial"/>
                <w:color w:val="000000"/>
                <w:sz w:val="12"/>
                <w:szCs w:val="12"/>
                <w:lang w:val="de-CH" w:eastAsia="de-CH"/>
              </w:rPr>
              <w:t xml:space="preserve">. </w:t>
            </w:r>
            <w:proofErr w:type="spellStart"/>
            <w:r w:rsidRPr="00BE20BD">
              <w:rPr>
                <w:rFonts w:eastAsia="Times New Roman" w:cs="Arial"/>
                <w:color w:val="000000"/>
                <w:sz w:val="12"/>
                <w:szCs w:val="12"/>
                <w:lang w:val="de-CH" w:eastAsia="de-CH"/>
              </w:rPr>
              <w:t>year</w:t>
            </w:r>
            <w:proofErr w:type="spellEnd"/>
          </w:p>
        </w:tc>
        <w:tc>
          <w:tcPr>
            <w:tcW w:w="359" w:type="dxa"/>
            <w:tcBorders>
              <w:top w:val="nil"/>
              <w:left w:val="nil"/>
              <w:bottom w:val="single" w:sz="4" w:space="0" w:color="auto"/>
              <w:right w:val="nil"/>
            </w:tcBorders>
            <w:shd w:val="clear" w:color="000000" w:fill="FFFFFF"/>
            <w:vAlign w:val="bottom"/>
            <w:hideMark/>
          </w:tcPr>
          <w:p w14:paraId="69DB42F7" w14:textId="77777777" w:rsidR="002A7AF7" w:rsidRPr="00BE20BD" w:rsidRDefault="002A7AF7" w:rsidP="002A7AF7">
            <w:pPr>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913" w:type="dxa"/>
            <w:tcBorders>
              <w:top w:val="nil"/>
              <w:left w:val="nil"/>
              <w:bottom w:val="single" w:sz="4" w:space="0" w:color="auto"/>
              <w:right w:val="nil"/>
            </w:tcBorders>
            <w:shd w:val="clear" w:color="000000" w:fill="F2F2F2"/>
            <w:vAlign w:val="bottom"/>
            <w:hideMark/>
          </w:tcPr>
          <w:p w14:paraId="1BA4EAD4" w14:textId="526AA804" w:rsidR="002A7AF7" w:rsidRPr="00BE20BD" w:rsidRDefault="002A7AF7" w:rsidP="002A7AF7">
            <w:pPr>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In &lt;SST currency&gt; millions</w:t>
            </w:r>
          </w:p>
        </w:tc>
        <w:tc>
          <w:tcPr>
            <w:tcW w:w="787" w:type="dxa"/>
            <w:tcBorders>
              <w:top w:val="nil"/>
              <w:left w:val="nil"/>
              <w:bottom w:val="single" w:sz="4" w:space="0" w:color="auto"/>
              <w:right w:val="nil"/>
            </w:tcBorders>
            <w:shd w:val="clear" w:color="000000" w:fill="F2F2F2"/>
            <w:vAlign w:val="bottom"/>
            <w:hideMark/>
          </w:tcPr>
          <w:p w14:paraId="73294670" w14:textId="77777777" w:rsidR="002A7AF7" w:rsidRPr="00BE20BD" w:rsidRDefault="002A7AF7" w:rsidP="002A7AF7">
            <w:pPr>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xml:space="preserve">Share </w:t>
            </w:r>
            <w:r w:rsidR="00B50B39" w:rsidRPr="00BE20BD">
              <w:rPr>
                <w:rFonts w:eastAsia="Times New Roman" w:cs="Arial"/>
                <w:color w:val="000000"/>
                <w:sz w:val="16"/>
                <w:szCs w:val="16"/>
                <w:lang w:val="de-CH" w:eastAsia="de-CH"/>
              </w:rPr>
              <w:t>TC</w:t>
            </w:r>
          </w:p>
          <w:p w14:paraId="20D18C7A" w14:textId="3E4EE162" w:rsidR="00B50B39" w:rsidRPr="00BE20BD" w:rsidRDefault="00B50B39" w:rsidP="002A7AF7">
            <w:pPr>
              <w:spacing w:line="240" w:lineRule="auto"/>
              <w:rPr>
                <w:rFonts w:eastAsia="Times New Roman" w:cs="Arial"/>
                <w:color w:val="000000"/>
                <w:sz w:val="16"/>
                <w:szCs w:val="16"/>
                <w:lang w:val="de-CH" w:eastAsia="de-CH"/>
              </w:rPr>
            </w:pPr>
          </w:p>
        </w:tc>
        <w:tc>
          <w:tcPr>
            <w:tcW w:w="567" w:type="dxa"/>
            <w:tcBorders>
              <w:top w:val="nil"/>
              <w:left w:val="nil"/>
              <w:bottom w:val="single" w:sz="4" w:space="0" w:color="auto"/>
              <w:right w:val="nil"/>
            </w:tcBorders>
            <w:shd w:val="clear" w:color="000000" w:fill="F2F2F2"/>
            <w:vAlign w:val="bottom"/>
            <w:hideMark/>
          </w:tcPr>
          <w:p w14:paraId="2206E669" w14:textId="77777777" w:rsidR="002A7AF7" w:rsidRPr="00BE20BD" w:rsidRDefault="002A7AF7" w:rsidP="002A7AF7">
            <w:pPr>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Share total assets SST BS</w:t>
            </w:r>
          </w:p>
        </w:tc>
      </w:tr>
      <w:tr w:rsidR="002A7AF7" w:rsidRPr="00BE20BD" w14:paraId="12871FE7" w14:textId="77777777" w:rsidTr="00325292">
        <w:trPr>
          <w:trHeight w:val="241"/>
        </w:trPr>
        <w:tc>
          <w:tcPr>
            <w:tcW w:w="2886" w:type="dxa"/>
            <w:tcBorders>
              <w:top w:val="nil"/>
              <w:left w:val="nil"/>
              <w:bottom w:val="nil"/>
              <w:right w:val="nil"/>
            </w:tcBorders>
            <w:shd w:val="clear" w:color="auto" w:fill="auto"/>
            <w:noWrap/>
            <w:vAlign w:val="bottom"/>
            <w:hideMark/>
          </w:tcPr>
          <w:p w14:paraId="175C40BA" w14:textId="77777777" w:rsidR="002A7AF7" w:rsidRPr="00BE20BD" w:rsidRDefault="002A7AF7" w:rsidP="002A7AF7">
            <w:pPr>
              <w:spacing w:line="240" w:lineRule="auto"/>
              <w:rPr>
                <w:rFonts w:eastAsia="Times New Roman" w:cs="Arial"/>
                <w:color w:val="000000"/>
                <w:sz w:val="16"/>
                <w:szCs w:val="16"/>
                <w:lang w:val="en-US" w:eastAsia="de-CH"/>
              </w:rPr>
            </w:pPr>
          </w:p>
        </w:tc>
        <w:tc>
          <w:tcPr>
            <w:tcW w:w="196" w:type="dxa"/>
            <w:tcBorders>
              <w:top w:val="nil"/>
              <w:left w:val="nil"/>
              <w:bottom w:val="nil"/>
              <w:right w:val="nil"/>
            </w:tcBorders>
            <w:shd w:val="clear" w:color="000000" w:fill="FFFFFF"/>
            <w:noWrap/>
            <w:vAlign w:val="bottom"/>
            <w:hideMark/>
          </w:tcPr>
          <w:p w14:paraId="492BEA20" w14:textId="77777777" w:rsidR="002A7AF7" w:rsidRPr="00BE20BD" w:rsidRDefault="002A7AF7" w:rsidP="002A7AF7">
            <w:pPr>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887" w:type="dxa"/>
            <w:tcBorders>
              <w:top w:val="nil"/>
              <w:left w:val="nil"/>
              <w:bottom w:val="nil"/>
              <w:right w:val="nil"/>
            </w:tcBorders>
            <w:shd w:val="clear" w:color="auto" w:fill="auto"/>
            <w:noWrap/>
            <w:vAlign w:val="bottom"/>
            <w:hideMark/>
          </w:tcPr>
          <w:p w14:paraId="34C19D33" w14:textId="77777777" w:rsidR="002A7AF7" w:rsidRPr="00BE20BD" w:rsidRDefault="002A7AF7" w:rsidP="002A7AF7">
            <w:pPr>
              <w:spacing w:line="240" w:lineRule="auto"/>
              <w:rPr>
                <w:rFonts w:eastAsia="Times New Roman" w:cs="Arial"/>
                <w:color w:val="000000"/>
                <w:sz w:val="16"/>
                <w:szCs w:val="16"/>
                <w:lang w:val="en-US" w:eastAsia="de-CH"/>
              </w:rPr>
            </w:pPr>
          </w:p>
        </w:tc>
        <w:tc>
          <w:tcPr>
            <w:tcW w:w="523" w:type="dxa"/>
            <w:tcBorders>
              <w:top w:val="nil"/>
              <w:left w:val="nil"/>
              <w:bottom w:val="nil"/>
              <w:right w:val="nil"/>
            </w:tcBorders>
            <w:shd w:val="clear" w:color="000000" w:fill="FFFFFF"/>
            <w:noWrap/>
            <w:vAlign w:val="bottom"/>
            <w:hideMark/>
          </w:tcPr>
          <w:p w14:paraId="02B883A0" w14:textId="77777777" w:rsidR="002A7AF7" w:rsidRPr="00BE20BD" w:rsidRDefault="002A7AF7" w:rsidP="002A7AF7">
            <w:pPr>
              <w:spacing w:line="240" w:lineRule="auto"/>
              <w:rPr>
                <w:rFonts w:eastAsia="Times New Roman" w:cs="Arial"/>
                <w:color w:val="000000"/>
                <w:sz w:val="12"/>
                <w:szCs w:val="12"/>
                <w:lang w:val="en-US" w:eastAsia="de-CH"/>
              </w:rPr>
            </w:pPr>
            <w:r w:rsidRPr="00BE20BD">
              <w:rPr>
                <w:rFonts w:eastAsia="Times New Roman" w:cs="Arial"/>
                <w:color w:val="000000"/>
                <w:sz w:val="12"/>
                <w:szCs w:val="12"/>
                <w:lang w:val="en-US" w:eastAsia="de-CH"/>
              </w:rPr>
              <w:t> </w:t>
            </w:r>
          </w:p>
        </w:tc>
        <w:tc>
          <w:tcPr>
            <w:tcW w:w="185" w:type="dxa"/>
            <w:tcBorders>
              <w:top w:val="nil"/>
              <w:left w:val="nil"/>
              <w:bottom w:val="nil"/>
              <w:right w:val="nil"/>
            </w:tcBorders>
            <w:shd w:val="clear" w:color="000000" w:fill="FFFFFF"/>
            <w:noWrap/>
            <w:vAlign w:val="bottom"/>
            <w:hideMark/>
          </w:tcPr>
          <w:p w14:paraId="7B9E3949" w14:textId="77777777" w:rsidR="002A7AF7" w:rsidRPr="00BE20BD" w:rsidRDefault="002A7AF7" w:rsidP="002A7AF7">
            <w:pPr>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723" w:type="dxa"/>
            <w:tcBorders>
              <w:top w:val="nil"/>
              <w:left w:val="nil"/>
              <w:bottom w:val="nil"/>
              <w:right w:val="nil"/>
            </w:tcBorders>
            <w:shd w:val="clear" w:color="auto" w:fill="auto"/>
            <w:noWrap/>
            <w:vAlign w:val="bottom"/>
            <w:hideMark/>
          </w:tcPr>
          <w:p w14:paraId="00088D27" w14:textId="77777777" w:rsidR="002A7AF7" w:rsidRPr="00BE20BD" w:rsidRDefault="002A7AF7" w:rsidP="002A7AF7">
            <w:pPr>
              <w:spacing w:line="240" w:lineRule="auto"/>
              <w:rPr>
                <w:rFonts w:eastAsia="Times New Roman" w:cs="Arial"/>
                <w:color w:val="000000"/>
                <w:sz w:val="16"/>
                <w:szCs w:val="16"/>
                <w:lang w:val="en-US" w:eastAsia="de-CH"/>
              </w:rPr>
            </w:pPr>
          </w:p>
        </w:tc>
        <w:tc>
          <w:tcPr>
            <w:tcW w:w="523" w:type="dxa"/>
            <w:tcBorders>
              <w:top w:val="nil"/>
              <w:left w:val="nil"/>
              <w:bottom w:val="nil"/>
              <w:right w:val="nil"/>
            </w:tcBorders>
            <w:shd w:val="clear" w:color="000000" w:fill="FFFFFF"/>
            <w:noWrap/>
            <w:vAlign w:val="bottom"/>
            <w:hideMark/>
          </w:tcPr>
          <w:p w14:paraId="631BBD4D" w14:textId="77777777" w:rsidR="002A7AF7" w:rsidRPr="00BE20BD" w:rsidRDefault="002A7AF7" w:rsidP="002A7AF7">
            <w:pPr>
              <w:spacing w:line="240" w:lineRule="auto"/>
              <w:rPr>
                <w:rFonts w:eastAsia="Times New Roman" w:cs="Arial"/>
                <w:color w:val="000000"/>
                <w:sz w:val="12"/>
                <w:szCs w:val="12"/>
                <w:lang w:val="en-US" w:eastAsia="de-CH"/>
              </w:rPr>
            </w:pPr>
            <w:r w:rsidRPr="00BE20BD">
              <w:rPr>
                <w:rFonts w:eastAsia="Times New Roman" w:cs="Arial"/>
                <w:color w:val="000000"/>
                <w:sz w:val="12"/>
                <w:szCs w:val="12"/>
                <w:lang w:val="en-US" w:eastAsia="de-CH"/>
              </w:rPr>
              <w:t> </w:t>
            </w:r>
          </w:p>
        </w:tc>
        <w:tc>
          <w:tcPr>
            <w:tcW w:w="232" w:type="dxa"/>
            <w:tcBorders>
              <w:top w:val="nil"/>
              <w:left w:val="nil"/>
              <w:bottom w:val="nil"/>
              <w:right w:val="nil"/>
            </w:tcBorders>
            <w:shd w:val="clear" w:color="000000" w:fill="FFFFFF"/>
            <w:noWrap/>
            <w:vAlign w:val="bottom"/>
            <w:hideMark/>
          </w:tcPr>
          <w:p w14:paraId="3A3A0C4A" w14:textId="77777777" w:rsidR="002A7AF7" w:rsidRPr="00BE20BD" w:rsidRDefault="002A7AF7" w:rsidP="002A7AF7">
            <w:pPr>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618" w:type="dxa"/>
            <w:tcBorders>
              <w:top w:val="nil"/>
              <w:left w:val="nil"/>
              <w:bottom w:val="nil"/>
              <w:right w:val="nil"/>
            </w:tcBorders>
            <w:shd w:val="clear" w:color="auto" w:fill="auto"/>
            <w:noWrap/>
            <w:vAlign w:val="bottom"/>
            <w:hideMark/>
          </w:tcPr>
          <w:p w14:paraId="5FF647C6" w14:textId="77777777" w:rsidR="002A7AF7" w:rsidRPr="00BE20BD" w:rsidRDefault="002A7AF7" w:rsidP="002A7AF7">
            <w:pPr>
              <w:spacing w:line="240" w:lineRule="auto"/>
              <w:rPr>
                <w:rFonts w:eastAsia="Times New Roman" w:cs="Arial"/>
                <w:color w:val="000000"/>
                <w:sz w:val="16"/>
                <w:szCs w:val="16"/>
                <w:lang w:val="en-US" w:eastAsia="de-CH"/>
              </w:rPr>
            </w:pPr>
          </w:p>
        </w:tc>
        <w:tc>
          <w:tcPr>
            <w:tcW w:w="505" w:type="dxa"/>
            <w:tcBorders>
              <w:top w:val="nil"/>
              <w:left w:val="nil"/>
              <w:bottom w:val="nil"/>
              <w:right w:val="nil"/>
            </w:tcBorders>
            <w:shd w:val="clear" w:color="000000" w:fill="FFFFFF"/>
            <w:noWrap/>
            <w:vAlign w:val="bottom"/>
            <w:hideMark/>
          </w:tcPr>
          <w:p w14:paraId="062C6F6B" w14:textId="77777777" w:rsidR="002A7AF7" w:rsidRPr="00BE20BD" w:rsidRDefault="002A7AF7" w:rsidP="002A7AF7">
            <w:pPr>
              <w:spacing w:line="240" w:lineRule="auto"/>
              <w:rPr>
                <w:rFonts w:eastAsia="Times New Roman" w:cs="Arial"/>
                <w:color w:val="000000"/>
                <w:sz w:val="12"/>
                <w:szCs w:val="12"/>
                <w:lang w:val="en-US" w:eastAsia="de-CH"/>
              </w:rPr>
            </w:pPr>
            <w:r w:rsidRPr="00BE20BD">
              <w:rPr>
                <w:rFonts w:eastAsia="Times New Roman" w:cs="Arial"/>
                <w:color w:val="000000"/>
                <w:sz w:val="12"/>
                <w:szCs w:val="12"/>
                <w:lang w:val="en-US" w:eastAsia="de-CH"/>
              </w:rPr>
              <w:t> </w:t>
            </w:r>
          </w:p>
        </w:tc>
        <w:tc>
          <w:tcPr>
            <w:tcW w:w="359" w:type="dxa"/>
            <w:tcBorders>
              <w:top w:val="nil"/>
              <w:left w:val="nil"/>
              <w:bottom w:val="nil"/>
              <w:right w:val="nil"/>
            </w:tcBorders>
            <w:shd w:val="clear" w:color="000000" w:fill="FFFFFF"/>
            <w:noWrap/>
            <w:vAlign w:val="bottom"/>
            <w:hideMark/>
          </w:tcPr>
          <w:p w14:paraId="71BB1257" w14:textId="77777777" w:rsidR="002A7AF7" w:rsidRPr="00BE20BD" w:rsidRDefault="002A7AF7" w:rsidP="002A7AF7">
            <w:pPr>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913" w:type="dxa"/>
            <w:tcBorders>
              <w:top w:val="nil"/>
              <w:left w:val="nil"/>
              <w:bottom w:val="nil"/>
              <w:right w:val="nil"/>
            </w:tcBorders>
            <w:shd w:val="clear" w:color="auto" w:fill="auto"/>
            <w:noWrap/>
            <w:vAlign w:val="bottom"/>
            <w:hideMark/>
          </w:tcPr>
          <w:p w14:paraId="30BB95D5" w14:textId="77777777" w:rsidR="002A7AF7" w:rsidRPr="00BE20BD" w:rsidRDefault="002A7AF7" w:rsidP="002A7AF7">
            <w:pPr>
              <w:spacing w:line="240" w:lineRule="auto"/>
              <w:rPr>
                <w:rFonts w:eastAsia="Times New Roman" w:cs="Arial"/>
                <w:color w:val="000000"/>
                <w:sz w:val="16"/>
                <w:szCs w:val="16"/>
                <w:lang w:val="en-US" w:eastAsia="de-CH"/>
              </w:rPr>
            </w:pPr>
          </w:p>
        </w:tc>
        <w:tc>
          <w:tcPr>
            <w:tcW w:w="787" w:type="dxa"/>
            <w:tcBorders>
              <w:top w:val="nil"/>
              <w:left w:val="nil"/>
              <w:bottom w:val="nil"/>
              <w:right w:val="nil"/>
            </w:tcBorders>
            <w:shd w:val="clear" w:color="auto" w:fill="auto"/>
            <w:noWrap/>
            <w:vAlign w:val="bottom"/>
            <w:hideMark/>
          </w:tcPr>
          <w:p w14:paraId="276FDA88" w14:textId="77777777" w:rsidR="002A7AF7" w:rsidRPr="00BE20BD" w:rsidRDefault="002A7AF7" w:rsidP="002A7AF7">
            <w:pPr>
              <w:spacing w:line="240" w:lineRule="auto"/>
              <w:rPr>
                <w:rFonts w:ascii="Times New Roman" w:eastAsia="Times New Roman" w:hAnsi="Times New Roman"/>
                <w:sz w:val="20"/>
                <w:lang w:val="en-US" w:eastAsia="de-CH"/>
              </w:rPr>
            </w:pPr>
          </w:p>
        </w:tc>
        <w:tc>
          <w:tcPr>
            <w:tcW w:w="567" w:type="dxa"/>
            <w:tcBorders>
              <w:top w:val="nil"/>
              <w:left w:val="nil"/>
              <w:bottom w:val="nil"/>
              <w:right w:val="nil"/>
            </w:tcBorders>
            <w:shd w:val="clear" w:color="auto" w:fill="auto"/>
            <w:noWrap/>
            <w:vAlign w:val="bottom"/>
            <w:hideMark/>
          </w:tcPr>
          <w:p w14:paraId="091F5832" w14:textId="77777777" w:rsidR="002A7AF7" w:rsidRPr="00BE20BD" w:rsidRDefault="002A7AF7" w:rsidP="002A7AF7">
            <w:pPr>
              <w:spacing w:line="240" w:lineRule="auto"/>
              <w:rPr>
                <w:rFonts w:ascii="Times New Roman" w:eastAsia="Times New Roman" w:hAnsi="Times New Roman"/>
                <w:sz w:val="20"/>
                <w:lang w:val="en-US" w:eastAsia="de-CH"/>
              </w:rPr>
            </w:pPr>
          </w:p>
        </w:tc>
      </w:tr>
      <w:tr w:rsidR="002A7AF7" w:rsidRPr="00BE20BD" w14:paraId="122E2DCE" w14:textId="77777777" w:rsidTr="00325292">
        <w:trPr>
          <w:trHeight w:val="241"/>
        </w:trPr>
        <w:tc>
          <w:tcPr>
            <w:tcW w:w="2886" w:type="dxa"/>
            <w:tcBorders>
              <w:top w:val="nil"/>
              <w:left w:val="nil"/>
              <w:bottom w:val="nil"/>
              <w:right w:val="nil"/>
            </w:tcBorders>
            <w:shd w:val="clear" w:color="000000" w:fill="D9D9D9"/>
            <w:noWrap/>
            <w:vAlign w:val="bottom"/>
            <w:hideMark/>
          </w:tcPr>
          <w:p w14:paraId="4FB28B8D" w14:textId="77777777" w:rsidR="002A7AF7" w:rsidRPr="00BE20BD" w:rsidRDefault="002A7AF7" w:rsidP="002A7AF7">
            <w:pPr>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Risk-</w:t>
            </w:r>
            <w:proofErr w:type="spellStart"/>
            <w:r w:rsidRPr="00BE20BD">
              <w:rPr>
                <w:rFonts w:eastAsia="Times New Roman" w:cs="Arial"/>
                <w:color w:val="000000"/>
                <w:sz w:val="16"/>
                <w:szCs w:val="16"/>
                <w:lang w:val="de-CH" w:eastAsia="de-CH"/>
              </w:rPr>
              <w:t>bearing</w:t>
            </w:r>
            <w:proofErr w:type="spellEnd"/>
            <w:r w:rsidRPr="00BE20BD">
              <w:rPr>
                <w:rFonts w:eastAsia="Times New Roman" w:cs="Arial"/>
                <w:color w:val="000000"/>
                <w:sz w:val="16"/>
                <w:szCs w:val="16"/>
                <w:lang w:val="de-CH" w:eastAsia="de-CH"/>
              </w:rPr>
              <w:t xml:space="preserve"> </w:t>
            </w:r>
            <w:proofErr w:type="spellStart"/>
            <w:r w:rsidRPr="00BE20BD">
              <w:rPr>
                <w:rFonts w:eastAsia="Times New Roman" w:cs="Arial"/>
                <w:color w:val="000000"/>
                <w:sz w:val="16"/>
                <w:szCs w:val="16"/>
                <w:lang w:val="de-CH" w:eastAsia="de-CH"/>
              </w:rPr>
              <w:t>capital</w:t>
            </w:r>
            <w:proofErr w:type="spellEnd"/>
            <w:r w:rsidRPr="00BE20BD">
              <w:rPr>
                <w:rFonts w:eastAsia="Times New Roman" w:cs="Arial"/>
                <w:color w:val="000000"/>
                <w:sz w:val="16"/>
                <w:szCs w:val="16"/>
                <w:lang w:val="de-CH" w:eastAsia="de-CH"/>
              </w:rPr>
              <w:t xml:space="preserve"> (RBC)</w:t>
            </w:r>
          </w:p>
        </w:tc>
        <w:tc>
          <w:tcPr>
            <w:tcW w:w="196" w:type="dxa"/>
            <w:tcBorders>
              <w:top w:val="nil"/>
              <w:left w:val="nil"/>
              <w:bottom w:val="nil"/>
              <w:right w:val="nil"/>
            </w:tcBorders>
            <w:shd w:val="clear" w:color="000000" w:fill="FFFFFF"/>
            <w:noWrap/>
            <w:vAlign w:val="bottom"/>
            <w:hideMark/>
          </w:tcPr>
          <w:p w14:paraId="0FA06D41" w14:textId="77777777" w:rsidR="002A7AF7" w:rsidRPr="00BE20BD" w:rsidRDefault="002A7AF7" w:rsidP="002A7AF7">
            <w:pPr>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887" w:type="dxa"/>
            <w:tcBorders>
              <w:top w:val="nil"/>
              <w:left w:val="nil"/>
              <w:bottom w:val="nil"/>
              <w:right w:val="nil"/>
            </w:tcBorders>
            <w:shd w:val="clear" w:color="000000" w:fill="D9D9D9"/>
            <w:noWrap/>
            <w:vAlign w:val="bottom"/>
          </w:tcPr>
          <w:p w14:paraId="188BFF9A" w14:textId="410CFDAC" w:rsidR="002A7AF7" w:rsidRPr="00BE20BD" w:rsidRDefault="002A7AF7" w:rsidP="002A7AF7">
            <w:pPr>
              <w:spacing w:line="240" w:lineRule="auto"/>
              <w:jc w:val="right"/>
              <w:rPr>
                <w:rFonts w:eastAsia="Times New Roman" w:cs="Arial"/>
                <w:color w:val="000000"/>
                <w:sz w:val="16"/>
                <w:szCs w:val="16"/>
                <w:lang w:val="de-CH" w:eastAsia="de-CH"/>
              </w:rPr>
            </w:pPr>
          </w:p>
        </w:tc>
        <w:tc>
          <w:tcPr>
            <w:tcW w:w="523" w:type="dxa"/>
            <w:tcBorders>
              <w:top w:val="nil"/>
              <w:left w:val="nil"/>
              <w:bottom w:val="nil"/>
              <w:right w:val="nil"/>
            </w:tcBorders>
            <w:shd w:val="clear" w:color="000000" w:fill="FFFFFF"/>
            <w:noWrap/>
            <w:vAlign w:val="bottom"/>
          </w:tcPr>
          <w:p w14:paraId="4DD97822" w14:textId="060676EC" w:rsidR="002A7AF7" w:rsidRPr="00BE20BD" w:rsidRDefault="002A7AF7" w:rsidP="002A7AF7">
            <w:pPr>
              <w:spacing w:line="240" w:lineRule="auto"/>
              <w:jc w:val="right"/>
              <w:rPr>
                <w:rFonts w:eastAsia="Times New Roman" w:cs="Arial"/>
                <w:color w:val="000000"/>
                <w:sz w:val="12"/>
                <w:szCs w:val="12"/>
                <w:lang w:val="de-CH" w:eastAsia="de-CH"/>
              </w:rPr>
            </w:pPr>
          </w:p>
        </w:tc>
        <w:tc>
          <w:tcPr>
            <w:tcW w:w="185" w:type="dxa"/>
            <w:tcBorders>
              <w:top w:val="nil"/>
              <w:left w:val="nil"/>
              <w:bottom w:val="nil"/>
              <w:right w:val="nil"/>
            </w:tcBorders>
            <w:shd w:val="clear" w:color="000000" w:fill="FFFFFF"/>
            <w:noWrap/>
            <w:vAlign w:val="bottom"/>
          </w:tcPr>
          <w:p w14:paraId="2AE28B3E" w14:textId="638BD20F" w:rsidR="002A7AF7" w:rsidRPr="00BE20BD" w:rsidRDefault="002A7AF7" w:rsidP="002A7AF7">
            <w:pPr>
              <w:spacing w:line="240" w:lineRule="auto"/>
              <w:rPr>
                <w:rFonts w:eastAsia="Times New Roman" w:cs="Arial"/>
                <w:color w:val="000000"/>
                <w:sz w:val="16"/>
                <w:szCs w:val="16"/>
                <w:lang w:val="de-CH" w:eastAsia="de-CH"/>
              </w:rPr>
            </w:pPr>
          </w:p>
        </w:tc>
        <w:tc>
          <w:tcPr>
            <w:tcW w:w="723" w:type="dxa"/>
            <w:tcBorders>
              <w:top w:val="nil"/>
              <w:left w:val="nil"/>
              <w:bottom w:val="nil"/>
              <w:right w:val="nil"/>
            </w:tcBorders>
            <w:shd w:val="clear" w:color="000000" w:fill="D9D9D9"/>
            <w:noWrap/>
            <w:vAlign w:val="bottom"/>
          </w:tcPr>
          <w:p w14:paraId="500489A9" w14:textId="44CC0FED" w:rsidR="002A7AF7" w:rsidRPr="00BE20BD" w:rsidRDefault="002A7AF7" w:rsidP="002A7AF7">
            <w:pPr>
              <w:spacing w:line="240" w:lineRule="auto"/>
              <w:jc w:val="right"/>
              <w:rPr>
                <w:rFonts w:eastAsia="Times New Roman" w:cs="Arial"/>
                <w:color w:val="000000"/>
                <w:sz w:val="16"/>
                <w:szCs w:val="16"/>
                <w:lang w:val="de-CH" w:eastAsia="de-CH"/>
              </w:rPr>
            </w:pPr>
          </w:p>
        </w:tc>
        <w:tc>
          <w:tcPr>
            <w:tcW w:w="523" w:type="dxa"/>
            <w:tcBorders>
              <w:top w:val="nil"/>
              <w:left w:val="nil"/>
              <w:bottom w:val="nil"/>
              <w:right w:val="nil"/>
            </w:tcBorders>
            <w:shd w:val="clear" w:color="000000" w:fill="FFFFFF"/>
            <w:noWrap/>
            <w:vAlign w:val="bottom"/>
          </w:tcPr>
          <w:p w14:paraId="592204D1" w14:textId="395674D0" w:rsidR="002A7AF7" w:rsidRPr="00BE20BD" w:rsidRDefault="002A7AF7" w:rsidP="002A7AF7">
            <w:pPr>
              <w:spacing w:line="240" w:lineRule="auto"/>
              <w:jc w:val="right"/>
              <w:rPr>
                <w:rFonts w:eastAsia="Times New Roman" w:cs="Arial"/>
                <w:color w:val="000000"/>
                <w:sz w:val="12"/>
                <w:szCs w:val="12"/>
                <w:lang w:val="de-CH" w:eastAsia="de-CH"/>
              </w:rPr>
            </w:pPr>
          </w:p>
        </w:tc>
        <w:tc>
          <w:tcPr>
            <w:tcW w:w="232" w:type="dxa"/>
            <w:tcBorders>
              <w:top w:val="nil"/>
              <w:left w:val="nil"/>
              <w:bottom w:val="nil"/>
              <w:right w:val="nil"/>
            </w:tcBorders>
            <w:shd w:val="clear" w:color="000000" w:fill="FFFFFF"/>
            <w:noWrap/>
            <w:vAlign w:val="bottom"/>
          </w:tcPr>
          <w:p w14:paraId="091F9966" w14:textId="3C3ADDA9" w:rsidR="002A7AF7" w:rsidRPr="00BE20BD" w:rsidRDefault="002A7AF7" w:rsidP="002A7AF7">
            <w:pPr>
              <w:spacing w:line="240" w:lineRule="auto"/>
              <w:rPr>
                <w:rFonts w:eastAsia="Times New Roman" w:cs="Arial"/>
                <w:color w:val="000000"/>
                <w:sz w:val="16"/>
                <w:szCs w:val="16"/>
                <w:lang w:val="de-CH" w:eastAsia="de-CH"/>
              </w:rPr>
            </w:pPr>
          </w:p>
        </w:tc>
        <w:tc>
          <w:tcPr>
            <w:tcW w:w="618" w:type="dxa"/>
            <w:tcBorders>
              <w:top w:val="nil"/>
              <w:left w:val="nil"/>
              <w:bottom w:val="nil"/>
              <w:right w:val="nil"/>
            </w:tcBorders>
            <w:shd w:val="clear" w:color="000000" w:fill="D9D9D9"/>
            <w:noWrap/>
            <w:vAlign w:val="bottom"/>
          </w:tcPr>
          <w:p w14:paraId="1C4C9EDF" w14:textId="48A6A5FE" w:rsidR="002A7AF7" w:rsidRPr="00BE20BD" w:rsidRDefault="002A7AF7" w:rsidP="002A7AF7">
            <w:pPr>
              <w:spacing w:line="240" w:lineRule="auto"/>
              <w:jc w:val="right"/>
              <w:rPr>
                <w:rFonts w:eastAsia="Times New Roman" w:cs="Arial"/>
                <w:color w:val="000000"/>
                <w:sz w:val="16"/>
                <w:szCs w:val="16"/>
                <w:lang w:val="de-CH" w:eastAsia="de-CH"/>
              </w:rPr>
            </w:pPr>
          </w:p>
        </w:tc>
        <w:tc>
          <w:tcPr>
            <w:tcW w:w="505" w:type="dxa"/>
            <w:tcBorders>
              <w:top w:val="nil"/>
              <w:left w:val="nil"/>
              <w:bottom w:val="nil"/>
              <w:right w:val="nil"/>
            </w:tcBorders>
            <w:shd w:val="clear" w:color="000000" w:fill="FFFFFF"/>
            <w:noWrap/>
            <w:vAlign w:val="bottom"/>
          </w:tcPr>
          <w:p w14:paraId="4277890F" w14:textId="2122A1D1" w:rsidR="002A7AF7" w:rsidRPr="00BE20BD" w:rsidRDefault="002A7AF7" w:rsidP="002A7AF7">
            <w:pPr>
              <w:spacing w:line="240" w:lineRule="auto"/>
              <w:jc w:val="right"/>
              <w:rPr>
                <w:rFonts w:eastAsia="Times New Roman" w:cs="Arial"/>
                <w:color w:val="000000"/>
                <w:sz w:val="12"/>
                <w:szCs w:val="12"/>
                <w:lang w:val="de-CH" w:eastAsia="de-CH"/>
              </w:rPr>
            </w:pPr>
          </w:p>
        </w:tc>
        <w:tc>
          <w:tcPr>
            <w:tcW w:w="359" w:type="dxa"/>
            <w:tcBorders>
              <w:top w:val="nil"/>
              <w:left w:val="nil"/>
              <w:bottom w:val="nil"/>
              <w:right w:val="nil"/>
            </w:tcBorders>
            <w:shd w:val="clear" w:color="000000" w:fill="FFFFFF"/>
            <w:noWrap/>
            <w:vAlign w:val="bottom"/>
          </w:tcPr>
          <w:p w14:paraId="7ED1D931" w14:textId="5500F778" w:rsidR="002A7AF7" w:rsidRPr="00BE20BD" w:rsidRDefault="002A7AF7" w:rsidP="002A7AF7">
            <w:pPr>
              <w:spacing w:line="240" w:lineRule="auto"/>
              <w:rPr>
                <w:rFonts w:eastAsia="Times New Roman" w:cs="Arial"/>
                <w:color w:val="000000"/>
                <w:sz w:val="16"/>
                <w:szCs w:val="16"/>
                <w:lang w:val="de-CH" w:eastAsia="de-CH"/>
              </w:rPr>
            </w:pPr>
          </w:p>
        </w:tc>
        <w:tc>
          <w:tcPr>
            <w:tcW w:w="913" w:type="dxa"/>
            <w:tcBorders>
              <w:top w:val="nil"/>
              <w:left w:val="nil"/>
              <w:bottom w:val="nil"/>
              <w:right w:val="nil"/>
            </w:tcBorders>
            <w:shd w:val="clear" w:color="000000" w:fill="D9D9D9"/>
            <w:noWrap/>
            <w:vAlign w:val="bottom"/>
          </w:tcPr>
          <w:p w14:paraId="53861759" w14:textId="48934669" w:rsidR="002A7AF7" w:rsidRPr="00BE20BD" w:rsidRDefault="002A7AF7" w:rsidP="002A7AF7">
            <w:pPr>
              <w:spacing w:line="240" w:lineRule="auto"/>
              <w:jc w:val="right"/>
              <w:rPr>
                <w:rFonts w:eastAsia="Times New Roman" w:cs="Arial"/>
                <w:color w:val="000000"/>
                <w:sz w:val="16"/>
                <w:szCs w:val="16"/>
                <w:lang w:val="de-CH" w:eastAsia="de-CH"/>
              </w:rPr>
            </w:pPr>
          </w:p>
        </w:tc>
        <w:tc>
          <w:tcPr>
            <w:tcW w:w="787" w:type="dxa"/>
            <w:tcBorders>
              <w:top w:val="nil"/>
              <w:left w:val="nil"/>
              <w:bottom w:val="nil"/>
              <w:right w:val="nil"/>
            </w:tcBorders>
            <w:shd w:val="clear" w:color="000000" w:fill="D9D9D9"/>
            <w:noWrap/>
            <w:vAlign w:val="bottom"/>
          </w:tcPr>
          <w:p w14:paraId="5A3A968F" w14:textId="3CE56CFF" w:rsidR="002A7AF7" w:rsidRPr="00BE20BD" w:rsidRDefault="002A7AF7" w:rsidP="002A7AF7">
            <w:pPr>
              <w:spacing w:line="240" w:lineRule="auto"/>
              <w:jc w:val="right"/>
              <w:rPr>
                <w:rFonts w:eastAsia="Times New Roman" w:cs="Arial"/>
                <w:color w:val="000000"/>
                <w:sz w:val="16"/>
                <w:szCs w:val="16"/>
                <w:lang w:val="de-CH" w:eastAsia="de-CH"/>
              </w:rPr>
            </w:pPr>
          </w:p>
        </w:tc>
        <w:tc>
          <w:tcPr>
            <w:tcW w:w="567" w:type="dxa"/>
            <w:tcBorders>
              <w:top w:val="nil"/>
              <w:left w:val="nil"/>
              <w:bottom w:val="nil"/>
              <w:right w:val="nil"/>
            </w:tcBorders>
            <w:shd w:val="clear" w:color="000000" w:fill="D9D9D9"/>
            <w:noWrap/>
            <w:vAlign w:val="bottom"/>
          </w:tcPr>
          <w:p w14:paraId="14AED500" w14:textId="020CB76C" w:rsidR="002A7AF7" w:rsidRPr="00BE20BD" w:rsidRDefault="002A7AF7" w:rsidP="002A7AF7">
            <w:pPr>
              <w:spacing w:line="240" w:lineRule="auto"/>
              <w:jc w:val="right"/>
              <w:rPr>
                <w:rFonts w:eastAsia="Times New Roman" w:cs="Arial"/>
                <w:color w:val="000000"/>
                <w:sz w:val="16"/>
                <w:szCs w:val="16"/>
                <w:lang w:val="de-CH" w:eastAsia="de-CH"/>
              </w:rPr>
            </w:pPr>
          </w:p>
        </w:tc>
      </w:tr>
      <w:tr w:rsidR="002A7AF7" w:rsidRPr="00BE20BD" w14:paraId="24ACC533" w14:textId="77777777" w:rsidTr="00325292">
        <w:trPr>
          <w:trHeight w:val="241"/>
        </w:trPr>
        <w:tc>
          <w:tcPr>
            <w:tcW w:w="2886" w:type="dxa"/>
            <w:tcBorders>
              <w:top w:val="nil"/>
              <w:left w:val="nil"/>
              <w:bottom w:val="nil"/>
              <w:right w:val="nil"/>
            </w:tcBorders>
            <w:shd w:val="clear" w:color="000000" w:fill="F2F2F2"/>
            <w:noWrap/>
            <w:vAlign w:val="bottom"/>
            <w:hideMark/>
          </w:tcPr>
          <w:p w14:paraId="109FF249" w14:textId="6ED9FD19" w:rsidR="002A7AF7" w:rsidRPr="00BE20BD" w:rsidRDefault="002A7AF7" w:rsidP="002A7AF7">
            <w:pPr>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xml:space="preserve"> Market</w:t>
            </w:r>
            <w:r w:rsidR="002502C1" w:rsidRPr="00BE20BD">
              <w:rPr>
                <w:rFonts w:eastAsia="Times New Roman" w:cs="Arial"/>
                <w:color w:val="000000"/>
                <w:sz w:val="16"/>
                <w:szCs w:val="16"/>
                <w:lang w:val="en-US" w:eastAsia="de-CH"/>
              </w:rPr>
              <w:t xml:space="preserve"> </w:t>
            </w:r>
            <w:proofErr w:type="gramStart"/>
            <w:r w:rsidRPr="00BE20BD">
              <w:rPr>
                <w:rFonts w:eastAsia="Times New Roman" w:cs="Arial"/>
                <w:color w:val="000000"/>
                <w:sz w:val="16"/>
                <w:szCs w:val="16"/>
                <w:lang w:val="en-US" w:eastAsia="de-CH"/>
              </w:rPr>
              <w:t>con</w:t>
            </w:r>
            <w:r w:rsidR="009777F3" w:rsidRPr="00BE20BD">
              <w:rPr>
                <w:rFonts w:eastAsia="Times New Roman" w:cs="Arial"/>
                <w:color w:val="000000"/>
                <w:sz w:val="16"/>
                <w:szCs w:val="16"/>
                <w:lang w:val="en-US" w:eastAsia="de-CH"/>
              </w:rPr>
              <w:t>form</w:t>
            </w:r>
            <w:proofErr w:type="gramEnd"/>
            <w:r w:rsidRPr="00BE20BD">
              <w:rPr>
                <w:rFonts w:eastAsia="Times New Roman" w:cs="Arial"/>
                <w:color w:val="000000"/>
                <w:sz w:val="16"/>
                <w:szCs w:val="16"/>
                <w:lang w:val="en-US" w:eastAsia="de-CH"/>
              </w:rPr>
              <w:t xml:space="preserve"> value of assets</w:t>
            </w:r>
          </w:p>
        </w:tc>
        <w:tc>
          <w:tcPr>
            <w:tcW w:w="196" w:type="dxa"/>
            <w:tcBorders>
              <w:top w:val="nil"/>
              <w:left w:val="nil"/>
              <w:bottom w:val="nil"/>
              <w:right w:val="nil"/>
            </w:tcBorders>
            <w:shd w:val="clear" w:color="000000" w:fill="FFFFFF"/>
            <w:noWrap/>
            <w:vAlign w:val="bottom"/>
            <w:hideMark/>
          </w:tcPr>
          <w:p w14:paraId="631E81B5" w14:textId="77777777" w:rsidR="002A7AF7" w:rsidRPr="00BE20BD" w:rsidRDefault="002A7AF7" w:rsidP="002A7AF7">
            <w:pPr>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887" w:type="dxa"/>
            <w:tcBorders>
              <w:top w:val="nil"/>
              <w:left w:val="nil"/>
              <w:bottom w:val="nil"/>
              <w:right w:val="nil"/>
            </w:tcBorders>
            <w:shd w:val="clear" w:color="000000" w:fill="F2F2F2"/>
            <w:noWrap/>
            <w:vAlign w:val="bottom"/>
          </w:tcPr>
          <w:p w14:paraId="2462D685" w14:textId="7CC37BA1" w:rsidR="002A7AF7" w:rsidRPr="00BE20BD" w:rsidRDefault="002A7AF7" w:rsidP="002A7AF7">
            <w:pPr>
              <w:spacing w:line="240" w:lineRule="auto"/>
              <w:jc w:val="right"/>
              <w:rPr>
                <w:rFonts w:eastAsia="Times New Roman" w:cs="Arial"/>
                <w:color w:val="000000"/>
                <w:sz w:val="16"/>
                <w:szCs w:val="16"/>
                <w:lang w:val="en-US" w:eastAsia="de-CH"/>
              </w:rPr>
            </w:pPr>
          </w:p>
        </w:tc>
        <w:tc>
          <w:tcPr>
            <w:tcW w:w="523" w:type="dxa"/>
            <w:tcBorders>
              <w:top w:val="nil"/>
              <w:left w:val="nil"/>
              <w:bottom w:val="nil"/>
              <w:right w:val="nil"/>
            </w:tcBorders>
            <w:shd w:val="clear" w:color="000000" w:fill="FFFFFF"/>
            <w:noWrap/>
            <w:vAlign w:val="bottom"/>
          </w:tcPr>
          <w:p w14:paraId="7ECC7704" w14:textId="647F2536" w:rsidR="002A7AF7" w:rsidRPr="00BE20BD" w:rsidRDefault="002A7AF7" w:rsidP="002A7AF7">
            <w:pPr>
              <w:spacing w:line="240" w:lineRule="auto"/>
              <w:jc w:val="right"/>
              <w:rPr>
                <w:rFonts w:eastAsia="Times New Roman" w:cs="Arial"/>
                <w:color w:val="000000"/>
                <w:sz w:val="12"/>
                <w:szCs w:val="12"/>
                <w:lang w:val="en-US" w:eastAsia="de-CH"/>
              </w:rPr>
            </w:pPr>
          </w:p>
        </w:tc>
        <w:tc>
          <w:tcPr>
            <w:tcW w:w="185" w:type="dxa"/>
            <w:tcBorders>
              <w:top w:val="nil"/>
              <w:left w:val="nil"/>
              <w:bottom w:val="nil"/>
              <w:right w:val="nil"/>
            </w:tcBorders>
            <w:shd w:val="clear" w:color="000000" w:fill="FFFFFF"/>
            <w:noWrap/>
            <w:vAlign w:val="bottom"/>
          </w:tcPr>
          <w:p w14:paraId="04FED855" w14:textId="7DB00365" w:rsidR="002A7AF7" w:rsidRPr="00BE20BD" w:rsidRDefault="002A7AF7" w:rsidP="002A7AF7">
            <w:pPr>
              <w:spacing w:line="240" w:lineRule="auto"/>
              <w:rPr>
                <w:rFonts w:eastAsia="Times New Roman" w:cs="Arial"/>
                <w:color w:val="000000"/>
                <w:sz w:val="16"/>
                <w:szCs w:val="16"/>
                <w:lang w:val="en-US" w:eastAsia="de-CH"/>
              </w:rPr>
            </w:pPr>
          </w:p>
        </w:tc>
        <w:tc>
          <w:tcPr>
            <w:tcW w:w="723" w:type="dxa"/>
            <w:tcBorders>
              <w:top w:val="nil"/>
              <w:left w:val="nil"/>
              <w:bottom w:val="nil"/>
              <w:right w:val="nil"/>
            </w:tcBorders>
            <w:shd w:val="clear" w:color="000000" w:fill="F2F2F2"/>
            <w:noWrap/>
            <w:vAlign w:val="bottom"/>
          </w:tcPr>
          <w:p w14:paraId="3FBDDC5E" w14:textId="345A0CF6" w:rsidR="002A7AF7" w:rsidRPr="00BE20BD" w:rsidRDefault="002A7AF7" w:rsidP="002A7AF7">
            <w:pPr>
              <w:spacing w:line="240" w:lineRule="auto"/>
              <w:jc w:val="right"/>
              <w:rPr>
                <w:rFonts w:eastAsia="Times New Roman" w:cs="Arial"/>
                <w:color w:val="000000"/>
                <w:sz w:val="16"/>
                <w:szCs w:val="16"/>
                <w:lang w:val="en-US" w:eastAsia="de-CH"/>
              </w:rPr>
            </w:pPr>
          </w:p>
        </w:tc>
        <w:tc>
          <w:tcPr>
            <w:tcW w:w="523" w:type="dxa"/>
            <w:tcBorders>
              <w:top w:val="nil"/>
              <w:left w:val="nil"/>
              <w:bottom w:val="nil"/>
              <w:right w:val="nil"/>
            </w:tcBorders>
            <w:shd w:val="clear" w:color="000000" w:fill="FFFFFF"/>
            <w:noWrap/>
            <w:vAlign w:val="bottom"/>
          </w:tcPr>
          <w:p w14:paraId="71BBD16B" w14:textId="548CB073" w:rsidR="002A7AF7" w:rsidRPr="00BE20BD" w:rsidRDefault="002A7AF7" w:rsidP="002A7AF7">
            <w:pPr>
              <w:spacing w:line="240" w:lineRule="auto"/>
              <w:jc w:val="right"/>
              <w:rPr>
                <w:rFonts w:eastAsia="Times New Roman" w:cs="Arial"/>
                <w:color w:val="000000"/>
                <w:sz w:val="12"/>
                <w:szCs w:val="12"/>
                <w:lang w:val="en-US" w:eastAsia="de-CH"/>
              </w:rPr>
            </w:pPr>
          </w:p>
        </w:tc>
        <w:tc>
          <w:tcPr>
            <w:tcW w:w="232" w:type="dxa"/>
            <w:tcBorders>
              <w:top w:val="nil"/>
              <w:left w:val="nil"/>
              <w:bottom w:val="nil"/>
              <w:right w:val="nil"/>
            </w:tcBorders>
            <w:shd w:val="clear" w:color="000000" w:fill="FFFFFF"/>
            <w:noWrap/>
            <w:vAlign w:val="bottom"/>
          </w:tcPr>
          <w:p w14:paraId="4D5DFCD1" w14:textId="05A2E08A" w:rsidR="002A7AF7" w:rsidRPr="00BE20BD" w:rsidRDefault="002A7AF7" w:rsidP="002A7AF7">
            <w:pPr>
              <w:spacing w:line="240" w:lineRule="auto"/>
              <w:rPr>
                <w:rFonts w:eastAsia="Times New Roman" w:cs="Arial"/>
                <w:color w:val="000000"/>
                <w:sz w:val="16"/>
                <w:szCs w:val="16"/>
                <w:lang w:val="en-US" w:eastAsia="de-CH"/>
              </w:rPr>
            </w:pPr>
          </w:p>
        </w:tc>
        <w:tc>
          <w:tcPr>
            <w:tcW w:w="618" w:type="dxa"/>
            <w:tcBorders>
              <w:top w:val="nil"/>
              <w:left w:val="nil"/>
              <w:bottom w:val="nil"/>
              <w:right w:val="nil"/>
            </w:tcBorders>
            <w:shd w:val="clear" w:color="000000" w:fill="F2F2F2"/>
            <w:noWrap/>
            <w:vAlign w:val="bottom"/>
          </w:tcPr>
          <w:p w14:paraId="29B8BD03" w14:textId="2F1C8F4C" w:rsidR="002A7AF7" w:rsidRPr="00BE20BD" w:rsidRDefault="002A7AF7" w:rsidP="002A7AF7">
            <w:pPr>
              <w:spacing w:line="240" w:lineRule="auto"/>
              <w:jc w:val="right"/>
              <w:rPr>
                <w:rFonts w:eastAsia="Times New Roman" w:cs="Arial"/>
                <w:color w:val="000000"/>
                <w:sz w:val="16"/>
                <w:szCs w:val="16"/>
                <w:lang w:val="en-US" w:eastAsia="de-CH"/>
              </w:rPr>
            </w:pPr>
          </w:p>
        </w:tc>
        <w:tc>
          <w:tcPr>
            <w:tcW w:w="505" w:type="dxa"/>
            <w:tcBorders>
              <w:top w:val="nil"/>
              <w:left w:val="nil"/>
              <w:bottom w:val="nil"/>
              <w:right w:val="nil"/>
            </w:tcBorders>
            <w:shd w:val="clear" w:color="000000" w:fill="FFFFFF"/>
            <w:noWrap/>
            <w:vAlign w:val="bottom"/>
          </w:tcPr>
          <w:p w14:paraId="2F37E2D3" w14:textId="77CD82F0" w:rsidR="002A7AF7" w:rsidRPr="00BE20BD" w:rsidRDefault="002A7AF7" w:rsidP="002A7AF7">
            <w:pPr>
              <w:spacing w:line="240" w:lineRule="auto"/>
              <w:jc w:val="right"/>
              <w:rPr>
                <w:rFonts w:eastAsia="Times New Roman" w:cs="Arial"/>
                <w:color w:val="000000"/>
                <w:sz w:val="12"/>
                <w:szCs w:val="12"/>
                <w:lang w:val="en-US" w:eastAsia="de-CH"/>
              </w:rPr>
            </w:pPr>
          </w:p>
        </w:tc>
        <w:tc>
          <w:tcPr>
            <w:tcW w:w="359" w:type="dxa"/>
            <w:tcBorders>
              <w:top w:val="nil"/>
              <w:left w:val="nil"/>
              <w:bottom w:val="nil"/>
              <w:right w:val="nil"/>
            </w:tcBorders>
            <w:shd w:val="clear" w:color="000000" w:fill="FFFFFF"/>
            <w:noWrap/>
            <w:vAlign w:val="bottom"/>
          </w:tcPr>
          <w:p w14:paraId="0E057E1D" w14:textId="0124B201" w:rsidR="002A7AF7" w:rsidRPr="00BE20BD" w:rsidRDefault="002A7AF7" w:rsidP="002A7AF7">
            <w:pPr>
              <w:spacing w:line="240" w:lineRule="auto"/>
              <w:rPr>
                <w:rFonts w:eastAsia="Times New Roman" w:cs="Arial"/>
                <w:color w:val="000000"/>
                <w:sz w:val="16"/>
                <w:szCs w:val="16"/>
                <w:lang w:val="en-US" w:eastAsia="de-CH"/>
              </w:rPr>
            </w:pPr>
          </w:p>
        </w:tc>
        <w:tc>
          <w:tcPr>
            <w:tcW w:w="913" w:type="dxa"/>
            <w:tcBorders>
              <w:top w:val="nil"/>
              <w:left w:val="nil"/>
              <w:bottom w:val="nil"/>
              <w:right w:val="nil"/>
            </w:tcBorders>
            <w:shd w:val="clear" w:color="000000" w:fill="F2F2F2"/>
            <w:noWrap/>
            <w:vAlign w:val="bottom"/>
          </w:tcPr>
          <w:p w14:paraId="03C3E0A0" w14:textId="645A8EC9" w:rsidR="002A7AF7" w:rsidRPr="00BE20BD" w:rsidRDefault="002A7AF7" w:rsidP="002A7AF7">
            <w:pPr>
              <w:spacing w:line="240" w:lineRule="auto"/>
              <w:jc w:val="right"/>
              <w:rPr>
                <w:rFonts w:eastAsia="Times New Roman" w:cs="Arial"/>
                <w:color w:val="000000"/>
                <w:sz w:val="16"/>
                <w:szCs w:val="16"/>
                <w:lang w:val="en-US" w:eastAsia="de-CH"/>
              </w:rPr>
            </w:pPr>
          </w:p>
        </w:tc>
        <w:tc>
          <w:tcPr>
            <w:tcW w:w="787" w:type="dxa"/>
            <w:tcBorders>
              <w:top w:val="nil"/>
              <w:left w:val="nil"/>
              <w:bottom w:val="nil"/>
              <w:right w:val="nil"/>
            </w:tcBorders>
            <w:shd w:val="clear" w:color="000000" w:fill="F2F2F2"/>
            <w:noWrap/>
            <w:vAlign w:val="bottom"/>
          </w:tcPr>
          <w:p w14:paraId="0C8D158C" w14:textId="1FF7112C" w:rsidR="002A7AF7" w:rsidRPr="00BE20BD" w:rsidRDefault="002A7AF7" w:rsidP="002A7AF7">
            <w:pPr>
              <w:spacing w:line="240" w:lineRule="auto"/>
              <w:jc w:val="right"/>
              <w:rPr>
                <w:rFonts w:eastAsia="Times New Roman" w:cs="Arial"/>
                <w:color w:val="000000"/>
                <w:sz w:val="16"/>
                <w:szCs w:val="16"/>
                <w:lang w:val="en-US" w:eastAsia="de-CH"/>
              </w:rPr>
            </w:pPr>
          </w:p>
        </w:tc>
        <w:tc>
          <w:tcPr>
            <w:tcW w:w="567" w:type="dxa"/>
            <w:tcBorders>
              <w:top w:val="nil"/>
              <w:left w:val="nil"/>
              <w:bottom w:val="nil"/>
              <w:right w:val="nil"/>
            </w:tcBorders>
            <w:shd w:val="clear" w:color="000000" w:fill="F2F2F2"/>
            <w:noWrap/>
            <w:vAlign w:val="bottom"/>
          </w:tcPr>
          <w:p w14:paraId="1B8050E9" w14:textId="5143E06B" w:rsidR="002A7AF7" w:rsidRPr="00BE20BD" w:rsidRDefault="002A7AF7" w:rsidP="002A7AF7">
            <w:pPr>
              <w:spacing w:line="240" w:lineRule="auto"/>
              <w:jc w:val="right"/>
              <w:rPr>
                <w:rFonts w:eastAsia="Times New Roman" w:cs="Arial"/>
                <w:color w:val="000000"/>
                <w:sz w:val="16"/>
                <w:szCs w:val="16"/>
                <w:lang w:val="en-US" w:eastAsia="de-CH"/>
              </w:rPr>
            </w:pPr>
          </w:p>
        </w:tc>
      </w:tr>
      <w:tr w:rsidR="00D20CC7" w:rsidRPr="00BE20BD" w14:paraId="71629EC1" w14:textId="77777777" w:rsidTr="00D20CC7">
        <w:trPr>
          <w:trHeight w:val="241"/>
        </w:trPr>
        <w:tc>
          <w:tcPr>
            <w:tcW w:w="2886" w:type="dxa"/>
            <w:tcBorders>
              <w:top w:val="nil"/>
              <w:left w:val="nil"/>
              <w:bottom w:val="nil"/>
              <w:right w:val="nil"/>
            </w:tcBorders>
            <w:shd w:val="clear" w:color="auto" w:fill="F2F2F2" w:themeFill="background1" w:themeFillShade="F2"/>
            <w:noWrap/>
            <w:vAlign w:val="bottom"/>
            <w:hideMark/>
          </w:tcPr>
          <w:p w14:paraId="1316051B" w14:textId="124DE6EA" w:rsidR="00E71AA3" w:rsidRPr="00BE20BD" w:rsidRDefault="002A7AF7" w:rsidP="002A7AF7">
            <w:pPr>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en-US" w:eastAsia="de-CH"/>
              </w:rPr>
              <w:t xml:space="preserve"> </w:t>
            </w:r>
            <w:r w:rsidRPr="00BE20BD">
              <w:rPr>
                <w:rFonts w:eastAsia="Times New Roman" w:cs="Arial"/>
                <w:color w:val="000000"/>
                <w:sz w:val="16"/>
                <w:szCs w:val="16"/>
                <w:lang w:val="de-CH" w:eastAsia="de-CH"/>
              </w:rPr>
              <w:t xml:space="preserve">Total </w:t>
            </w:r>
            <w:proofErr w:type="spellStart"/>
            <w:r w:rsidRPr="00BE20BD">
              <w:rPr>
                <w:rFonts w:eastAsia="Times New Roman" w:cs="Arial"/>
                <w:color w:val="000000"/>
                <w:sz w:val="16"/>
                <w:szCs w:val="16"/>
                <w:lang w:val="de-CH" w:eastAsia="de-CH"/>
              </w:rPr>
              <w:t>liabilities</w:t>
            </w:r>
            <w:proofErr w:type="spellEnd"/>
          </w:p>
        </w:tc>
        <w:tc>
          <w:tcPr>
            <w:tcW w:w="196" w:type="dxa"/>
            <w:tcBorders>
              <w:top w:val="nil"/>
              <w:left w:val="nil"/>
              <w:bottom w:val="nil"/>
              <w:right w:val="nil"/>
            </w:tcBorders>
            <w:shd w:val="clear" w:color="000000" w:fill="FFFFFF"/>
            <w:noWrap/>
            <w:vAlign w:val="bottom"/>
            <w:hideMark/>
          </w:tcPr>
          <w:p w14:paraId="4ECE8C8A" w14:textId="77777777" w:rsidR="002A7AF7" w:rsidRPr="00BE20BD" w:rsidRDefault="002A7AF7" w:rsidP="002A7AF7">
            <w:pPr>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887" w:type="dxa"/>
            <w:tcBorders>
              <w:top w:val="nil"/>
              <w:left w:val="nil"/>
              <w:bottom w:val="nil"/>
              <w:right w:val="nil"/>
            </w:tcBorders>
            <w:shd w:val="clear" w:color="auto" w:fill="F2F2F2" w:themeFill="background1" w:themeFillShade="F2"/>
            <w:noWrap/>
            <w:vAlign w:val="bottom"/>
          </w:tcPr>
          <w:p w14:paraId="64F258A8" w14:textId="74C93F51" w:rsidR="002A7AF7" w:rsidRPr="00BE20BD" w:rsidRDefault="002A7AF7" w:rsidP="002A7AF7">
            <w:pPr>
              <w:spacing w:line="240" w:lineRule="auto"/>
              <w:jc w:val="right"/>
              <w:rPr>
                <w:rFonts w:eastAsia="Times New Roman" w:cs="Arial"/>
                <w:color w:val="000000"/>
                <w:sz w:val="16"/>
                <w:szCs w:val="16"/>
                <w:lang w:val="de-CH" w:eastAsia="de-CH"/>
              </w:rPr>
            </w:pPr>
          </w:p>
        </w:tc>
        <w:tc>
          <w:tcPr>
            <w:tcW w:w="523" w:type="dxa"/>
            <w:tcBorders>
              <w:top w:val="nil"/>
              <w:left w:val="nil"/>
              <w:bottom w:val="nil"/>
              <w:right w:val="nil"/>
            </w:tcBorders>
            <w:shd w:val="clear" w:color="auto" w:fill="FFFFFF" w:themeFill="background1"/>
            <w:noWrap/>
            <w:vAlign w:val="bottom"/>
          </w:tcPr>
          <w:p w14:paraId="40400CA8" w14:textId="04A97A66" w:rsidR="002A7AF7" w:rsidRPr="00BE20BD" w:rsidRDefault="002A7AF7" w:rsidP="002A7AF7">
            <w:pPr>
              <w:spacing w:line="240" w:lineRule="auto"/>
              <w:jc w:val="right"/>
              <w:rPr>
                <w:rFonts w:eastAsia="Times New Roman" w:cs="Arial"/>
                <w:color w:val="000000"/>
                <w:sz w:val="12"/>
                <w:szCs w:val="12"/>
                <w:lang w:val="de-CH" w:eastAsia="de-CH"/>
              </w:rPr>
            </w:pPr>
          </w:p>
        </w:tc>
        <w:tc>
          <w:tcPr>
            <w:tcW w:w="185" w:type="dxa"/>
            <w:tcBorders>
              <w:top w:val="nil"/>
              <w:left w:val="nil"/>
              <w:bottom w:val="nil"/>
              <w:right w:val="nil"/>
            </w:tcBorders>
            <w:shd w:val="clear" w:color="auto" w:fill="FFFFFF" w:themeFill="background1"/>
            <w:noWrap/>
            <w:vAlign w:val="bottom"/>
          </w:tcPr>
          <w:p w14:paraId="74326AE2" w14:textId="06E7C627" w:rsidR="002A7AF7" w:rsidRPr="00BE20BD" w:rsidRDefault="002A7AF7" w:rsidP="002A7AF7">
            <w:pPr>
              <w:spacing w:line="240" w:lineRule="auto"/>
              <w:rPr>
                <w:rFonts w:eastAsia="Times New Roman" w:cs="Arial"/>
                <w:color w:val="000000"/>
                <w:sz w:val="16"/>
                <w:szCs w:val="16"/>
                <w:lang w:val="de-CH" w:eastAsia="de-CH"/>
              </w:rPr>
            </w:pPr>
          </w:p>
        </w:tc>
        <w:tc>
          <w:tcPr>
            <w:tcW w:w="723" w:type="dxa"/>
            <w:tcBorders>
              <w:top w:val="nil"/>
              <w:left w:val="nil"/>
              <w:bottom w:val="nil"/>
              <w:right w:val="nil"/>
            </w:tcBorders>
            <w:shd w:val="clear" w:color="auto" w:fill="F2F2F2" w:themeFill="background1" w:themeFillShade="F2"/>
            <w:noWrap/>
            <w:vAlign w:val="bottom"/>
          </w:tcPr>
          <w:p w14:paraId="4D3B68D8" w14:textId="5D7259B1" w:rsidR="002A7AF7" w:rsidRPr="00BE20BD" w:rsidRDefault="002A7AF7" w:rsidP="002A7AF7">
            <w:pPr>
              <w:spacing w:line="240" w:lineRule="auto"/>
              <w:jc w:val="right"/>
              <w:rPr>
                <w:rFonts w:eastAsia="Times New Roman" w:cs="Arial"/>
                <w:color w:val="000000"/>
                <w:sz w:val="16"/>
                <w:szCs w:val="16"/>
                <w:lang w:val="de-CH" w:eastAsia="de-CH"/>
              </w:rPr>
            </w:pPr>
          </w:p>
        </w:tc>
        <w:tc>
          <w:tcPr>
            <w:tcW w:w="523" w:type="dxa"/>
            <w:tcBorders>
              <w:top w:val="nil"/>
              <w:left w:val="nil"/>
              <w:bottom w:val="nil"/>
              <w:right w:val="nil"/>
            </w:tcBorders>
            <w:shd w:val="clear" w:color="auto" w:fill="FFFFFF" w:themeFill="background1"/>
            <w:noWrap/>
            <w:vAlign w:val="bottom"/>
          </w:tcPr>
          <w:p w14:paraId="7B321356" w14:textId="5E28C74A" w:rsidR="002A7AF7" w:rsidRPr="00BE20BD" w:rsidRDefault="002A7AF7" w:rsidP="002A7AF7">
            <w:pPr>
              <w:spacing w:line="240" w:lineRule="auto"/>
              <w:jc w:val="right"/>
              <w:rPr>
                <w:rFonts w:eastAsia="Times New Roman" w:cs="Arial"/>
                <w:color w:val="000000"/>
                <w:sz w:val="12"/>
                <w:szCs w:val="12"/>
                <w:lang w:val="de-CH" w:eastAsia="de-CH"/>
              </w:rPr>
            </w:pPr>
          </w:p>
        </w:tc>
        <w:tc>
          <w:tcPr>
            <w:tcW w:w="232" w:type="dxa"/>
            <w:tcBorders>
              <w:top w:val="nil"/>
              <w:left w:val="nil"/>
              <w:bottom w:val="nil"/>
              <w:right w:val="nil"/>
            </w:tcBorders>
            <w:shd w:val="clear" w:color="auto" w:fill="FFFFFF" w:themeFill="background1"/>
            <w:noWrap/>
            <w:vAlign w:val="bottom"/>
          </w:tcPr>
          <w:p w14:paraId="4B1CC786" w14:textId="74D9AF58" w:rsidR="002A7AF7" w:rsidRPr="00BE20BD" w:rsidRDefault="002A7AF7" w:rsidP="002A7AF7">
            <w:pPr>
              <w:spacing w:line="240" w:lineRule="auto"/>
              <w:rPr>
                <w:rFonts w:eastAsia="Times New Roman" w:cs="Arial"/>
                <w:color w:val="000000"/>
                <w:sz w:val="16"/>
                <w:szCs w:val="16"/>
                <w:lang w:val="de-CH" w:eastAsia="de-CH"/>
              </w:rPr>
            </w:pPr>
          </w:p>
        </w:tc>
        <w:tc>
          <w:tcPr>
            <w:tcW w:w="618" w:type="dxa"/>
            <w:tcBorders>
              <w:top w:val="nil"/>
              <w:left w:val="nil"/>
              <w:bottom w:val="nil"/>
              <w:right w:val="nil"/>
            </w:tcBorders>
            <w:shd w:val="clear" w:color="auto" w:fill="F2F2F2" w:themeFill="background1" w:themeFillShade="F2"/>
            <w:noWrap/>
            <w:vAlign w:val="bottom"/>
          </w:tcPr>
          <w:p w14:paraId="2A1F2E22" w14:textId="1979E883" w:rsidR="002A7AF7" w:rsidRPr="00BE20BD" w:rsidRDefault="002A7AF7" w:rsidP="002A7AF7">
            <w:pPr>
              <w:spacing w:line="240" w:lineRule="auto"/>
              <w:jc w:val="right"/>
              <w:rPr>
                <w:rFonts w:eastAsia="Times New Roman" w:cs="Arial"/>
                <w:color w:val="000000"/>
                <w:sz w:val="16"/>
                <w:szCs w:val="16"/>
                <w:lang w:val="de-CH" w:eastAsia="de-CH"/>
              </w:rPr>
            </w:pPr>
          </w:p>
        </w:tc>
        <w:tc>
          <w:tcPr>
            <w:tcW w:w="505" w:type="dxa"/>
            <w:tcBorders>
              <w:top w:val="nil"/>
              <w:left w:val="nil"/>
              <w:bottom w:val="nil"/>
              <w:right w:val="nil"/>
            </w:tcBorders>
            <w:shd w:val="clear" w:color="auto" w:fill="FFFFFF" w:themeFill="background1"/>
            <w:noWrap/>
            <w:vAlign w:val="bottom"/>
          </w:tcPr>
          <w:p w14:paraId="093988A6" w14:textId="7628E22E" w:rsidR="002A7AF7" w:rsidRPr="00BE20BD" w:rsidRDefault="002A7AF7" w:rsidP="002A7AF7">
            <w:pPr>
              <w:spacing w:line="240" w:lineRule="auto"/>
              <w:jc w:val="right"/>
              <w:rPr>
                <w:rFonts w:eastAsia="Times New Roman" w:cs="Arial"/>
                <w:color w:val="000000"/>
                <w:sz w:val="12"/>
                <w:szCs w:val="12"/>
                <w:lang w:val="de-CH" w:eastAsia="de-CH"/>
              </w:rPr>
            </w:pPr>
          </w:p>
        </w:tc>
        <w:tc>
          <w:tcPr>
            <w:tcW w:w="359" w:type="dxa"/>
            <w:tcBorders>
              <w:top w:val="nil"/>
              <w:left w:val="nil"/>
              <w:bottom w:val="nil"/>
              <w:right w:val="nil"/>
            </w:tcBorders>
            <w:shd w:val="clear" w:color="auto" w:fill="FFFFFF" w:themeFill="background1"/>
            <w:noWrap/>
            <w:vAlign w:val="bottom"/>
          </w:tcPr>
          <w:p w14:paraId="7F3C07EA" w14:textId="293F22DB" w:rsidR="002A7AF7" w:rsidRPr="00BE20BD" w:rsidRDefault="002A7AF7" w:rsidP="002A7AF7">
            <w:pPr>
              <w:spacing w:line="240" w:lineRule="auto"/>
              <w:rPr>
                <w:rFonts w:eastAsia="Times New Roman" w:cs="Arial"/>
                <w:color w:val="000000"/>
                <w:sz w:val="16"/>
                <w:szCs w:val="16"/>
                <w:lang w:val="de-CH" w:eastAsia="de-CH"/>
              </w:rPr>
            </w:pPr>
          </w:p>
        </w:tc>
        <w:tc>
          <w:tcPr>
            <w:tcW w:w="913" w:type="dxa"/>
            <w:tcBorders>
              <w:top w:val="nil"/>
              <w:left w:val="nil"/>
              <w:bottom w:val="nil"/>
              <w:right w:val="nil"/>
            </w:tcBorders>
            <w:shd w:val="clear" w:color="auto" w:fill="F2F2F2" w:themeFill="background1" w:themeFillShade="F2"/>
            <w:noWrap/>
            <w:vAlign w:val="bottom"/>
          </w:tcPr>
          <w:p w14:paraId="3D08A461" w14:textId="618793D4" w:rsidR="002A7AF7" w:rsidRPr="00BE20BD" w:rsidRDefault="002A7AF7" w:rsidP="002A7AF7">
            <w:pPr>
              <w:spacing w:line="240" w:lineRule="auto"/>
              <w:jc w:val="right"/>
              <w:rPr>
                <w:rFonts w:eastAsia="Times New Roman" w:cs="Arial"/>
                <w:color w:val="000000"/>
                <w:sz w:val="16"/>
                <w:szCs w:val="16"/>
                <w:lang w:val="de-CH" w:eastAsia="de-CH"/>
              </w:rPr>
            </w:pPr>
          </w:p>
        </w:tc>
        <w:tc>
          <w:tcPr>
            <w:tcW w:w="787" w:type="dxa"/>
            <w:tcBorders>
              <w:top w:val="nil"/>
              <w:left w:val="nil"/>
              <w:bottom w:val="nil"/>
              <w:right w:val="nil"/>
            </w:tcBorders>
            <w:shd w:val="clear" w:color="auto" w:fill="F2F2F2" w:themeFill="background1" w:themeFillShade="F2"/>
            <w:noWrap/>
            <w:vAlign w:val="bottom"/>
          </w:tcPr>
          <w:p w14:paraId="0F96E732" w14:textId="05A33727" w:rsidR="002A7AF7" w:rsidRPr="00BE20BD" w:rsidRDefault="002A7AF7" w:rsidP="002A7AF7">
            <w:pPr>
              <w:spacing w:line="240" w:lineRule="auto"/>
              <w:jc w:val="right"/>
              <w:rPr>
                <w:rFonts w:eastAsia="Times New Roman" w:cs="Arial"/>
                <w:color w:val="000000"/>
                <w:sz w:val="16"/>
                <w:szCs w:val="16"/>
                <w:lang w:val="de-CH" w:eastAsia="de-CH"/>
              </w:rPr>
            </w:pPr>
          </w:p>
        </w:tc>
        <w:tc>
          <w:tcPr>
            <w:tcW w:w="567" w:type="dxa"/>
            <w:tcBorders>
              <w:top w:val="nil"/>
              <w:left w:val="nil"/>
              <w:bottom w:val="nil"/>
              <w:right w:val="nil"/>
            </w:tcBorders>
            <w:shd w:val="clear" w:color="auto" w:fill="F2F2F2" w:themeFill="background1" w:themeFillShade="F2"/>
            <w:noWrap/>
            <w:vAlign w:val="bottom"/>
          </w:tcPr>
          <w:p w14:paraId="2B30275B" w14:textId="726AC8B8" w:rsidR="002A7AF7" w:rsidRPr="00BE20BD" w:rsidRDefault="002A7AF7" w:rsidP="002A7AF7">
            <w:pPr>
              <w:spacing w:line="240" w:lineRule="auto"/>
              <w:jc w:val="right"/>
              <w:rPr>
                <w:rFonts w:eastAsia="Times New Roman" w:cs="Arial"/>
                <w:color w:val="000000"/>
                <w:sz w:val="16"/>
                <w:szCs w:val="16"/>
                <w:lang w:val="de-CH" w:eastAsia="de-CH"/>
              </w:rPr>
            </w:pPr>
          </w:p>
        </w:tc>
      </w:tr>
      <w:tr w:rsidR="00E71AA3" w:rsidRPr="00BE20BD" w14:paraId="14618565" w14:textId="77777777" w:rsidTr="00325292">
        <w:trPr>
          <w:trHeight w:val="241"/>
        </w:trPr>
        <w:tc>
          <w:tcPr>
            <w:tcW w:w="2886" w:type="dxa"/>
            <w:tcBorders>
              <w:top w:val="nil"/>
              <w:left w:val="nil"/>
              <w:bottom w:val="nil"/>
              <w:right w:val="nil"/>
            </w:tcBorders>
            <w:shd w:val="clear" w:color="000000" w:fill="FFFFFF"/>
            <w:noWrap/>
            <w:vAlign w:val="bottom"/>
          </w:tcPr>
          <w:p w14:paraId="2BA24510" w14:textId="6922A5AA" w:rsidR="00E71AA3" w:rsidRPr="00BE20BD" w:rsidRDefault="00E71AA3" w:rsidP="002A7AF7">
            <w:pPr>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xml:space="preserve"> of which Market Value Margin</w:t>
            </w:r>
            <w:r w:rsidR="001E466C" w:rsidRPr="00BE20BD">
              <w:rPr>
                <w:rFonts w:eastAsia="Times New Roman" w:cs="Arial"/>
                <w:color w:val="000000"/>
                <w:sz w:val="16"/>
                <w:szCs w:val="16"/>
                <w:lang w:val="en-US" w:eastAsia="de-CH"/>
              </w:rPr>
              <w:t xml:space="preserve"> (MVM)</w:t>
            </w:r>
          </w:p>
        </w:tc>
        <w:tc>
          <w:tcPr>
            <w:tcW w:w="196" w:type="dxa"/>
            <w:tcBorders>
              <w:top w:val="nil"/>
              <w:left w:val="nil"/>
              <w:bottom w:val="nil"/>
              <w:right w:val="nil"/>
            </w:tcBorders>
            <w:shd w:val="clear" w:color="000000" w:fill="FFFFFF"/>
            <w:noWrap/>
            <w:vAlign w:val="bottom"/>
          </w:tcPr>
          <w:p w14:paraId="0B403528" w14:textId="77777777" w:rsidR="00E71AA3" w:rsidRPr="00BE20BD" w:rsidRDefault="00E71AA3" w:rsidP="002A7AF7">
            <w:pPr>
              <w:spacing w:line="240" w:lineRule="auto"/>
              <w:rPr>
                <w:rFonts w:eastAsia="Times New Roman" w:cs="Arial"/>
                <w:color w:val="000000"/>
                <w:sz w:val="16"/>
                <w:szCs w:val="16"/>
                <w:lang w:val="en-US" w:eastAsia="de-CH"/>
              </w:rPr>
            </w:pPr>
          </w:p>
        </w:tc>
        <w:tc>
          <w:tcPr>
            <w:tcW w:w="887" w:type="dxa"/>
            <w:tcBorders>
              <w:top w:val="nil"/>
              <w:left w:val="nil"/>
              <w:bottom w:val="nil"/>
              <w:right w:val="nil"/>
            </w:tcBorders>
            <w:shd w:val="clear" w:color="000000" w:fill="FFFFFF"/>
            <w:noWrap/>
            <w:vAlign w:val="bottom"/>
          </w:tcPr>
          <w:p w14:paraId="3943F7CE" w14:textId="77777777" w:rsidR="00E71AA3" w:rsidRPr="00BE20BD" w:rsidRDefault="00E71AA3" w:rsidP="002A7AF7">
            <w:pPr>
              <w:spacing w:line="240" w:lineRule="auto"/>
              <w:jc w:val="right"/>
              <w:rPr>
                <w:rFonts w:eastAsia="Times New Roman" w:cs="Arial"/>
                <w:color w:val="000000"/>
                <w:sz w:val="16"/>
                <w:szCs w:val="16"/>
                <w:lang w:val="en-US" w:eastAsia="de-CH"/>
              </w:rPr>
            </w:pPr>
          </w:p>
        </w:tc>
        <w:tc>
          <w:tcPr>
            <w:tcW w:w="523" w:type="dxa"/>
            <w:tcBorders>
              <w:top w:val="nil"/>
              <w:left w:val="nil"/>
              <w:bottom w:val="nil"/>
              <w:right w:val="nil"/>
            </w:tcBorders>
            <w:shd w:val="clear" w:color="000000" w:fill="FFFFFF"/>
            <w:noWrap/>
            <w:vAlign w:val="bottom"/>
          </w:tcPr>
          <w:p w14:paraId="7F865D1E" w14:textId="77777777" w:rsidR="00E71AA3" w:rsidRPr="00BE20BD" w:rsidRDefault="00E71AA3" w:rsidP="002A7AF7">
            <w:pPr>
              <w:spacing w:line="240" w:lineRule="auto"/>
              <w:jc w:val="right"/>
              <w:rPr>
                <w:rFonts w:eastAsia="Times New Roman" w:cs="Arial"/>
                <w:color w:val="000000"/>
                <w:sz w:val="12"/>
                <w:szCs w:val="12"/>
                <w:lang w:val="en-US" w:eastAsia="de-CH"/>
              </w:rPr>
            </w:pPr>
          </w:p>
        </w:tc>
        <w:tc>
          <w:tcPr>
            <w:tcW w:w="185" w:type="dxa"/>
            <w:tcBorders>
              <w:top w:val="nil"/>
              <w:left w:val="nil"/>
              <w:bottom w:val="nil"/>
              <w:right w:val="nil"/>
            </w:tcBorders>
            <w:shd w:val="clear" w:color="000000" w:fill="FFFFFF"/>
            <w:noWrap/>
            <w:vAlign w:val="bottom"/>
          </w:tcPr>
          <w:p w14:paraId="60AF4C72" w14:textId="77777777" w:rsidR="00E71AA3" w:rsidRPr="00BE20BD" w:rsidRDefault="00E71AA3" w:rsidP="002A7AF7">
            <w:pPr>
              <w:spacing w:line="240" w:lineRule="auto"/>
              <w:rPr>
                <w:rFonts w:eastAsia="Times New Roman" w:cs="Arial"/>
                <w:color w:val="000000"/>
                <w:sz w:val="16"/>
                <w:szCs w:val="16"/>
                <w:lang w:val="en-US" w:eastAsia="de-CH"/>
              </w:rPr>
            </w:pPr>
          </w:p>
        </w:tc>
        <w:tc>
          <w:tcPr>
            <w:tcW w:w="723" w:type="dxa"/>
            <w:tcBorders>
              <w:top w:val="nil"/>
              <w:left w:val="nil"/>
              <w:bottom w:val="nil"/>
              <w:right w:val="nil"/>
            </w:tcBorders>
            <w:shd w:val="clear" w:color="000000" w:fill="FFFFFF"/>
            <w:noWrap/>
            <w:vAlign w:val="bottom"/>
          </w:tcPr>
          <w:p w14:paraId="401497B1" w14:textId="77777777" w:rsidR="00E71AA3" w:rsidRPr="00BE20BD" w:rsidRDefault="00E71AA3" w:rsidP="002A7AF7">
            <w:pPr>
              <w:spacing w:line="240" w:lineRule="auto"/>
              <w:jc w:val="right"/>
              <w:rPr>
                <w:rFonts w:eastAsia="Times New Roman" w:cs="Arial"/>
                <w:color w:val="000000"/>
                <w:sz w:val="16"/>
                <w:szCs w:val="16"/>
                <w:lang w:val="en-US" w:eastAsia="de-CH"/>
              </w:rPr>
            </w:pPr>
          </w:p>
        </w:tc>
        <w:tc>
          <w:tcPr>
            <w:tcW w:w="523" w:type="dxa"/>
            <w:tcBorders>
              <w:top w:val="nil"/>
              <w:left w:val="nil"/>
              <w:bottom w:val="nil"/>
              <w:right w:val="nil"/>
            </w:tcBorders>
            <w:shd w:val="clear" w:color="000000" w:fill="FFFFFF"/>
            <w:noWrap/>
            <w:vAlign w:val="bottom"/>
          </w:tcPr>
          <w:p w14:paraId="710C38D0" w14:textId="77777777" w:rsidR="00E71AA3" w:rsidRPr="00BE20BD" w:rsidRDefault="00E71AA3" w:rsidP="002A7AF7">
            <w:pPr>
              <w:spacing w:line="240" w:lineRule="auto"/>
              <w:jc w:val="right"/>
              <w:rPr>
                <w:rFonts w:eastAsia="Times New Roman" w:cs="Arial"/>
                <w:color w:val="000000"/>
                <w:sz w:val="12"/>
                <w:szCs w:val="12"/>
                <w:lang w:val="en-US" w:eastAsia="de-CH"/>
              </w:rPr>
            </w:pPr>
          </w:p>
        </w:tc>
        <w:tc>
          <w:tcPr>
            <w:tcW w:w="232" w:type="dxa"/>
            <w:tcBorders>
              <w:top w:val="nil"/>
              <w:left w:val="nil"/>
              <w:bottom w:val="nil"/>
              <w:right w:val="nil"/>
            </w:tcBorders>
            <w:shd w:val="clear" w:color="000000" w:fill="FFFFFF"/>
            <w:noWrap/>
            <w:vAlign w:val="bottom"/>
          </w:tcPr>
          <w:p w14:paraId="7CEC89C1" w14:textId="77777777" w:rsidR="00E71AA3" w:rsidRPr="00BE20BD" w:rsidRDefault="00E71AA3" w:rsidP="002A7AF7">
            <w:pPr>
              <w:spacing w:line="240" w:lineRule="auto"/>
              <w:rPr>
                <w:rFonts w:eastAsia="Times New Roman" w:cs="Arial"/>
                <w:color w:val="000000"/>
                <w:sz w:val="16"/>
                <w:szCs w:val="16"/>
                <w:lang w:val="en-US" w:eastAsia="de-CH"/>
              </w:rPr>
            </w:pPr>
          </w:p>
        </w:tc>
        <w:tc>
          <w:tcPr>
            <w:tcW w:w="618" w:type="dxa"/>
            <w:tcBorders>
              <w:top w:val="nil"/>
              <w:left w:val="nil"/>
              <w:bottom w:val="nil"/>
              <w:right w:val="nil"/>
            </w:tcBorders>
            <w:shd w:val="clear" w:color="000000" w:fill="FFFFFF"/>
            <w:noWrap/>
            <w:vAlign w:val="bottom"/>
          </w:tcPr>
          <w:p w14:paraId="196DBD9B" w14:textId="77777777" w:rsidR="00E71AA3" w:rsidRPr="00BE20BD" w:rsidRDefault="00E71AA3" w:rsidP="002A7AF7">
            <w:pPr>
              <w:spacing w:line="240" w:lineRule="auto"/>
              <w:jc w:val="right"/>
              <w:rPr>
                <w:rFonts w:eastAsia="Times New Roman" w:cs="Arial"/>
                <w:color w:val="000000"/>
                <w:sz w:val="16"/>
                <w:szCs w:val="16"/>
                <w:lang w:val="en-US" w:eastAsia="de-CH"/>
              </w:rPr>
            </w:pPr>
          </w:p>
        </w:tc>
        <w:tc>
          <w:tcPr>
            <w:tcW w:w="505" w:type="dxa"/>
            <w:tcBorders>
              <w:top w:val="nil"/>
              <w:left w:val="nil"/>
              <w:bottom w:val="nil"/>
              <w:right w:val="nil"/>
            </w:tcBorders>
            <w:shd w:val="clear" w:color="000000" w:fill="FFFFFF"/>
            <w:noWrap/>
            <w:vAlign w:val="bottom"/>
          </w:tcPr>
          <w:p w14:paraId="220FACF7" w14:textId="77777777" w:rsidR="00E71AA3" w:rsidRPr="00BE20BD" w:rsidRDefault="00E71AA3" w:rsidP="002A7AF7">
            <w:pPr>
              <w:spacing w:line="240" w:lineRule="auto"/>
              <w:jc w:val="right"/>
              <w:rPr>
                <w:rFonts w:eastAsia="Times New Roman" w:cs="Arial"/>
                <w:color w:val="000000"/>
                <w:sz w:val="12"/>
                <w:szCs w:val="12"/>
                <w:lang w:val="en-US" w:eastAsia="de-CH"/>
              </w:rPr>
            </w:pPr>
          </w:p>
        </w:tc>
        <w:tc>
          <w:tcPr>
            <w:tcW w:w="359" w:type="dxa"/>
            <w:tcBorders>
              <w:top w:val="nil"/>
              <w:left w:val="nil"/>
              <w:bottom w:val="nil"/>
              <w:right w:val="nil"/>
            </w:tcBorders>
            <w:shd w:val="clear" w:color="000000" w:fill="FFFFFF"/>
            <w:noWrap/>
            <w:vAlign w:val="bottom"/>
          </w:tcPr>
          <w:p w14:paraId="4E6B4869" w14:textId="77777777" w:rsidR="00E71AA3" w:rsidRPr="00BE20BD" w:rsidRDefault="00E71AA3" w:rsidP="002A7AF7">
            <w:pPr>
              <w:spacing w:line="240" w:lineRule="auto"/>
              <w:rPr>
                <w:rFonts w:eastAsia="Times New Roman" w:cs="Arial"/>
                <w:color w:val="000000"/>
                <w:sz w:val="16"/>
                <w:szCs w:val="16"/>
                <w:lang w:val="en-US" w:eastAsia="de-CH"/>
              </w:rPr>
            </w:pPr>
          </w:p>
        </w:tc>
        <w:tc>
          <w:tcPr>
            <w:tcW w:w="913" w:type="dxa"/>
            <w:tcBorders>
              <w:top w:val="nil"/>
              <w:left w:val="nil"/>
              <w:bottom w:val="nil"/>
              <w:right w:val="nil"/>
            </w:tcBorders>
            <w:shd w:val="clear" w:color="000000" w:fill="FFFFFF"/>
            <w:noWrap/>
            <w:vAlign w:val="bottom"/>
          </w:tcPr>
          <w:p w14:paraId="04C5C555" w14:textId="77777777" w:rsidR="00E71AA3" w:rsidRPr="00BE20BD" w:rsidRDefault="00E71AA3" w:rsidP="002A7AF7">
            <w:pPr>
              <w:spacing w:line="240" w:lineRule="auto"/>
              <w:jc w:val="right"/>
              <w:rPr>
                <w:rFonts w:eastAsia="Times New Roman" w:cs="Arial"/>
                <w:color w:val="000000"/>
                <w:sz w:val="16"/>
                <w:szCs w:val="16"/>
                <w:lang w:val="en-US" w:eastAsia="de-CH"/>
              </w:rPr>
            </w:pPr>
          </w:p>
        </w:tc>
        <w:tc>
          <w:tcPr>
            <w:tcW w:w="787" w:type="dxa"/>
            <w:tcBorders>
              <w:top w:val="nil"/>
              <w:left w:val="nil"/>
              <w:bottom w:val="nil"/>
              <w:right w:val="nil"/>
            </w:tcBorders>
            <w:shd w:val="clear" w:color="000000" w:fill="FFFFFF"/>
            <w:noWrap/>
            <w:vAlign w:val="bottom"/>
          </w:tcPr>
          <w:p w14:paraId="322FF18C" w14:textId="77777777" w:rsidR="00E71AA3" w:rsidRPr="00BE20BD" w:rsidRDefault="00E71AA3" w:rsidP="002A7AF7">
            <w:pPr>
              <w:spacing w:line="240" w:lineRule="auto"/>
              <w:jc w:val="right"/>
              <w:rPr>
                <w:rFonts w:eastAsia="Times New Roman" w:cs="Arial"/>
                <w:color w:val="000000"/>
                <w:sz w:val="16"/>
                <w:szCs w:val="16"/>
                <w:lang w:val="en-US" w:eastAsia="de-CH"/>
              </w:rPr>
            </w:pPr>
          </w:p>
        </w:tc>
        <w:tc>
          <w:tcPr>
            <w:tcW w:w="567" w:type="dxa"/>
            <w:tcBorders>
              <w:top w:val="nil"/>
              <w:left w:val="nil"/>
              <w:bottom w:val="nil"/>
              <w:right w:val="nil"/>
            </w:tcBorders>
            <w:shd w:val="clear" w:color="000000" w:fill="FFFFFF"/>
            <w:noWrap/>
            <w:vAlign w:val="bottom"/>
          </w:tcPr>
          <w:p w14:paraId="74524D04" w14:textId="77777777" w:rsidR="00E71AA3" w:rsidRPr="00BE20BD" w:rsidRDefault="00E71AA3" w:rsidP="002A7AF7">
            <w:pPr>
              <w:spacing w:line="240" w:lineRule="auto"/>
              <w:jc w:val="right"/>
              <w:rPr>
                <w:rFonts w:eastAsia="Times New Roman" w:cs="Arial"/>
                <w:color w:val="000000"/>
                <w:sz w:val="16"/>
                <w:szCs w:val="16"/>
                <w:lang w:val="en-US" w:eastAsia="de-CH"/>
              </w:rPr>
            </w:pPr>
          </w:p>
        </w:tc>
      </w:tr>
      <w:tr w:rsidR="002A7AF7" w:rsidRPr="00BE20BD" w14:paraId="755DF433" w14:textId="77777777" w:rsidTr="00325292">
        <w:trPr>
          <w:trHeight w:val="241"/>
        </w:trPr>
        <w:tc>
          <w:tcPr>
            <w:tcW w:w="2886" w:type="dxa"/>
            <w:tcBorders>
              <w:top w:val="nil"/>
              <w:left w:val="nil"/>
              <w:bottom w:val="nil"/>
              <w:right w:val="nil"/>
            </w:tcBorders>
            <w:shd w:val="clear" w:color="000000" w:fill="F2F2F2"/>
            <w:noWrap/>
            <w:vAlign w:val="bottom"/>
            <w:hideMark/>
          </w:tcPr>
          <w:p w14:paraId="6F714400" w14:textId="21FD92B0" w:rsidR="002A7AF7" w:rsidRPr="00BE20BD" w:rsidRDefault="002A7AF7" w:rsidP="002A7AF7">
            <w:pPr>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xml:space="preserve"> Deductions</w:t>
            </w:r>
            <w:r w:rsidR="00331E6D" w:rsidRPr="00BE20BD">
              <w:rPr>
                <w:rFonts w:eastAsia="Times New Roman" w:cs="Arial"/>
                <w:color w:val="000000"/>
                <w:sz w:val="16"/>
                <w:szCs w:val="16"/>
                <w:lang w:val="en-US" w:eastAsia="de-CH"/>
              </w:rPr>
              <w:t xml:space="preserve"> and</w:t>
            </w:r>
            <w:r w:rsidR="002C158C" w:rsidRPr="00BE20BD">
              <w:rPr>
                <w:rFonts w:eastAsia="Times New Roman" w:cs="Arial"/>
                <w:color w:val="000000"/>
                <w:sz w:val="16"/>
                <w:szCs w:val="16"/>
                <w:lang w:val="en-US" w:eastAsia="de-CH"/>
              </w:rPr>
              <w:t xml:space="preserve"> </w:t>
            </w:r>
            <w:r w:rsidR="000E6985" w:rsidRPr="00BE20BD">
              <w:rPr>
                <w:rFonts w:eastAsia="Times New Roman" w:cs="Arial"/>
                <w:color w:val="000000"/>
                <w:sz w:val="16"/>
                <w:szCs w:val="16"/>
                <w:lang w:val="en-US" w:eastAsia="de-CH"/>
              </w:rPr>
              <w:t>RA</w:t>
            </w:r>
            <w:r w:rsidR="002502C1" w:rsidRPr="00BE20BD">
              <w:rPr>
                <w:rFonts w:eastAsia="Times New Roman" w:cs="Arial"/>
                <w:color w:val="000000"/>
                <w:sz w:val="16"/>
                <w:szCs w:val="16"/>
                <w:lang w:val="en-US" w:eastAsia="de-CH"/>
              </w:rPr>
              <w:t>K</w:t>
            </w:r>
            <w:r w:rsidR="002C158C" w:rsidRPr="00BE20BD">
              <w:rPr>
                <w:rFonts w:eastAsia="Times New Roman" w:cs="Arial"/>
                <w:color w:val="000000"/>
                <w:sz w:val="16"/>
                <w:szCs w:val="16"/>
                <w:lang w:val="en-US" w:eastAsia="de-CH"/>
              </w:rPr>
              <w:t xml:space="preserve"> </w:t>
            </w:r>
          </w:p>
        </w:tc>
        <w:tc>
          <w:tcPr>
            <w:tcW w:w="196" w:type="dxa"/>
            <w:tcBorders>
              <w:top w:val="nil"/>
              <w:left w:val="nil"/>
              <w:bottom w:val="nil"/>
              <w:right w:val="nil"/>
            </w:tcBorders>
            <w:shd w:val="clear" w:color="000000" w:fill="FFFFFF"/>
            <w:noWrap/>
            <w:vAlign w:val="bottom"/>
            <w:hideMark/>
          </w:tcPr>
          <w:p w14:paraId="674AB7CC" w14:textId="77777777" w:rsidR="002A7AF7" w:rsidRPr="00BE20BD" w:rsidRDefault="002A7AF7" w:rsidP="002A7AF7">
            <w:pPr>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887" w:type="dxa"/>
            <w:tcBorders>
              <w:top w:val="nil"/>
              <w:left w:val="nil"/>
              <w:bottom w:val="nil"/>
              <w:right w:val="nil"/>
            </w:tcBorders>
            <w:shd w:val="clear" w:color="000000" w:fill="F2F2F2"/>
            <w:noWrap/>
            <w:vAlign w:val="bottom"/>
          </w:tcPr>
          <w:p w14:paraId="3879FA6E" w14:textId="3E2E5692" w:rsidR="002A7AF7" w:rsidRPr="00BE20BD" w:rsidRDefault="002A7AF7" w:rsidP="002A7AF7">
            <w:pPr>
              <w:spacing w:line="240" w:lineRule="auto"/>
              <w:jc w:val="right"/>
              <w:rPr>
                <w:rFonts w:eastAsia="Times New Roman" w:cs="Arial"/>
                <w:color w:val="000000"/>
                <w:sz w:val="16"/>
                <w:szCs w:val="16"/>
                <w:lang w:val="en-US" w:eastAsia="de-CH"/>
              </w:rPr>
            </w:pPr>
          </w:p>
        </w:tc>
        <w:tc>
          <w:tcPr>
            <w:tcW w:w="523" w:type="dxa"/>
            <w:tcBorders>
              <w:top w:val="nil"/>
              <w:left w:val="nil"/>
              <w:bottom w:val="nil"/>
              <w:right w:val="nil"/>
            </w:tcBorders>
            <w:shd w:val="clear" w:color="000000" w:fill="FFFFFF"/>
            <w:noWrap/>
            <w:vAlign w:val="bottom"/>
          </w:tcPr>
          <w:p w14:paraId="3A892853" w14:textId="2E2435BD" w:rsidR="002A7AF7" w:rsidRPr="00BE20BD" w:rsidRDefault="002A7AF7" w:rsidP="002A7AF7">
            <w:pPr>
              <w:spacing w:line="240" w:lineRule="auto"/>
              <w:rPr>
                <w:rFonts w:eastAsia="Times New Roman" w:cs="Arial"/>
                <w:color w:val="000000"/>
                <w:sz w:val="12"/>
                <w:szCs w:val="12"/>
                <w:lang w:val="en-US" w:eastAsia="de-CH"/>
              </w:rPr>
            </w:pPr>
          </w:p>
        </w:tc>
        <w:tc>
          <w:tcPr>
            <w:tcW w:w="185" w:type="dxa"/>
            <w:tcBorders>
              <w:top w:val="nil"/>
              <w:left w:val="nil"/>
              <w:bottom w:val="nil"/>
              <w:right w:val="nil"/>
            </w:tcBorders>
            <w:shd w:val="clear" w:color="000000" w:fill="FFFFFF"/>
            <w:noWrap/>
            <w:vAlign w:val="bottom"/>
          </w:tcPr>
          <w:p w14:paraId="3ADCD43D" w14:textId="37901937" w:rsidR="002A7AF7" w:rsidRPr="00BE20BD" w:rsidRDefault="002A7AF7" w:rsidP="002A7AF7">
            <w:pPr>
              <w:spacing w:line="240" w:lineRule="auto"/>
              <w:rPr>
                <w:rFonts w:eastAsia="Times New Roman" w:cs="Arial"/>
                <w:color w:val="000000"/>
                <w:sz w:val="16"/>
                <w:szCs w:val="16"/>
                <w:lang w:val="en-US" w:eastAsia="de-CH"/>
              </w:rPr>
            </w:pPr>
          </w:p>
        </w:tc>
        <w:tc>
          <w:tcPr>
            <w:tcW w:w="723" w:type="dxa"/>
            <w:tcBorders>
              <w:top w:val="nil"/>
              <w:left w:val="nil"/>
              <w:bottom w:val="nil"/>
              <w:right w:val="nil"/>
            </w:tcBorders>
            <w:shd w:val="clear" w:color="000000" w:fill="F2F2F2"/>
            <w:noWrap/>
            <w:vAlign w:val="bottom"/>
          </w:tcPr>
          <w:p w14:paraId="44C70B11" w14:textId="3C0C1BB7" w:rsidR="002A7AF7" w:rsidRPr="00BE20BD" w:rsidRDefault="002A7AF7" w:rsidP="002A7AF7">
            <w:pPr>
              <w:spacing w:line="240" w:lineRule="auto"/>
              <w:jc w:val="right"/>
              <w:rPr>
                <w:rFonts w:eastAsia="Times New Roman" w:cs="Arial"/>
                <w:color w:val="000000"/>
                <w:sz w:val="16"/>
                <w:szCs w:val="16"/>
                <w:lang w:val="en-US" w:eastAsia="de-CH"/>
              </w:rPr>
            </w:pPr>
          </w:p>
        </w:tc>
        <w:tc>
          <w:tcPr>
            <w:tcW w:w="523" w:type="dxa"/>
            <w:tcBorders>
              <w:top w:val="nil"/>
              <w:left w:val="nil"/>
              <w:bottom w:val="nil"/>
              <w:right w:val="nil"/>
            </w:tcBorders>
            <w:shd w:val="clear" w:color="000000" w:fill="FFFFFF"/>
            <w:noWrap/>
            <w:vAlign w:val="bottom"/>
          </w:tcPr>
          <w:p w14:paraId="23005C07" w14:textId="1368F1AC" w:rsidR="002A7AF7" w:rsidRPr="00BE20BD" w:rsidRDefault="002A7AF7" w:rsidP="002A7AF7">
            <w:pPr>
              <w:spacing w:line="240" w:lineRule="auto"/>
              <w:rPr>
                <w:rFonts w:eastAsia="Times New Roman" w:cs="Arial"/>
                <w:color w:val="000000"/>
                <w:sz w:val="12"/>
                <w:szCs w:val="12"/>
                <w:lang w:val="en-US" w:eastAsia="de-CH"/>
              </w:rPr>
            </w:pPr>
          </w:p>
        </w:tc>
        <w:tc>
          <w:tcPr>
            <w:tcW w:w="232" w:type="dxa"/>
            <w:tcBorders>
              <w:top w:val="nil"/>
              <w:left w:val="nil"/>
              <w:bottom w:val="nil"/>
              <w:right w:val="nil"/>
            </w:tcBorders>
            <w:shd w:val="clear" w:color="000000" w:fill="FFFFFF"/>
            <w:noWrap/>
            <w:vAlign w:val="bottom"/>
          </w:tcPr>
          <w:p w14:paraId="5FD72BA4" w14:textId="63461A39" w:rsidR="002A7AF7" w:rsidRPr="00BE20BD" w:rsidRDefault="002A7AF7" w:rsidP="002A7AF7">
            <w:pPr>
              <w:spacing w:line="240" w:lineRule="auto"/>
              <w:rPr>
                <w:rFonts w:eastAsia="Times New Roman" w:cs="Arial"/>
                <w:color w:val="000000"/>
                <w:sz w:val="16"/>
                <w:szCs w:val="16"/>
                <w:lang w:val="en-US" w:eastAsia="de-CH"/>
              </w:rPr>
            </w:pPr>
          </w:p>
        </w:tc>
        <w:tc>
          <w:tcPr>
            <w:tcW w:w="618" w:type="dxa"/>
            <w:tcBorders>
              <w:top w:val="nil"/>
              <w:left w:val="nil"/>
              <w:bottom w:val="nil"/>
              <w:right w:val="nil"/>
            </w:tcBorders>
            <w:shd w:val="clear" w:color="000000" w:fill="F2F2F2"/>
            <w:noWrap/>
            <w:vAlign w:val="bottom"/>
          </w:tcPr>
          <w:p w14:paraId="5CB22E22" w14:textId="19AB7F7A" w:rsidR="002A7AF7" w:rsidRPr="00BE20BD" w:rsidRDefault="002A7AF7" w:rsidP="002A7AF7">
            <w:pPr>
              <w:spacing w:line="240" w:lineRule="auto"/>
              <w:jc w:val="right"/>
              <w:rPr>
                <w:rFonts w:eastAsia="Times New Roman" w:cs="Arial"/>
                <w:color w:val="000000"/>
                <w:sz w:val="16"/>
                <w:szCs w:val="16"/>
                <w:lang w:val="en-US" w:eastAsia="de-CH"/>
              </w:rPr>
            </w:pPr>
          </w:p>
        </w:tc>
        <w:tc>
          <w:tcPr>
            <w:tcW w:w="505" w:type="dxa"/>
            <w:tcBorders>
              <w:top w:val="nil"/>
              <w:left w:val="nil"/>
              <w:bottom w:val="nil"/>
              <w:right w:val="nil"/>
            </w:tcBorders>
            <w:shd w:val="clear" w:color="000000" w:fill="FFFFFF"/>
            <w:noWrap/>
            <w:vAlign w:val="bottom"/>
          </w:tcPr>
          <w:p w14:paraId="3AA0BC59" w14:textId="54108AD9" w:rsidR="002A7AF7" w:rsidRPr="00BE20BD" w:rsidRDefault="002A7AF7" w:rsidP="002A7AF7">
            <w:pPr>
              <w:spacing w:line="240" w:lineRule="auto"/>
              <w:rPr>
                <w:rFonts w:eastAsia="Times New Roman" w:cs="Arial"/>
                <w:color w:val="000000"/>
                <w:sz w:val="12"/>
                <w:szCs w:val="12"/>
                <w:lang w:val="en-US" w:eastAsia="de-CH"/>
              </w:rPr>
            </w:pPr>
          </w:p>
        </w:tc>
        <w:tc>
          <w:tcPr>
            <w:tcW w:w="359" w:type="dxa"/>
            <w:tcBorders>
              <w:top w:val="nil"/>
              <w:left w:val="nil"/>
              <w:bottom w:val="nil"/>
              <w:right w:val="nil"/>
            </w:tcBorders>
            <w:shd w:val="clear" w:color="000000" w:fill="FFFFFF"/>
            <w:noWrap/>
            <w:vAlign w:val="bottom"/>
          </w:tcPr>
          <w:p w14:paraId="43666EAF" w14:textId="7901C5DC" w:rsidR="002A7AF7" w:rsidRPr="00BE20BD" w:rsidRDefault="002A7AF7" w:rsidP="002A7AF7">
            <w:pPr>
              <w:spacing w:line="240" w:lineRule="auto"/>
              <w:rPr>
                <w:rFonts w:eastAsia="Times New Roman" w:cs="Arial"/>
                <w:color w:val="000000"/>
                <w:sz w:val="16"/>
                <w:szCs w:val="16"/>
                <w:lang w:val="en-US" w:eastAsia="de-CH"/>
              </w:rPr>
            </w:pPr>
          </w:p>
        </w:tc>
        <w:tc>
          <w:tcPr>
            <w:tcW w:w="913" w:type="dxa"/>
            <w:tcBorders>
              <w:top w:val="nil"/>
              <w:left w:val="nil"/>
              <w:bottom w:val="nil"/>
              <w:right w:val="nil"/>
            </w:tcBorders>
            <w:shd w:val="clear" w:color="000000" w:fill="F2F2F2"/>
            <w:noWrap/>
            <w:vAlign w:val="bottom"/>
          </w:tcPr>
          <w:p w14:paraId="4BB10CEF" w14:textId="600D4AF7" w:rsidR="002A7AF7" w:rsidRPr="00BE20BD" w:rsidRDefault="002A7AF7" w:rsidP="002A7AF7">
            <w:pPr>
              <w:spacing w:line="240" w:lineRule="auto"/>
              <w:jc w:val="right"/>
              <w:rPr>
                <w:rFonts w:eastAsia="Times New Roman" w:cs="Arial"/>
                <w:color w:val="000000"/>
                <w:sz w:val="16"/>
                <w:szCs w:val="16"/>
                <w:lang w:val="en-US" w:eastAsia="de-CH"/>
              </w:rPr>
            </w:pPr>
          </w:p>
        </w:tc>
        <w:tc>
          <w:tcPr>
            <w:tcW w:w="787" w:type="dxa"/>
            <w:tcBorders>
              <w:top w:val="nil"/>
              <w:left w:val="nil"/>
              <w:bottom w:val="nil"/>
              <w:right w:val="nil"/>
            </w:tcBorders>
            <w:shd w:val="clear" w:color="000000" w:fill="F2F2F2"/>
            <w:noWrap/>
            <w:vAlign w:val="bottom"/>
          </w:tcPr>
          <w:p w14:paraId="624A1319" w14:textId="747FA5EC" w:rsidR="002A7AF7" w:rsidRPr="00BE20BD" w:rsidRDefault="002A7AF7" w:rsidP="002A7AF7">
            <w:pPr>
              <w:spacing w:line="240" w:lineRule="auto"/>
              <w:jc w:val="right"/>
              <w:rPr>
                <w:rFonts w:eastAsia="Times New Roman" w:cs="Arial"/>
                <w:color w:val="000000"/>
                <w:sz w:val="16"/>
                <w:szCs w:val="16"/>
                <w:lang w:val="en-US" w:eastAsia="de-CH"/>
              </w:rPr>
            </w:pPr>
          </w:p>
        </w:tc>
        <w:tc>
          <w:tcPr>
            <w:tcW w:w="567" w:type="dxa"/>
            <w:tcBorders>
              <w:top w:val="nil"/>
              <w:left w:val="nil"/>
              <w:bottom w:val="nil"/>
              <w:right w:val="nil"/>
            </w:tcBorders>
            <w:shd w:val="clear" w:color="000000" w:fill="F2F2F2"/>
            <w:noWrap/>
            <w:vAlign w:val="bottom"/>
          </w:tcPr>
          <w:p w14:paraId="4ECBA3F6" w14:textId="678F0354" w:rsidR="002A7AF7" w:rsidRPr="00BE20BD" w:rsidRDefault="002A7AF7" w:rsidP="002A7AF7">
            <w:pPr>
              <w:spacing w:line="240" w:lineRule="auto"/>
              <w:jc w:val="right"/>
              <w:rPr>
                <w:rFonts w:eastAsia="Times New Roman" w:cs="Arial"/>
                <w:color w:val="000000"/>
                <w:sz w:val="16"/>
                <w:szCs w:val="16"/>
                <w:lang w:val="en-US" w:eastAsia="de-CH"/>
              </w:rPr>
            </w:pPr>
          </w:p>
        </w:tc>
      </w:tr>
      <w:tr w:rsidR="002A7AF7" w:rsidRPr="00BE20BD" w14:paraId="66A14FDC" w14:textId="77777777" w:rsidTr="00325292">
        <w:trPr>
          <w:trHeight w:val="241"/>
        </w:trPr>
        <w:tc>
          <w:tcPr>
            <w:tcW w:w="2886" w:type="dxa"/>
            <w:tcBorders>
              <w:top w:val="nil"/>
              <w:left w:val="nil"/>
              <w:bottom w:val="nil"/>
              <w:right w:val="nil"/>
            </w:tcBorders>
            <w:shd w:val="clear" w:color="auto" w:fill="auto"/>
            <w:noWrap/>
            <w:vAlign w:val="bottom"/>
            <w:hideMark/>
          </w:tcPr>
          <w:p w14:paraId="5477469E" w14:textId="77777777" w:rsidR="002A7AF7" w:rsidRPr="00BE20BD" w:rsidRDefault="002A7AF7" w:rsidP="002A7AF7">
            <w:pPr>
              <w:spacing w:line="240" w:lineRule="auto"/>
              <w:jc w:val="right"/>
              <w:rPr>
                <w:rFonts w:eastAsia="Times New Roman" w:cs="Arial"/>
                <w:color w:val="000000"/>
                <w:sz w:val="16"/>
                <w:szCs w:val="16"/>
                <w:lang w:val="en-US" w:eastAsia="de-CH"/>
              </w:rPr>
            </w:pPr>
          </w:p>
          <w:p w14:paraId="306E2E95" w14:textId="3FAC6A50" w:rsidR="00EE76A7" w:rsidRPr="00BE20BD" w:rsidRDefault="00EE76A7" w:rsidP="002A7AF7">
            <w:pPr>
              <w:spacing w:line="240" w:lineRule="auto"/>
              <w:jc w:val="right"/>
              <w:rPr>
                <w:rFonts w:eastAsia="Times New Roman" w:cs="Arial"/>
                <w:color w:val="000000"/>
                <w:sz w:val="16"/>
                <w:szCs w:val="16"/>
                <w:lang w:val="en-US" w:eastAsia="de-CH"/>
              </w:rPr>
            </w:pPr>
          </w:p>
        </w:tc>
        <w:tc>
          <w:tcPr>
            <w:tcW w:w="196" w:type="dxa"/>
            <w:tcBorders>
              <w:top w:val="nil"/>
              <w:left w:val="nil"/>
              <w:bottom w:val="nil"/>
              <w:right w:val="nil"/>
            </w:tcBorders>
            <w:shd w:val="clear" w:color="000000" w:fill="FFFFFF"/>
            <w:noWrap/>
            <w:vAlign w:val="bottom"/>
            <w:hideMark/>
          </w:tcPr>
          <w:p w14:paraId="0DFDCCE5" w14:textId="77777777" w:rsidR="002A7AF7" w:rsidRPr="00BE20BD" w:rsidRDefault="002A7AF7" w:rsidP="002A7AF7">
            <w:pPr>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887" w:type="dxa"/>
            <w:tcBorders>
              <w:top w:val="nil"/>
              <w:left w:val="nil"/>
              <w:bottom w:val="nil"/>
              <w:right w:val="nil"/>
            </w:tcBorders>
            <w:shd w:val="clear" w:color="auto" w:fill="auto"/>
            <w:noWrap/>
            <w:vAlign w:val="bottom"/>
          </w:tcPr>
          <w:p w14:paraId="5CAA1A99" w14:textId="77777777" w:rsidR="002A7AF7" w:rsidRPr="00BE20BD" w:rsidRDefault="002A7AF7" w:rsidP="002A7AF7">
            <w:pPr>
              <w:spacing w:line="240" w:lineRule="auto"/>
              <w:rPr>
                <w:rFonts w:eastAsia="Times New Roman" w:cs="Arial"/>
                <w:color w:val="000000"/>
                <w:sz w:val="16"/>
                <w:szCs w:val="16"/>
                <w:lang w:val="en-US" w:eastAsia="de-CH"/>
              </w:rPr>
            </w:pPr>
          </w:p>
        </w:tc>
        <w:tc>
          <w:tcPr>
            <w:tcW w:w="523" w:type="dxa"/>
            <w:tcBorders>
              <w:top w:val="nil"/>
              <w:left w:val="nil"/>
              <w:bottom w:val="nil"/>
              <w:right w:val="nil"/>
            </w:tcBorders>
            <w:shd w:val="clear" w:color="000000" w:fill="FFFFFF"/>
            <w:noWrap/>
            <w:vAlign w:val="bottom"/>
          </w:tcPr>
          <w:p w14:paraId="04CB3C46" w14:textId="3C060A7B" w:rsidR="002A7AF7" w:rsidRPr="00BE20BD" w:rsidRDefault="002A7AF7" w:rsidP="002A7AF7">
            <w:pPr>
              <w:spacing w:line="240" w:lineRule="auto"/>
              <w:rPr>
                <w:rFonts w:eastAsia="Times New Roman" w:cs="Arial"/>
                <w:color w:val="000000"/>
                <w:sz w:val="12"/>
                <w:szCs w:val="12"/>
                <w:lang w:val="en-US" w:eastAsia="de-CH"/>
              </w:rPr>
            </w:pPr>
          </w:p>
        </w:tc>
        <w:tc>
          <w:tcPr>
            <w:tcW w:w="185" w:type="dxa"/>
            <w:tcBorders>
              <w:top w:val="nil"/>
              <w:left w:val="nil"/>
              <w:bottom w:val="nil"/>
              <w:right w:val="nil"/>
            </w:tcBorders>
            <w:shd w:val="clear" w:color="000000" w:fill="FFFFFF"/>
            <w:noWrap/>
            <w:vAlign w:val="bottom"/>
          </w:tcPr>
          <w:p w14:paraId="03D3F0FF" w14:textId="69855B22" w:rsidR="002A7AF7" w:rsidRPr="00BE20BD" w:rsidRDefault="002A7AF7" w:rsidP="002A7AF7">
            <w:pPr>
              <w:spacing w:line="240" w:lineRule="auto"/>
              <w:rPr>
                <w:rFonts w:eastAsia="Times New Roman" w:cs="Arial"/>
                <w:color w:val="000000"/>
                <w:sz w:val="16"/>
                <w:szCs w:val="16"/>
                <w:lang w:val="en-US" w:eastAsia="de-CH"/>
              </w:rPr>
            </w:pPr>
          </w:p>
        </w:tc>
        <w:tc>
          <w:tcPr>
            <w:tcW w:w="723" w:type="dxa"/>
            <w:tcBorders>
              <w:top w:val="nil"/>
              <w:left w:val="nil"/>
              <w:bottom w:val="nil"/>
              <w:right w:val="nil"/>
            </w:tcBorders>
            <w:shd w:val="clear" w:color="auto" w:fill="auto"/>
            <w:noWrap/>
            <w:vAlign w:val="bottom"/>
          </w:tcPr>
          <w:p w14:paraId="74D11683" w14:textId="77777777" w:rsidR="002A7AF7" w:rsidRPr="00BE20BD" w:rsidRDefault="002A7AF7" w:rsidP="002A7AF7">
            <w:pPr>
              <w:spacing w:line="240" w:lineRule="auto"/>
              <w:rPr>
                <w:rFonts w:eastAsia="Times New Roman" w:cs="Arial"/>
                <w:color w:val="000000"/>
                <w:sz w:val="16"/>
                <w:szCs w:val="16"/>
                <w:lang w:val="en-US" w:eastAsia="de-CH"/>
              </w:rPr>
            </w:pPr>
          </w:p>
        </w:tc>
        <w:tc>
          <w:tcPr>
            <w:tcW w:w="523" w:type="dxa"/>
            <w:tcBorders>
              <w:top w:val="nil"/>
              <w:left w:val="nil"/>
              <w:bottom w:val="nil"/>
              <w:right w:val="nil"/>
            </w:tcBorders>
            <w:shd w:val="clear" w:color="000000" w:fill="FFFFFF"/>
            <w:noWrap/>
            <w:vAlign w:val="bottom"/>
          </w:tcPr>
          <w:p w14:paraId="1459A26B" w14:textId="1608C54A" w:rsidR="002A7AF7" w:rsidRPr="00BE20BD" w:rsidRDefault="002A7AF7" w:rsidP="002A7AF7">
            <w:pPr>
              <w:spacing w:line="240" w:lineRule="auto"/>
              <w:rPr>
                <w:rFonts w:eastAsia="Times New Roman" w:cs="Arial"/>
                <w:color w:val="000000"/>
                <w:sz w:val="12"/>
                <w:szCs w:val="12"/>
                <w:lang w:val="en-US" w:eastAsia="de-CH"/>
              </w:rPr>
            </w:pPr>
          </w:p>
        </w:tc>
        <w:tc>
          <w:tcPr>
            <w:tcW w:w="232" w:type="dxa"/>
            <w:tcBorders>
              <w:top w:val="nil"/>
              <w:left w:val="nil"/>
              <w:bottom w:val="nil"/>
              <w:right w:val="nil"/>
            </w:tcBorders>
            <w:shd w:val="clear" w:color="000000" w:fill="FFFFFF"/>
            <w:noWrap/>
            <w:vAlign w:val="bottom"/>
          </w:tcPr>
          <w:p w14:paraId="4DB89C0A" w14:textId="21E9810E" w:rsidR="002A7AF7" w:rsidRPr="00BE20BD" w:rsidRDefault="002A7AF7" w:rsidP="002A7AF7">
            <w:pPr>
              <w:spacing w:line="240" w:lineRule="auto"/>
              <w:rPr>
                <w:rFonts w:eastAsia="Times New Roman" w:cs="Arial"/>
                <w:color w:val="000000"/>
                <w:sz w:val="16"/>
                <w:szCs w:val="16"/>
                <w:lang w:val="en-US" w:eastAsia="de-CH"/>
              </w:rPr>
            </w:pPr>
          </w:p>
        </w:tc>
        <w:tc>
          <w:tcPr>
            <w:tcW w:w="618" w:type="dxa"/>
            <w:tcBorders>
              <w:top w:val="nil"/>
              <w:left w:val="nil"/>
              <w:bottom w:val="nil"/>
              <w:right w:val="nil"/>
            </w:tcBorders>
            <w:shd w:val="clear" w:color="auto" w:fill="auto"/>
            <w:noWrap/>
            <w:vAlign w:val="bottom"/>
          </w:tcPr>
          <w:p w14:paraId="3E471C2D" w14:textId="77777777" w:rsidR="002A7AF7" w:rsidRPr="00BE20BD" w:rsidRDefault="002A7AF7" w:rsidP="002A7AF7">
            <w:pPr>
              <w:spacing w:line="240" w:lineRule="auto"/>
              <w:rPr>
                <w:rFonts w:eastAsia="Times New Roman" w:cs="Arial"/>
                <w:color w:val="000000"/>
                <w:sz w:val="16"/>
                <w:szCs w:val="16"/>
                <w:lang w:val="en-US" w:eastAsia="de-CH"/>
              </w:rPr>
            </w:pPr>
          </w:p>
        </w:tc>
        <w:tc>
          <w:tcPr>
            <w:tcW w:w="505" w:type="dxa"/>
            <w:tcBorders>
              <w:top w:val="nil"/>
              <w:left w:val="nil"/>
              <w:bottom w:val="nil"/>
              <w:right w:val="nil"/>
            </w:tcBorders>
            <w:shd w:val="clear" w:color="000000" w:fill="FFFFFF"/>
            <w:noWrap/>
            <w:vAlign w:val="bottom"/>
          </w:tcPr>
          <w:p w14:paraId="4910BD71" w14:textId="517573D5" w:rsidR="002A7AF7" w:rsidRPr="00BE20BD" w:rsidRDefault="002A7AF7" w:rsidP="002A7AF7">
            <w:pPr>
              <w:spacing w:line="240" w:lineRule="auto"/>
              <w:rPr>
                <w:rFonts w:eastAsia="Times New Roman" w:cs="Arial"/>
                <w:color w:val="000000"/>
                <w:sz w:val="12"/>
                <w:szCs w:val="12"/>
                <w:lang w:val="en-US" w:eastAsia="de-CH"/>
              </w:rPr>
            </w:pPr>
          </w:p>
        </w:tc>
        <w:tc>
          <w:tcPr>
            <w:tcW w:w="359" w:type="dxa"/>
            <w:tcBorders>
              <w:top w:val="nil"/>
              <w:left w:val="nil"/>
              <w:bottom w:val="nil"/>
              <w:right w:val="nil"/>
            </w:tcBorders>
            <w:shd w:val="clear" w:color="000000" w:fill="FFFFFF"/>
            <w:noWrap/>
            <w:vAlign w:val="bottom"/>
          </w:tcPr>
          <w:p w14:paraId="224082C0" w14:textId="12BC00C0" w:rsidR="002A7AF7" w:rsidRPr="00BE20BD" w:rsidRDefault="002A7AF7" w:rsidP="002A7AF7">
            <w:pPr>
              <w:spacing w:line="240" w:lineRule="auto"/>
              <w:rPr>
                <w:rFonts w:eastAsia="Times New Roman" w:cs="Arial"/>
                <w:color w:val="000000"/>
                <w:sz w:val="16"/>
                <w:szCs w:val="16"/>
                <w:lang w:val="en-US" w:eastAsia="de-CH"/>
              </w:rPr>
            </w:pPr>
          </w:p>
        </w:tc>
        <w:tc>
          <w:tcPr>
            <w:tcW w:w="913" w:type="dxa"/>
            <w:tcBorders>
              <w:top w:val="nil"/>
              <w:left w:val="nil"/>
              <w:bottom w:val="nil"/>
              <w:right w:val="nil"/>
            </w:tcBorders>
            <w:shd w:val="clear" w:color="auto" w:fill="auto"/>
            <w:noWrap/>
            <w:vAlign w:val="bottom"/>
          </w:tcPr>
          <w:p w14:paraId="1FE4CC67" w14:textId="77777777" w:rsidR="002A7AF7" w:rsidRPr="00BE20BD" w:rsidRDefault="002A7AF7" w:rsidP="002A7AF7">
            <w:pPr>
              <w:spacing w:line="240" w:lineRule="auto"/>
              <w:rPr>
                <w:rFonts w:eastAsia="Times New Roman" w:cs="Arial"/>
                <w:color w:val="000000"/>
                <w:sz w:val="16"/>
                <w:szCs w:val="16"/>
                <w:lang w:val="en-US" w:eastAsia="de-CH"/>
              </w:rPr>
            </w:pPr>
          </w:p>
        </w:tc>
        <w:tc>
          <w:tcPr>
            <w:tcW w:w="787" w:type="dxa"/>
            <w:tcBorders>
              <w:top w:val="nil"/>
              <w:left w:val="nil"/>
              <w:bottom w:val="nil"/>
              <w:right w:val="nil"/>
            </w:tcBorders>
            <w:shd w:val="clear" w:color="auto" w:fill="auto"/>
            <w:noWrap/>
            <w:vAlign w:val="bottom"/>
          </w:tcPr>
          <w:p w14:paraId="27825E4A" w14:textId="77777777" w:rsidR="002A7AF7" w:rsidRPr="00BE20BD" w:rsidRDefault="002A7AF7" w:rsidP="002A7AF7">
            <w:pPr>
              <w:spacing w:line="240" w:lineRule="auto"/>
              <w:rPr>
                <w:rFonts w:ascii="Times New Roman" w:eastAsia="Times New Roman" w:hAnsi="Times New Roman"/>
                <w:sz w:val="20"/>
                <w:lang w:val="en-US" w:eastAsia="de-CH"/>
              </w:rPr>
            </w:pPr>
          </w:p>
        </w:tc>
        <w:tc>
          <w:tcPr>
            <w:tcW w:w="567" w:type="dxa"/>
            <w:tcBorders>
              <w:top w:val="nil"/>
              <w:left w:val="nil"/>
              <w:bottom w:val="nil"/>
              <w:right w:val="nil"/>
            </w:tcBorders>
            <w:shd w:val="clear" w:color="auto" w:fill="auto"/>
            <w:noWrap/>
            <w:vAlign w:val="bottom"/>
          </w:tcPr>
          <w:p w14:paraId="4F6812AD" w14:textId="77777777" w:rsidR="002A7AF7" w:rsidRPr="00BE20BD" w:rsidRDefault="002A7AF7" w:rsidP="002A7AF7">
            <w:pPr>
              <w:spacing w:line="240" w:lineRule="auto"/>
              <w:rPr>
                <w:rFonts w:ascii="Times New Roman" w:eastAsia="Times New Roman" w:hAnsi="Times New Roman"/>
                <w:sz w:val="20"/>
                <w:lang w:val="en-US" w:eastAsia="de-CH"/>
              </w:rPr>
            </w:pPr>
          </w:p>
        </w:tc>
      </w:tr>
      <w:tr w:rsidR="002A7AF7" w:rsidRPr="00BE20BD" w14:paraId="4BCA3536" w14:textId="77777777" w:rsidTr="00325292">
        <w:trPr>
          <w:trHeight w:val="241"/>
        </w:trPr>
        <w:tc>
          <w:tcPr>
            <w:tcW w:w="2886" w:type="dxa"/>
            <w:tcBorders>
              <w:top w:val="nil"/>
              <w:left w:val="nil"/>
              <w:bottom w:val="nil"/>
              <w:right w:val="nil"/>
            </w:tcBorders>
            <w:shd w:val="clear" w:color="000000" w:fill="D9D9D9"/>
            <w:noWrap/>
            <w:vAlign w:val="bottom"/>
            <w:hideMark/>
          </w:tcPr>
          <w:p w14:paraId="5581A308" w14:textId="77777777" w:rsidR="002A7AF7" w:rsidRPr="00BE20BD" w:rsidRDefault="002A7AF7" w:rsidP="002A7AF7">
            <w:pPr>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xml:space="preserve">Target </w:t>
            </w:r>
            <w:proofErr w:type="spellStart"/>
            <w:r w:rsidRPr="00BE20BD">
              <w:rPr>
                <w:rFonts w:eastAsia="Times New Roman" w:cs="Arial"/>
                <w:color w:val="000000"/>
                <w:sz w:val="16"/>
                <w:szCs w:val="16"/>
                <w:lang w:val="de-CH" w:eastAsia="de-CH"/>
              </w:rPr>
              <w:t>capital</w:t>
            </w:r>
            <w:proofErr w:type="spellEnd"/>
            <w:r w:rsidRPr="00BE20BD">
              <w:rPr>
                <w:rFonts w:eastAsia="Times New Roman" w:cs="Arial"/>
                <w:color w:val="000000"/>
                <w:sz w:val="16"/>
                <w:szCs w:val="16"/>
                <w:lang w:val="de-CH" w:eastAsia="de-CH"/>
              </w:rPr>
              <w:t xml:space="preserve"> (TC)</w:t>
            </w:r>
          </w:p>
        </w:tc>
        <w:tc>
          <w:tcPr>
            <w:tcW w:w="196" w:type="dxa"/>
            <w:tcBorders>
              <w:top w:val="nil"/>
              <w:left w:val="nil"/>
              <w:bottom w:val="nil"/>
              <w:right w:val="nil"/>
            </w:tcBorders>
            <w:shd w:val="clear" w:color="000000" w:fill="FFFFFF"/>
            <w:noWrap/>
            <w:vAlign w:val="bottom"/>
            <w:hideMark/>
          </w:tcPr>
          <w:p w14:paraId="69584A43" w14:textId="77777777" w:rsidR="002A7AF7" w:rsidRPr="00BE20BD" w:rsidRDefault="002A7AF7" w:rsidP="002A7AF7">
            <w:pPr>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887" w:type="dxa"/>
            <w:tcBorders>
              <w:top w:val="nil"/>
              <w:left w:val="nil"/>
              <w:bottom w:val="nil"/>
              <w:right w:val="nil"/>
            </w:tcBorders>
            <w:shd w:val="clear" w:color="000000" w:fill="D9D9D9"/>
            <w:noWrap/>
            <w:vAlign w:val="bottom"/>
          </w:tcPr>
          <w:p w14:paraId="7B25DCCE" w14:textId="6FEDDC5D" w:rsidR="002A7AF7" w:rsidRPr="00BE20BD" w:rsidRDefault="002A7AF7" w:rsidP="002A7AF7">
            <w:pPr>
              <w:spacing w:line="240" w:lineRule="auto"/>
              <w:jc w:val="right"/>
              <w:rPr>
                <w:rFonts w:eastAsia="Times New Roman" w:cs="Arial"/>
                <w:color w:val="000000"/>
                <w:sz w:val="16"/>
                <w:szCs w:val="16"/>
                <w:lang w:val="de-CH" w:eastAsia="de-CH"/>
              </w:rPr>
            </w:pPr>
          </w:p>
        </w:tc>
        <w:tc>
          <w:tcPr>
            <w:tcW w:w="523" w:type="dxa"/>
            <w:tcBorders>
              <w:top w:val="nil"/>
              <w:left w:val="nil"/>
              <w:bottom w:val="nil"/>
              <w:right w:val="nil"/>
            </w:tcBorders>
            <w:shd w:val="clear" w:color="000000" w:fill="FFFFFF"/>
            <w:noWrap/>
            <w:vAlign w:val="bottom"/>
          </w:tcPr>
          <w:p w14:paraId="7694BD53" w14:textId="02075FAB" w:rsidR="002A7AF7" w:rsidRPr="00BE20BD" w:rsidRDefault="002A7AF7" w:rsidP="002A7AF7">
            <w:pPr>
              <w:spacing w:line="240" w:lineRule="auto"/>
              <w:jc w:val="right"/>
              <w:rPr>
                <w:rFonts w:eastAsia="Times New Roman" w:cs="Arial"/>
                <w:color w:val="000000"/>
                <w:sz w:val="12"/>
                <w:szCs w:val="12"/>
                <w:lang w:val="de-CH" w:eastAsia="de-CH"/>
              </w:rPr>
            </w:pPr>
          </w:p>
        </w:tc>
        <w:tc>
          <w:tcPr>
            <w:tcW w:w="185" w:type="dxa"/>
            <w:tcBorders>
              <w:top w:val="nil"/>
              <w:left w:val="nil"/>
              <w:bottom w:val="nil"/>
              <w:right w:val="nil"/>
            </w:tcBorders>
            <w:shd w:val="clear" w:color="000000" w:fill="FFFFFF"/>
            <w:noWrap/>
            <w:vAlign w:val="bottom"/>
          </w:tcPr>
          <w:p w14:paraId="433007F9" w14:textId="67354790" w:rsidR="002A7AF7" w:rsidRPr="00BE20BD" w:rsidRDefault="002A7AF7" w:rsidP="002A7AF7">
            <w:pPr>
              <w:spacing w:line="240" w:lineRule="auto"/>
              <w:rPr>
                <w:rFonts w:eastAsia="Times New Roman" w:cs="Arial"/>
                <w:color w:val="000000"/>
                <w:sz w:val="16"/>
                <w:szCs w:val="16"/>
                <w:lang w:val="de-CH" w:eastAsia="de-CH"/>
              </w:rPr>
            </w:pPr>
          </w:p>
        </w:tc>
        <w:tc>
          <w:tcPr>
            <w:tcW w:w="723" w:type="dxa"/>
            <w:tcBorders>
              <w:top w:val="nil"/>
              <w:left w:val="nil"/>
              <w:bottom w:val="nil"/>
              <w:right w:val="nil"/>
            </w:tcBorders>
            <w:shd w:val="clear" w:color="000000" w:fill="D9D9D9"/>
            <w:noWrap/>
            <w:vAlign w:val="bottom"/>
          </w:tcPr>
          <w:p w14:paraId="24AEA7D0" w14:textId="47140CA1" w:rsidR="002A7AF7" w:rsidRPr="00BE20BD" w:rsidRDefault="002A7AF7" w:rsidP="002A7AF7">
            <w:pPr>
              <w:spacing w:line="240" w:lineRule="auto"/>
              <w:jc w:val="right"/>
              <w:rPr>
                <w:rFonts w:eastAsia="Times New Roman" w:cs="Arial"/>
                <w:color w:val="000000"/>
                <w:sz w:val="16"/>
                <w:szCs w:val="16"/>
                <w:lang w:val="de-CH" w:eastAsia="de-CH"/>
              </w:rPr>
            </w:pPr>
          </w:p>
        </w:tc>
        <w:tc>
          <w:tcPr>
            <w:tcW w:w="523" w:type="dxa"/>
            <w:tcBorders>
              <w:top w:val="nil"/>
              <w:left w:val="nil"/>
              <w:bottom w:val="nil"/>
              <w:right w:val="nil"/>
            </w:tcBorders>
            <w:shd w:val="clear" w:color="000000" w:fill="FFFFFF"/>
            <w:noWrap/>
            <w:vAlign w:val="bottom"/>
          </w:tcPr>
          <w:p w14:paraId="5B688D8F" w14:textId="64DB2B2B" w:rsidR="002A7AF7" w:rsidRPr="00BE20BD" w:rsidRDefault="002A7AF7" w:rsidP="002A7AF7">
            <w:pPr>
              <w:spacing w:line="240" w:lineRule="auto"/>
              <w:jc w:val="right"/>
              <w:rPr>
                <w:rFonts w:eastAsia="Times New Roman" w:cs="Arial"/>
                <w:color w:val="000000"/>
                <w:sz w:val="12"/>
                <w:szCs w:val="12"/>
                <w:lang w:val="de-CH" w:eastAsia="de-CH"/>
              </w:rPr>
            </w:pPr>
          </w:p>
        </w:tc>
        <w:tc>
          <w:tcPr>
            <w:tcW w:w="232" w:type="dxa"/>
            <w:tcBorders>
              <w:top w:val="nil"/>
              <w:left w:val="nil"/>
              <w:bottom w:val="nil"/>
              <w:right w:val="nil"/>
            </w:tcBorders>
            <w:shd w:val="clear" w:color="000000" w:fill="FFFFFF"/>
            <w:noWrap/>
            <w:vAlign w:val="bottom"/>
          </w:tcPr>
          <w:p w14:paraId="550B8D3A" w14:textId="6DE427E3" w:rsidR="002A7AF7" w:rsidRPr="00BE20BD" w:rsidRDefault="002A7AF7" w:rsidP="002A7AF7">
            <w:pPr>
              <w:spacing w:line="240" w:lineRule="auto"/>
              <w:rPr>
                <w:rFonts w:eastAsia="Times New Roman" w:cs="Arial"/>
                <w:color w:val="000000"/>
                <w:sz w:val="16"/>
                <w:szCs w:val="16"/>
                <w:lang w:val="de-CH" w:eastAsia="de-CH"/>
              </w:rPr>
            </w:pPr>
          </w:p>
        </w:tc>
        <w:tc>
          <w:tcPr>
            <w:tcW w:w="618" w:type="dxa"/>
            <w:tcBorders>
              <w:top w:val="nil"/>
              <w:left w:val="nil"/>
              <w:bottom w:val="nil"/>
              <w:right w:val="nil"/>
            </w:tcBorders>
            <w:shd w:val="clear" w:color="000000" w:fill="D9D9D9"/>
            <w:noWrap/>
            <w:vAlign w:val="bottom"/>
          </w:tcPr>
          <w:p w14:paraId="3735C196" w14:textId="31E3092F" w:rsidR="002A7AF7" w:rsidRPr="00BE20BD" w:rsidRDefault="002A7AF7" w:rsidP="002A7AF7">
            <w:pPr>
              <w:spacing w:line="240" w:lineRule="auto"/>
              <w:jc w:val="right"/>
              <w:rPr>
                <w:rFonts w:eastAsia="Times New Roman" w:cs="Arial"/>
                <w:color w:val="000000"/>
                <w:sz w:val="16"/>
                <w:szCs w:val="16"/>
                <w:lang w:val="de-CH" w:eastAsia="de-CH"/>
              </w:rPr>
            </w:pPr>
          </w:p>
        </w:tc>
        <w:tc>
          <w:tcPr>
            <w:tcW w:w="505" w:type="dxa"/>
            <w:tcBorders>
              <w:top w:val="nil"/>
              <w:left w:val="nil"/>
              <w:bottom w:val="nil"/>
              <w:right w:val="nil"/>
            </w:tcBorders>
            <w:shd w:val="clear" w:color="000000" w:fill="FFFFFF"/>
            <w:noWrap/>
            <w:vAlign w:val="bottom"/>
          </w:tcPr>
          <w:p w14:paraId="24507754" w14:textId="29A173C5" w:rsidR="002A7AF7" w:rsidRPr="00BE20BD" w:rsidRDefault="002A7AF7" w:rsidP="002A7AF7">
            <w:pPr>
              <w:spacing w:line="240" w:lineRule="auto"/>
              <w:jc w:val="right"/>
              <w:rPr>
                <w:rFonts w:eastAsia="Times New Roman" w:cs="Arial"/>
                <w:color w:val="000000"/>
                <w:sz w:val="12"/>
                <w:szCs w:val="12"/>
                <w:lang w:val="de-CH" w:eastAsia="de-CH"/>
              </w:rPr>
            </w:pPr>
          </w:p>
        </w:tc>
        <w:tc>
          <w:tcPr>
            <w:tcW w:w="359" w:type="dxa"/>
            <w:tcBorders>
              <w:top w:val="nil"/>
              <w:left w:val="nil"/>
              <w:bottom w:val="nil"/>
              <w:right w:val="nil"/>
            </w:tcBorders>
            <w:shd w:val="clear" w:color="000000" w:fill="FFFFFF"/>
            <w:noWrap/>
            <w:vAlign w:val="bottom"/>
          </w:tcPr>
          <w:p w14:paraId="3DFE9135" w14:textId="183E5076" w:rsidR="002A7AF7" w:rsidRPr="00BE20BD" w:rsidRDefault="002A7AF7" w:rsidP="002A7AF7">
            <w:pPr>
              <w:spacing w:line="240" w:lineRule="auto"/>
              <w:rPr>
                <w:rFonts w:eastAsia="Times New Roman" w:cs="Arial"/>
                <w:color w:val="000000"/>
                <w:sz w:val="16"/>
                <w:szCs w:val="16"/>
                <w:lang w:val="de-CH" w:eastAsia="de-CH"/>
              </w:rPr>
            </w:pPr>
          </w:p>
        </w:tc>
        <w:tc>
          <w:tcPr>
            <w:tcW w:w="913" w:type="dxa"/>
            <w:tcBorders>
              <w:top w:val="nil"/>
              <w:left w:val="nil"/>
              <w:bottom w:val="nil"/>
              <w:right w:val="nil"/>
            </w:tcBorders>
            <w:shd w:val="clear" w:color="000000" w:fill="D9D9D9"/>
            <w:noWrap/>
            <w:vAlign w:val="bottom"/>
          </w:tcPr>
          <w:p w14:paraId="6A1560DD" w14:textId="139362B4" w:rsidR="002A7AF7" w:rsidRPr="00BE20BD" w:rsidRDefault="002A7AF7" w:rsidP="002A7AF7">
            <w:pPr>
              <w:spacing w:line="240" w:lineRule="auto"/>
              <w:jc w:val="right"/>
              <w:rPr>
                <w:rFonts w:eastAsia="Times New Roman" w:cs="Arial"/>
                <w:color w:val="000000"/>
                <w:sz w:val="16"/>
                <w:szCs w:val="16"/>
                <w:lang w:val="de-CH" w:eastAsia="de-CH"/>
              </w:rPr>
            </w:pPr>
          </w:p>
        </w:tc>
        <w:tc>
          <w:tcPr>
            <w:tcW w:w="787" w:type="dxa"/>
            <w:tcBorders>
              <w:top w:val="nil"/>
              <w:left w:val="nil"/>
              <w:bottom w:val="nil"/>
              <w:right w:val="nil"/>
            </w:tcBorders>
            <w:shd w:val="clear" w:color="000000" w:fill="D9D9D9"/>
            <w:noWrap/>
            <w:vAlign w:val="bottom"/>
          </w:tcPr>
          <w:p w14:paraId="5131EA7B" w14:textId="2816F3CA" w:rsidR="002A7AF7" w:rsidRPr="00BE20BD" w:rsidRDefault="002A7AF7" w:rsidP="002A7AF7">
            <w:pPr>
              <w:spacing w:line="240" w:lineRule="auto"/>
              <w:jc w:val="right"/>
              <w:rPr>
                <w:rFonts w:eastAsia="Times New Roman" w:cs="Arial"/>
                <w:color w:val="000000"/>
                <w:sz w:val="16"/>
                <w:szCs w:val="16"/>
                <w:lang w:val="de-CH" w:eastAsia="de-CH"/>
              </w:rPr>
            </w:pPr>
          </w:p>
        </w:tc>
        <w:tc>
          <w:tcPr>
            <w:tcW w:w="567" w:type="dxa"/>
            <w:tcBorders>
              <w:top w:val="nil"/>
              <w:left w:val="nil"/>
              <w:bottom w:val="nil"/>
              <w:right w:val="nil"/>
            </w:tcBorders>
            <w:shd w:val="clear" w:color="000000" w:fill="D9D9D9"/>
            <w:noWrap/>
            <w:vAlign w:val="bottom"/>
          </w:tcPr>
          <w:p w14:paraId="02FD559E" w14:textId="4ECCF670" w:rsidR="002A7AF7" w:rsidRPr="00BE20BD" w:rsidRDefault="002A7AF7" w:rsidP="002A7AF7">
            <w:pPr>
              <w:spacing w:line="240" w:lineRule="auto"/>
              <w:jc w:val="right"/>
              <w:rPr>
                <w:rFonts w:eastAsia="Times New Roman" w:cs="Arial"/>
                <w:color w:val="000000"/>
                <w:sz w:val="16"/>
                <w:szCs w:val="16"/>
                <w:lang w:val="de-CH" w:eastAsia="de-CH"/>
              </w:rPr>
            </w:pPr>
          </w:p>
        </w:tc>
      </w:tr>
      <w:tr w:rsidR="002A7AF7" w:rsidRPr="00BE20BD" w14:paraId="494B08CA" w14:textId="77777777" w:rsidTr="00325292">
        <w:trPr>
          <w:trHeight w:val="241"/>
        </w:trPr>
        <w:tc>
          <w:tcPr>
            <w:tcW w:w="2886" w:type="dxa"/>
            <w:tcBorders>
              <w:top w:val="nil"/>
              <w:left w:val="nil"/>
              <w:bottom w:val="nil"/>
              <w:right w:val="nil"/>
            </w:tcBorders>
            <w:shd w:val="clear" w:color="000000" w:fill="F2F2F2"/>
            <w:noWrap/>
            <w:vAlign w:val="bottom"/>
            <w:hideMark/>
          </w:tcPr>
          <w:p w14:paraId="276835E8" w14:textId="77777777" w:rsidR="002A7AF7" w:rsidRPr="00BE20BD" w:rsidRDefault="002A7AF7" w:rsidP="002A7AF7">
            <w:pPr>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xml:space="preserve"> Market </w:t>
            </w:r>
            <w:proofErr w:type="spellStart"/>
            <w:r w:rsidRPr="00BE20BD">
              <w:rPr>
                <w:rFonts w:eastAsia="Times New Roman" w:cs="Arial"/>
                <w:color w:val="000000"/>
                <w:sz w:val="16"/>
                <w:szCs w:val="16"/>
                <w:lang w:val="de-CH" w:eastAsia="de-CH"/>
              </w:rPr>
              <w:t>risk</w:t>
            </w:r>
            <w:proofErr w:type="spellEnd"/>
          </w:p>
        </w:tc>
        <w:tc>
          <w:tcPr>
            <w:tcW w:w="196" w:type="dxa"/>
            <w:tcBorders>
              <w:top w:val="nil"/>
              <w:left w:val="nil"/>
              <w:bottom w:val="nil"/>
              <w:right w:val="nil"/>
            </w:tcBorders>
            <w:shd w:val="clear" w:color="000000" w:fill="FFFFFF"/>
            <w:noWrap/>
            <w:vAlign w:val="bottom"/>
            <w:hideMark/>
          </w:tcPr>
          <w:p w14:paraId="63E8D53A" w14:textId="77777777" w:rsidR="002A7AF7" w:rsidRPr="00BE20BD" w:rsidRDefault="002A7AF7" w:rsidP="002A7AF7">
            <w:pPr>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887" w:type="dxa"/>
            <w:tcBorders>
              <w:top w:val="nil"/>
              <w:left w:val="nil"/>
              <w:bottom w:val="nil"/>
              <w:right w:val="nil"/>
            </w:tcBorders>
            <w:shd w:val="clear" w:color="000000" w:fill="F2F2F2"/>
            <w:noWrap/>
            <w:vAlign w:val="bottom"/>
          </w:tcPr>
          <w:p w14:paraId="76490B00" w14:textId="7A7D79FF" w:rsidR="002A7AF7" w:rsidRPr="00BE20BD" w:rsidRDefault="002A7AF7" w:rsidP="002A7AF7">
            <w:pPr>
              <w:spacing w:line="240" w:lineRule="auto"/>
              <w:jc w:val="right"/>
              <w:rPr>
                <w:rFonts w:eastAsia="Times New Roman" w:cs="Arial"/>
                <w:color w:val="000000"/>
                <w:sz w:val="16"/>
                <w:szCs w:val="16"/>
                <w:lang w:val="de-CH" w:eastAsia="de-CH"/>
              </w:rPr>
            </w:pPr>
          </w:p>
        </w:tc>
        <w:tc>
          <w:tcPr>
            <w:tcW w:w="523" w:type="dxa"/>
            <w:tcBorders>
              <w:top w:val="nil"/>
              <w:left w:val="nil"/>
              <w:bottom w:val="nil"/>
              <w:right w:val="nil"/>
            </w:tcBorders>
            <w:shd w:val="clear" w:color="000000" w:fill="FFFFFF"/>
            <w:noWrap/>
            <w:vAlign w:val="bottom"/>
          </w:tcPr>
          <w:p w14:paraId="6B3805A5" w14:textId="11FB8DD9" w:rsidR="002A7AF7" w:rsidRPr="00BE20BD" w:rsidRDefault="002A7AF7" w:rsidP="002A7AF7">
            <w:pPr>
              <w:spacing w:line="240" w:lineRule="auto"/>
              <w:jc w:val="right"/>
              <w:rPr>
                <w:rFonts w:eastAsia="Times New Roman" w:cs="Arial"/>
                <w:color w:val="000000"/>
                <w:sz w:val="12"/>
                <w:szCs w:val="12"/>
                <w:lang w:val="de-CH" w:eastAsia="de-CH"/>
              </w:rPr>
            </w:pPr>
          </w:p>
        </w:tc>
        <w:tc>
          <w:tcPr>
            <w:tcW w:w="185" w:type="dxa"/>
            <w:tcBorders>
              <w:top w:val="nil"/>
              <w:left w:val="nil"/>
              <w:bottom w:val="nil"/>
              <w:right w:val="nil"/>
            </w:tcBorders>
            <w:shd w:val="clear" w:color="000000" w:fill="FFFFFF"/>
            <w:noWrap/>
            <w:vAlign w:val="bottom"/>
          </w:tcPr>
          <w:p w14:paraId="5F3D7484" w14:textId="5394E3FF" w:rsidR="002A7AF7" w:rsidRPr="00BE20BD" w:rsidRDefault="002A7AF7" w:rsidP="002A7AF7">
            <w:pPr>
              <w:spacing w:line="240" w:lineRule="auto"/>
              <w:rPr>
                <w:rFonts w:eastAsia="Times New Roman" w:cs="Arial"/>
                <w:color w:val="000000"/>
                <w:sz w:val="16"/>
                <w:szCs w:val="16"/>
                <w:lang w:val="de-CH" w:eastAsia="de-CH"/>
              </w:rPr>
            </w:pPr>
          </w:p>
        </w:tc>
        <w:tc>
          <w:tcPr>
            <w:tcW w:w="723" w:type="dxa"/>
            <w:tcBorders>
              <w:top w:val="nil"/>
              <w:left w:val="nil"/>
              <w:bottom w:val="nil"/>
              <w:right w:val="nil"/>
            </w:tcBorders>
            <w:shd w:val="clear" w:color="000000" w:fill="F2F2F2"/>
            <w:noWrap/>
            <w:vAlign w:val="bottom"/>
          </w:tcPr>
          <w:p w14:paraId="53ABC33E" w14:textId="15E6D563" w:rsidR="002A7AF7" w:rsidRPr="00BE20BD" w:rsidRDefault="002A7AF7" w:rsidP="002A7AF7">
            <w:pPr>
              <w:spacing w:line="240" w:lineRule="auto"/>
              <w:jc w:val="right"/>
              <w:rPr>
                <w:rFonts w:eastAsia="Times New Roman" w:cs="Arial"/>
                <w:color w:val="000000"/>
                <w:sz w:val="16"/>
                <w:szCs w:val="16"/>
                <w:lang w:val="de-CH" w:eastAsia="de-CH"/>
              </w:rPr>
            </w:pPr>
          </w:p>
        </w:tc>
        <w:tc>
          <w:tcPr>
            <w:tcW w:w="523" w:type="dxa"/>
            <w:tcBorders>
              <w:top w:val="nil"/>
              <w:left w:val="nil"/>
              <w:bottom w:val="nil"/>
              <w:right w:val="nil"/>
            </w:tcBorders>
            <w:shd w:val="clear" w:color="000000" w:fill="FFFFFF"/>
            <w:noWrap/>
            <w:vAlign w:val="bottom"/>
          </w:tcPr>
          <w:p w14:paraId="7F6E12D0" w14:textId="0FB46080" w:rsidR="002A7AF7" w:rsidRPr="00BE20BD" w:rsidRDefault="002A7AF7" w:rsidP="002A7AF7">
            <w:pPr>
              <w:spacing w:line="240" w:lineRule="auto"/>
              <w:jc w:val="right"/>
              <w:rPr>
                <w:rFonts w:eastAsia="Times New Roman" w:cs="Arial"/>
                <w:color w:val="000000"/>
                <w:sz w:val="12"/>
                <w:szCs w:val="12"/>
                <w:lang w:val="de-CH" w:eastAsia="de-CH"/>
              </w:rPr>
            </w:pPr>
          </w:p>
        </w:tc>
        <w:tc>
          <w:tcPr>
            <w:tcW w:w="232" w:type="dxa"/>
            <w:tcBorders>
              <w:top w:val="nil"/>
              <w:left w:val="nil"/>
              <w:bottom w:val="nil"/>
              <w:right w:val="nil"/>
            </w:tcBorders>
            <w:shd w:val="clear" w:color="000000" w:fill="FFFFFF"/>
            <w:noWrap/>
            <w:vAlign w:val="bottom"/>
          </w:tcPr>
          <w:p w14:paraId="3CD4A7FB" w14:textId="21853E51" w:rsidR="002A7AF7" w:rsidRPr="00BE20BD" w:rsidRDefault="002A7AF7" w:rsidP="002A7AF7">
            <w:pPr>
              <w:spacing w:line="240" w:lineRule="auto"/>
              <w:rPr>
                <w:rFonts w:eastAsia="Times New Roman" w:cs="Arial"/>
                <w:color w:val="000000"/>
                <w:sz w:val="16"/>
                <w:szCs w:val="16"/>
                <w:lang w:val="de-CH" w:eastAsia="de-CH"/>
              </w:rPr>
            </w:pPr>
          </w:p>
        </w:tc>
        <w:tc>
          <w:tcPr>
            <w:tcW w:w="618" w:type="dxa"/>
            <w:tcBorders>
              <w:top w:val="nil"/>
              <w:left w:val="nil"/>
              <w:bottom w:val="nil"/>
              <w:right w:val="nil"/>
            </w:tcBorders>
            <w:shd w:val="clear" w:color="000000" w:fill="F2F2F2"/>
            <w:noWrap/>
            <w:vAlign w:val="bottom"/>
          </w:tcPr>
          <w:p w14:paraId="453D09BF" w14:textId="3A065F5D" w:rsidR="002A7AF7" w:rsidRPr="00BE20BD" w:rsidRDefault="002A7AF7" w:rsidP="002A7AF7">
            <w:pPr>
              <w:spacing w:line="240" w:lineRule="auto"/>
              <w:jc w:val="right"/>
              <w:rPr>
                <w:rFonts w:eastAsia="Times New Roman" w:cs="Arial"/>
                <w:color w:val="000000"/>
                <w:sz w:val="16"/>
                <w:szCs w:val="16"/>
                <w:lang w:val="de-CH" w:eastAsia="de-CH"/>
              </w:rPr>
            </w:pPr>
          </w:p>
        </w:tc>
        <w:tc>
          <w:tcPr>
            <w:tcW w:w="505" w:type="dxa"/>
            <w:tcBorders>
              <w:top w:val="nil"/>
              <w:left w:val="nil"/>
              <w:bottom w:val="nil"/>
              <w:right w:val="nil"/>
            </w:tcBorders>
            <w:shd w:val="clear" w:color="000000" w:fill="FFFFFF"/>
            <w:noWrap/>
            <w:vAlign w:val="bottom"/>
          </w:tcPr>
          <w:p w14:paraId="51ABBBC1" w14:textId="16684AB2" w:rsidR="002A7AF7" w:rsidRPr="00BE20BD" w:rsidRDefault="002A7AF7" w:rsidP="002A7AF7">
            <w:pPr>
              <w:spacing w:line="240" w:lineRule="auto"/>
              <w:jc w:val="right"/>
              <w:rPr>
                <w:rFonts w:eastAsia="Times New Roman" w:cs="Arial"/>
                <w:color w:val="000000"/>
                <w:sz w:val="12"/>
                <w:szCs w:val="12"/>
                <w:lang w:val="de-CH" w:eastAsia="de-CH"/>
              </w:rPr>
            </w:pPr>
          </w:p>
        </w:tc>
        <w:tc>
          <w:tcPr>
            <w:tcW w:w="359" w:type="dxa"/>
            <w:tcBorders>
              <w:top w:val="nil"/>
              <w:left w:val="nil"/>
              <w:bottom w:val="nil"/>
              <w:right w:val="nil"/>
            </w:tcBorders>
            <w:shd w:val="clear" w:color="000000" w:fill="FFFFFF"/>
            <w:noWrap/>
            <w:vAlign w:val="bottom"/>
          </w:tcPr>
          <w:p w14:paraId="444EAD03" w14:textId="6749D474" w:rsidR="002A7AF7" w:rsidRPr="00BE20BD" w:rsidRDefault="002A7AF7" w:rsidP="002A7AF7">
            <w:pPr>
              <w:spacing w:line="240" w:lineRule="auto"/>
              <w:rPr>
                <w:rFonts w:eastAsia="Times New Roman" w:cs="Arial"/>
                <w:color w:val="000000"/>
                <w:sz w:val="16"/>
                <w:szCs w:val="16"/>
                <w:lang w:val="de-CH" w:eastAsia="de-CH"/>
              </w:rPr>
            </w:pPr>
          </w:p>
        </w:tc>
        <w:tc>
          <w:tcPr>
            <w:tcW w:w="913" w:type="dxa"/>
            <w:tcBorders>
              <w:top w:val="nil"/>
              <w:left w:val="nil"/>
              <w:bottom w:val="nil"/>
              <w:right w:val="nil"/>
            </w:tcBorders>
            <w:shd w:val="clear" w:color="000000" w:fill="F2F2F2"/>
            <w:noWrap/>
            <w:vAlign w:val="bottom"/>
          </w:tcPr>
          <w:p w14:paraId="19501406" w14:textId="62FB8C7F" w:rsidR="002A7AF7" w:rsidRPr="00BE20BD" w:rsidRDefault="002A7AF7" w:rsidP="002A7AF7">
            <w:pPr>
              <w:spacing w:line="240" w:lineRule="auto"/>
              <w:jc w:val="right"/>
              <w:rPr>
                <w:rFonts w:eastAsia="Times New Roman" w:cs="Arial"/>
                <w:color w:val="000000"/>
                <w:sz w:val="16"/>
                <w:szCs w:val="16"/>
                <w:lang w:val="de-CH" w:eastAsia="de-CH"/>
              </w:rPr>
            </w:pPr>
          </w:p>
        </w:tc>
        <w:tc>
          <w:tcPr>
            <w:tcW w:w="787" w:type="dxa"/>
            <w:tcBorders>
              <w:top w:val="nil"/>
              <w:left w:val="nil"/>
              <w:bottom w:val="nil"/>
              <w:right w:val="nil"/>
            </w:tcBorders>
            <w:shd w:val="clear" w:color="000000" w:fill="F2F2F2"/>
            <w:noWrap/>
            <w:vAlign w:val="bottom"/>
          </w:tcPr>
          <w:p w14:paraId="301CEC0B" w14:textId="1355F097" w:rsidR="002A7AF7" w:rsidRPr="00BE20BD" w:rsidRDefault="002A7AF7" w:rsidP="002A7AF7">
            <w:pPr>
              <w:spacing w:line="240" w:lineRule="auto"/>
              <w:jc w:val="right"/>
              <w:rPr>
                <w:rFonts w:eastAsia="Times New Roman" w:cs="Arial"/>
                <w:color w:val="000000"/>
                <w:sz w:val="16"/>
                <w:szCs w:val="16"/>
                <w:lang w:val="de-CH" w:eastAsia="de-CH"/>
              </w:rPr>
            </w:pPr>
          </w:p>
        </w:tc>
        <w:tc>
          <w:tcPr>
            <w:tcW w:w="567" w:type="dxa"/>
            <w:tcBorders>
              <w:top w:val="nil"/>
              <w:left w:val="nil"/>
              <w:bottom w:val="nil"/>
              <w:right w:val="nil"/>
            </w:tcBorders>
            <w:shd w:val="clear" w:color="000000" w:fill="F2F2F2"/>
            <w:noWrap/>
            <w:vAlign w:val="bottom"/>
          </w:tcPr>
          <w:p w14:paraId="60982EDF" w14:textId="132BD34D" w:rsidR="002A7AF7" w:rsidRPr="00BE20BD" w:rsidRDefault="002A7AF7" w:rsidP="002A7AF7">
            <w:pPr>
              <w:spacing w:line="240" w:lineRule="auto"/>
              <w:jc w:val="right"/>
              <w:rPr>
                <w:rFonts w:eastAsia="Times New Roman" w:cs="Arial"/>
                <w:color w:val="000000"/>
                <w:sz w:val="16"/>
                <w:szCs w:val="16"/>
                <w:lang w:val="de-CH" w:eastAsia="de-CH"/>
              </w:rPr>
            </w:pPr>
          </w:p>
        </w:tc>
      </w:tr>
      <w:tr w:rsidR="002A7AF7" w:rsidRPr="00BE20BD" w14:paraId="49486FFA" w14:textId="77777777" w:rsidTr="00325292">
        <w:trPr>
          <w:trHeight w:val="241"/>
        </w:trPr>
        <w:tc>
          <w:tcPr>
            <w:tcW w:w="2886" w:type="dxa"/>
            <w:tcBorders>
              <w:top w:val="nil"/>
              <w:left w:val="nil"/>
              <w:bottom w:val="nil"/>
              <w:right w:val="nil"/>
            </w:tcBorders>
            <w:shd w:val="clear" w:color="000000" w:fill="FFFFFF"/>
            <w:noWrap/>
            <w:vAlign w:val="bottom"/>
            <w:hideMark/>
          </w:tcPr>
          <w:p w14:paraId="5E9CF6D0" w14:textId="77777777" w:rsidR="002A7AF7" w:rsidRPr="00BE20BD" w:rsidRDefault="002A7AF7" w:rsidP="002A7AF7">
            <w:pPr>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xml:space="preserve"> </w:t>
            </w:r>
            <w:proofErr w:type="spellStart"/>
            <w:r w:rsidRPr="00BE20BD">
              <w:rPr>
                <w:rFonts w:eastAsia="Times New Roman" w:cs="Arial"/>
                <w:color w:val="000000"/>
                <w:sz w:val="16"/>
                <w:szCs w:val="16"/>
                <w:lang w:val="de-CH" w:eastAsia="de-CH"/>
              </w:rPr>
              <w:t>Credit</w:t>
            </w:r>
            <w:proofErr w:type="spellEnd"/>
            <w:r w:rsidRPr="00BE20BD">
              <w:rPr>
                <w:rFonts w:eastAsia="Times New Roman" w:cs="Arial"/>
                <w:color w:val="000000"/>
                <w:sz w:val="16"/>
                <w:szCs w:val="16"/>
                <w:lang w:val="de-CH" w:eastAsia="de-CH"/>
              </w:rPr>
              <w:t xml:space="preserve"> </w:t>
            </w:r>
            <w:proofErr w:type="spellStart"/>
            <w:r w:rsidRPr="00BE20BD">
              <w:rPr>
                <w:rFonts w:eastAsia="Times New Roman" w:cs="Arial"/>
                <w:color w:val="000000"/>
                <w:sz w:val="16"/>
                <w:szCs w:val="16"/>
                <w:lang w:val="de-CH" w:eastAsia="de-CH"/>
              </w:rPr>
              <w:t>risk</w:t>
            </w:r>
            <w:proofErr w:type="spellEnd"/>
          </w:p>
        </w:tc>
        <w:tc>
          <w:tcPr>
            <w:tcW w:w="196" w:type="dxa"/>
            <w:tcBorders>
              <w:top w:val="nil"/>
              <w:left w:val="nil"/>
              <w:bottom w:val="nil"/>
              <w:right w:val="nil"/>
            </w:tcBorders>
            <w:shd w:val="clear" w:color="000000" w:fill="FFFFFF"/>
            <w:noWrap/>
            <w:vAlign w:val="bottom"/>
            <w:hideMark/>
          </w:tcPr>
          <w:p w14:paraId="46B563B3" w14:textId="77777777" w:rsidR="002A7AF7" w:rsidRPr="00BE20BD" w:rsidRDefault="002A7AF7" w:rsidP="002A7AF7">
            <w:pPr>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887" w:type="dxa"/>
            <w:tcBorders>
              <w:top w:val="nil"/>
              <w:left w:val="nil"/>
              <w:bottom w:val="nil"/>
              <w:right w:val="nil"/>
            </w:tcBorders>
            <w:shd w:val="clear" w:color="000000" w:fill="FFFFFF"/>
            <w:noWrap/>
            <w:vAlign w:val="bottom"/>
          </w:tcPr>
          <w:p w14:paraId="37BEB793" w14:textId="337D407B" w:rsidR="002A7AF7" w:rsidRPr="00BE20BD" w:rsidRDefault="002A7AF7" w:rsidP="002A7AF7">
            <w:pPr>
              <w:spacing w:line="240" w:lineRule="auto"/>
              <w:jc w:val="right"/>
              <w:rPr>
                <w:rFonts w:eastAsia="Times New Roman" w:cs="Arial"/>
                <w:color w:val="000000"/>
                <w:sz w:val="16"/>
                <w:szCs w:val="16"/>
                <w:lang w:val="de-CH" w:eastAsia="de-CH"/>
              </w:rPr>
            </w:pPr>
          </w:p>
        </w:tc>
        <w:tc>
          <w:tcPr>
            <w:tcW w:w="523" w:type="dxa"/>
            <w:tcBorders>
              <w:top w:val="nil"/>
              <w:left w:val="nil"/>
              <w:bottom w:val="nil"/>
              <w:right w:val="nil"/>
            </w:tcBorders>
            <w:shd w:val="clear" w:color="000000" w:fill="FFFFFF"/>
            <w:noWrap/>
            <w:vAlign w:val="bottom"/>
          </w:tcPr>
          <w:p w14:paraId="2A954B4F" w14:textId="3941FC6A" w:rsidR="002A7AF7" w:rsidRPr="00BE20BD" w:rsidRDefault="002A7AF7" w:rsidP="002A7AF7">
            <w:pPr>
              <w:spacing w:line="240" w:lineRule="auto"/>
              <w:jc w:val="right"/>
              <w:rPr>
                <w:rFonts w:eastAsia="Times New Roman" w:cs="Arial"/>
                <w:color w:val="000000"/>
                <w:sz w:val="12"/>
                <w:szCs w:val="12"/>
                <w:lang w:val="de-CH" w:eastAsia="de-CH"/>
              </w:rPr>
            </w:pPr>
          </w:p>
        </w:tc>
        <w:tc>
          <w:tcPr>
            <w:tcW w:w="185" w:type="dxa"/>
            <w:tcBorders>
              <w:top w:val="nil"/>
              <w:left w:val="nil"/>
              <w:bottom w:val="nil"/>
              <w:right w:val="nil"/>
            </w:tcBorders>
            <w:shd w:val="clear" w:color="000000" w:fill="FFFFFF"/>
            <w:noWrap/>
            <w:vAlign w:val="bottom"/>
          </w:tcPr>
          <w:p w14:paraId="3C76E56C" w14:textId="608DC16A" w:rsidR="002A7AF7" w:rsidRPr="00BE20BD" w:rsidRDefault="002A7AF7" w:rsidP="002A7AF7">
            <w:pPr>
              <w:spacing w:line="240" w:lineRule="auto"/>
              <w:rPr>
                <w:rFonts w:eastAsia="Times New Roman" w:cs="Arial"/>
                <w:color w:val="000000"/>
                <w:sz w:val="16"/>
                <w:szCs w:val="16"/>
                <w:lang w:val="de-CH" w:eastAsia="de-CH"/>
              </w:rPr>
            </w:pPr>
          </w:p>
        </w:tc>
        <w:tc>
          <w:tcPr>
            <w:tcW w:w="723" w:type="dxa"/>
            <w:tcBorders>
              <w:top w:val="nil"/>
              <w:left w:val="nil"/>
              <w:bottom w:val="nil"/>
              <w:right w:val="nil"/>
            </w:tcBorders>
            <w:shd w:val="clear" w:color="000000" w:fill="FFFFFF"/>
            <w:noWrap/>
            <w:vAlign w:val="bottom"/>
          </w:tcPr>
          <w:p w14:paraId="384C4444" w14:textId="3F029152" w:rsidR="002A7AF7" w:rsidRPr="00BE20BD" w:rsidRDefault="002A7AF7" w:rsidP="002A7AF7">
            <w:pPr>
              <w:spacing w:line="240" w:lineRule="auto"/>
              <w:jc w:val="right"/>
              <w:rPr>
                <w:rFonts w:eastAsia="Times New Roman" w:cs="Arial"/>
                <w:color w:val="000000"/>
                <w:sz w:val="16"/>
                <w:szCs w:val="16"/>
                <w:lang w:val="de-CH" w:eastAsia="de-CH"/>
              </w:rPr>
            </w:pPr>
          </w:p>
        </w:tc>
        <w:tc>
          <w:tcPr>
            <w:tcW w:w="523" w:type="dxa"/>
            <w:tcBorders>
              <w:top w:val="nil"/>
              <w:left w:val="nil"/>
              <w:bottom w:val="nil"/>
              <w:right w:val="nil"/>
            </w:tcBorders>
            <w:shd w:val="clear" w:color="000000" w:fill="FFFFFF"/>
            <w:noWrap/>
            <w:vAlign w:val="bottom"/>
          </w:tcPr>
          <w:p w14:paraId="60E3AAFC" w14:textId="44424FF7" w:rsidR="002A7AF7" w:rsidRPr="00BE20BD" w:rsidRDefault="002A7AF7" w:rsidP="002A7AF7">
            <w:pPr>
              <w:spacing w:line="240" w:lineRule="auto"/>
              <w:jc w:val="right"/>
              <w:rPr>
                <w:rFonts w:eastAsia="Times New Roman" w:cs="Arial"/>
                <w:color w:val="000000"/>
                <w:sz w:val="12"/>
                <w:szCs w:val="12"/>
                <w:lang w:val="de-CH" w:eastAsia="de-CH"/>
              </w:rPr>
            </w:pPr>
          </w:p>
        </w:tc>
        <w:tc>
          <w:tcPr>
            <w:tcW w:w="232" w:type="dxa"/>
            <w:tcBorders>
              <w:top w:val="nil"/>
              <w:left w:val="nil"/>
              <w:bottom w:val="nil"/>
              <w:right w:val="nil"/>
            </w:tcBorders>
            <w:shd w:val="clear" w:color="000000" w:fill="FFFFFF"/>
            <w:noWrap/>
            <w:vAlign w:val="bottom"/>
          </w:tcPr>
          <w:p w14:paraId="19236DED" w14:textId="7E98BAC7" w:rsidR="002A7AF7" w:rsidRPr="00BE20BD" w:rsidRDefault="002A7AF7" w:rsidP="002A7AF7">
            <w:pPr>
              <w:spacing w:line="240" w:lineRule="auto"/>
              <w:rPr>
                <w:rFonts w:eastAsia="Times New Roman" w:cs="Arial"/>
                <w:color w:val="000000"/>
                <w:sz w:val="16"/>
                <w:szCs w:val="16"/>
                <w:lang w:val="de-CH" w:eastAsia="de-CH"/>
              </w:rPr>
            </w:pPr>
          </w:p>
        </w:tc>
        <w:tc>
          <w:tcPr>
            <w:tcW w:w="618" w:type="dxa"/>
            <w:tcBorders>
              <w:top w:val="nil"/>
              <w:left w:val="nil"/>
              <w:bottom w:val="nil"/>
              <w:right w:val="nil"/>
            </w:tcBorders>
            <w:shd w:val="clear" w:color="000000" w:fill="FFFFFF"/>
            <w:noWrap/>
            <w:vAlign w:val="bottom"/>
          </w:tcPr>
          <w:p w14:paraId="7F3CD18B" w14:textId="32D7099E" w:rsidR="002A7AF7" w:rsidRPr="00BE20BD" w:rsidRDefault="002A7AF7" w:rsidP="002A7AF7">
            <w:pPr>
              <w:spacing w:line="240" w:lineRule="auto"/>
              <w:jc w:val="right"/>
              <w:rPr>
                <w:rFonts w:eastAsia="Times New Roman" w:cs="Arial"/>
                <w:color w:val="000000"/>
                <w:sz w:val="16"/>
                <w:szCs w:val="16"/>
                <w:lang w:val="de-CH" w:eastAsia="de-CH"/>
              </w:rPr>
            </w:pPr>
          </w:p>
        </w:tc>
        <w:tc>
          <w:tcPr>
            <w:tcW w:w="505" w:type="dxa"/>
            <w:tcBorders>
              <w:top w:val="nil"/>
              <w:left w:val="nil"/>
              <w:bottom w:val="nil"/>
              <w:right w:val="nil"/>
            </w:tcBorders>
            <w:shd w:val="clear" w:color="000000" w:fill="FFFFFF"/>
            <w:noWrap/>
            <w:vAlign w:val="bottom"/>
          </w:tcPr>
          <w:p w14:paraId="5B3FC764" w14:textId="4A54D0B2" w:rsidR="002A7AF7" w:rsidRPr="00BE20BD" w:rsidRDefault="002A7AF7" w:rsidP="002A7AF7">
            <w:pPr>
              <w:spacing w:line="240" w:lineRule="auto"/>
              <w:jc w:val="right"/>
              <w:rPr>
                <w:rFonts w:eastAsia="Times New Roman" w:cs="Arial"/>
                <w:color w:val="000000"/>
                <w:sz w:val="12"/>
                <w:szCs w:val="12"/>
                <w:lang w:val="de-CH" w:eastAsia="de-CH"/>
              </w:rPr>
            </w:pPr>
          </w:p>
        </w:tc>
        <w:tc>
          <w:tcPr>
            <w:tcW w:w="359" w:type="dxa"/>
            <w:tcBorders>
              <w:top w:val="nil"/>
              <w:left w:val="nil"/>
              <w:bottom w:val="nil"/>
              <w:right w:val="nil"/>
            </w:tcBorders>
            <w:shd w:val="clear" w:color="000000" w:fill="FFFFFF"/>
            <w:noWrap/>
            <w:vAlign w:val="bottom"/>
          </w:tcPr>
          <w:p w14:paraId="38D137F2" w14:textId="302303C8" w:rsidR="002A7AF7" w:rsidRPr="00BE20BD" w:rsidRDefault="002A7AF7" w:rsidP="002A7AF7">
            <w:pPr>
              <w:spacing w:line="240" w:lineRule="auto"/>
              <w:rPr>
                <w:rFonts w:eastAsia="Times New Roman" w:cs="Arial"/>
                <w:color w:val="000000"/>
                <w:sz w:val="16"/>
                <w:szCs w:val="16"/>
                <w:lang w:val="de-CH" w:eastAsia="de-CH"/>
              </w:rPr>
            </w:pPr>
          </w:p>
        </w:tc>
        <w:tc>
          <w:tcPr>
            <w:tcW w:w="913" w:type="dxa"/>
            <w:tcBorders>
              <w:top w:val="nil"/>
              <w:left w:val="nil"/>
              <w:bottom w:val="nil"/>
              <w:right w:val="nil"/>
            </w:tcBorders>
            <w:shd w:val="clear" w:color="000000" w:fill="FFFFFF"/>
            <w:noWrap/>
            <w:vAlign w:val="bottom"/>
          </w:tcPr>
          <w:p w14:paraId="4D5C18FA" w14:textId="51DD4168" w:rsidR="002A7AF7" w:rsidRPr="00BE20BD" w:rsidRDefault="002A7AF7" w:rsidP="002A7AF7">
            <w:pPr>
              <w:spacing w:line="240" w:lineRule="auto"/>
              <w:jc w:val="right"/>
              <w:rPr>
                <w:rFonts w:eastAsia="Times New Roman" w:cs="Arial"/>
                <w:color w:val="000000"/>
                <w:sz w:val="16"/>
                <w:szCs w:val="16"/>
                <w:lang w:val="de-CH" w:eastAsia="de-CH"/>
              </w:rPr>
            </w:pPr>
          </w:p>
        </w:tc>
        <w:tc>
          <w:tcPr>
            <w:tcW w:w="787" w:type="dxa"/>
            <w:tcBorders>
              <w:top w:val="nil"/>
              <w:left w:val="nil"/>
              <w:bottom w:val="nil"/>
              <w:right w:val="nil"/>
            </w:tcBorders>
            <w:shd w:val="clear" w:color="000000" w:fill="FFFFFF"/>
            <w:noWrap/>
            <w:vAlign w:val="bottom"/>
          </w:tcPr>
          <w:p w14:paraId="61371565" w14:textId="2BD2D25F" w:rsidR="002A7AF7" w:rsidRPr="00BE20BD" w:rsidRDefault="002A7AF7" w:rsidP="002A7AF7">
            <w:pPr>
              <w:spacing w:line="240" w:lineRule="auto"/>
              <w:jc w:val="right"/>
              <w:rPr>
                <w:rFonts w:eastAsia="Times New Roman" w:cs="Arial"/>
                <w:color w:val="000000"/>
                <w:sz w:val="16"/>
                <w:szCs w:val="16"/>
                <w:lang w:val="de-CH" w:eastAsia="de-CH"/>
              </w:rPr>
            </w:pPr>
          </w:p>
        </w:tc>
        <w:tc>
          <w:tcPr>
            <w:tcW w:w="567" w:type="dxa"/>
            <w:tcBorders>
              <w:top w:val="nil"/>
              <w:left w:val="nil"/>
              <w:bottom w:val="nil"/>
              <w:right w:val="nil"/>
            </w:tcBorders>
            <w:shd w:val="clear" w:color="000000" w:fill="FFFFFF"/>
            <w:noWrap/>
            <w:vAlign w:val="bottom"/>
          </w:tcPr>
          <w:p w14:paraId="193CB715" w14:textId="3ABE265F" w:rsidR="002A7AF7" w:rsidRPr="00BE20BD" w:rsidRDefault="002A7AF7" w:rsidP="002A7AF7">
            <w:pPr>
              <w:spacing w:line="240" w:lineRule="auto"/>
              <w:jc w:val="right"/>
              <w:rPr>
                <w:rFonts w:eastAsia="Times New Roman" w:cs="Arial"/>
                <w:color w:val="000000"/>
                <w:sz w:val="16"/>
                <w:szCs w:val="16"/>
                <w:lang w:val="de-CH" w:eastAsia="de-CH"/>
              </w:rPr>
            </w:pPr>
          </w:p>
        </w:tc>
      </w:tr>
      <w:tr w:rsidR="002A7AF7" w:rsidRPr="00BE20BD" w14:paraId="690A0D25" w14:textId="77777777" w:rsidTr="00325292">
        <w:trPr>
          <w:trHeight w:val="241"/>
        </w:trPr>
        <w:tc>
          <w:tcPr>
            <w:tcW w:w="2886" w:type="dxa"/>
            <w:tcBorders>
              <w:top w:val="nil"/>
              <w:left w:val="nil"/>
              <w:bottom w:val="nil"/>
              <w:right w:val="nil"/>
            </w:tcBorders>
            <w:shd w:val="clear" w:color="000000" w:fill="F2F2F2"/>
            <w:noWrap/>
            <w:vAlign w:val="bottom"/>
            <w:hideMark/>
          </w:tcPr>
          <w:p w14:paraId="7AFCB15E" w14:textId="77777777" w:rsidR="002A7AF7" w:rsidRPr="00BE20BD" w:rsidRDefault="002A7AF7" w:rsidP="002A7AF7">
            <w:pPr>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xml:space="preserve"> Insurance </w:t>
            </w:r>
            <w:proofErr w:type="spellStart"/>
            <w:r w:rsidRPr="00BE20BD">
              <w:rPr>
                <w:rFonts w:eastAsia="Times New Roman" w:cs="Arial"/>
                <w:color w:val="000000"/>
                <w:sz w:val="16"/>
                <w:szCs w:val="16"/>
                <w:lang w:val="de-CH" w:eastAsia="de-CH"/>
              </w:rPr>
              <w:t>risk</w:t>
            </w:r>
            <w:proofErr w:type="spellEnd"/>
          </w:p>
        </w:tc>
        <w:tc>
          <w:tcPr>
            <w:tcW w:w="196" w:type="dxa"/>
            <w:tcBorders>
              <w:top w:val="nil"/>
              <w:left w:val="nil"/>
              <w:bottom w:val="nil"/>
              <w:right w:val="nil"/>
            </w:tcBorders>
            <w:shd w:val="clear" w:color="000000" w:fill="FFFFFF"/>
            <w:noWrap/>
            <w:vAlign w:val="bottom"/>
            <w:hideMark/>
          </w:tcPr>
          <w:p w14:paraId="4B2D6466" w14:textId="77777777" w:rsidR="002A7AF7" w:rsidRPr="00BE20BD" w:rsidRDefault="002A7AF7" w:rsidP="002A7AF7">
            <w:pPr>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887" w:type="dxa"/>
            <w:tcBorders>
              <w:top w:val="nil"/>
              <w:left w:val="nil"/>
              <w:bottom w:val="nil"/>
              <w:right w:val="nil"/>
            </w:tcBorders>
            <w:shd w:val="clear" w:color="000000" w:fill="F2F2F2"/>
            <w:noWrap/>
            <w:vAlign w:val="bottom"/>
          </w:tcPr>
          <w:p w14:paraId="277183A2" w14:textId="0EB8AA4A" w:rsidR="002A7AF7" w:rsidRPr="00BE20BD" w:rsidRDefault="002A7AF7" w:rsidP="002A7AF7">
            <w:pPr>
              <w:spacing w:line="240" w:lineRule="auto"/>
              <w:jc w:val="right"/>
              <w:rPr>
                <w:rFonts w:eastAsia="Times New Roman" w:cs="Arial"/>
                <w:color w:val="000000"/>
                <w:sz w:val="16"/>
                <w:szCs w:val="16"/>
                <w:lang w:val="de-CH" w:eastAsia="de-CH"/>
              </w:rPr>
            </w:pPr>
          </w:p>
        </w:tc>
        <w:tc>
          <w:tcPr>
            <w:tcW w:w="523" w:type="dxa"/>
            <w:tcBorders>
              <w:top w:val="nil"/>
              <w:left w:val="nil"/>
              <w:bottom w:val="nil"/>
              <w:right w:val="nil"/>
            </w:tcBorders>
            <w:shd w:val="clear" w:color="000000" w:fill="FFFFFF"/>
            <w:noWrap/>
            <w:vAlign w:val="bottom"/>
          </w:tcPr>
          <w:p w14:paraId="48D3AAE1" w14:textId="157398C6" w:rsidR="002A7AF7" w:rsidRPr="00BE20BD" w:rsidRDefault="002A7AF7" w:rsidP="002A7AF7">
            <w:pPr>
              <w:spacing w:line="240" w:lineRule="auto"/>
              <w:jc w:val="right"/>
              <w:rPr>
                <w:rFonts w:eastAsia="Times New Roman" w:cs="Arial"/>
                <w:color w:val="000000"/>
                <w:sz w:val="12"/>
                <w:szCs w:val="12"/>
                <w:lang w:val="de-CH" w:eastAsia="de-CH"/>
              </w:rPr>
            </w:pPr>
          </w:p>
        </w:tc>
        <w:tc>
          <w:tcPr>
            <w:tcW w:w="185" w:type="dxa"/>
            <w:tcBorders>
              <w:top w:val="nil"/>
              <w:left w:val="nil"/>
              <w:bottom w:val="nil"/>
              <w:right w:val="nil"/>
            </w:tcBorders>
            <w:shd w:val="clear" w:color="000000" w:fill="FFFFFF"/>
            <w:noWrap/>
            <w:vAlign w:val="bottom"/>
          </w:tcPr>
          <w:p w14:paraId="7B4F4916" w14:textId="667AF0C5" w:rsidR="002A7AF7" w:rsidRPr="00BE20BD" w:rsidRDefault="002A7AF7" w:rsidP="002A7AF7">
            <w:pPr>
              <w:spacing w:line="240" w:lineRule="auto"/>
              <w:rPr>
                <w:rFonts w:eastAsia="Times New Roman" w:cs="Arial"/>
                <w:color w:val="000000"/>
                <w:sz w:val="16"/>
                <w:szCs w:val="16"/>
                <w:lang w:val="de-CH" w:eastAsia="de-CH"/>
              </w:rPr>
            </w:pPr>
          </w:p>
        </w:tc>
        <w:tc>
          <w:tcPr>
            <w:tcW w:w="723" w:type="dxa"/>
            <w:tcBorders>
              <w:top w:val="nil"/>
              <w:left w:val="nil"/>
              <w:bottom w:val="nil"/>
              <w:right w:val="nil"/>
            </w:tcBorders>
            <w:shd w:val="clear" w:color="000000" w:fill="F2F2F2"/>
            <w:noWrap/>
            <w:vAlign w:val="bottom"/>
          </w:tcPr>
          <w:p w14:paraId="2BB3B88B" w14:textId="2FABA237" w:rsidR="002A7AF7" w:rsidRPr="00BE20BD" w:rsidRDefault="002A7AF7" w:rsidP="002A7AF7">
            <w:pPr>
              <w:spacing w:line="240" w:lineRule="auto"/>
              <w:jc w:val="right"/>
              <w:rPr>
                <w:rFonts w:eastAsia="Times New Roman" w:cs="Arial"/>
                <w:color w:val="000000"/>
                <w:sz w:val="16"/>
                <w:szCs w:val="16"/>
                <w:lang w:val="de-CH" w:eastAsia="de-CH"/>
              </w:rPr>
            </w:pPr>
          </w:p>
        </w:tc>
        <w:tc>
          <w:tcPr>
            <w:tcW w:w="523" w:type="dxa"/>
            <w:tcBorders>
              <w:top w:val="nil"/>
              <w:left w:val="nil"/>
              <w:bottom w:val="nil"/>
              <w:right w:val="nil"/>
            </w:tcBorders>
            <w:shd w:val="clear" w:color="000000" w:fill="FFFFFF"/>
            <w:noWrap/>
            <w:vAlign w:val="bottom"/>
          </w:tcPr>
          <w:p w14:paraId="28BB8789" w14:textId="74B71B9F" w:rsidR="002A7AF7" w:rsidRPr="00BE20BD" w:rsidRDefault="002A7AF7" w:rsidP="002A7AF7">
            <w:pPr>
              <w:spacing w:line="240" w:lineRule="auto"/>
              <w:jc w:val="right"/>
              <w:rPr>
                <w:rFonts w:eastAsia="Times New Roman" w:cs="Arial"/>
                <w:color w:val="000000"/>
                <w:sz w:val="12"/>
                <w:szCs w:val="12"/>
                <w:lang w:val="de-CH" w:eastAsia="de-CH"/>
              </w:rPr>
            </w:pPr>
          </w:p>
        </w:tc>
        <w:tc>
          <w:tcPr>
            <w:tcW w:w="232" w:type="dxa"/>
            <w:tcBorders>
              <w:top w:val="nil"/>
              <w:left w:val="nil"/>
              <w:bottom w:val="nil"/>
              <w:right w:val="nil"/>
            </w:tcBorders>
            <w:shd w:val="clear" w:color="000000" w:fill="FFFFFF"/>
            <w:noWrap/>
            <w:vAlign w:val="bottom"/>
          </w:tcPr>
          <w:p w14:paraId="3D4B60D8" w14:textId="609CA6C7" w:rsidR="002A7AF7" w:rsidRPr="00BE20BD" w:rsidRDefault="002A7AF7" w:rsidP="002A7AF7">
            <w:pPr>
              <w:spacing w:line="240" w:lineRule="auto"/>
              <w:rPr>
                <w:rFonts w:eastAsia="Times New Roman" w:cs="Arial"/>
                <w:color w:val="000000"/>
                <w:sz w:val="16"/>
                <w:szCs w:val="16"/>
                <w:lang w:val="de-CH" w:eastAsia="de-CH"/>
              </w:rPr>
            </w:pPr>
          </w:p>
        </w:tc>
        <w:tc>
          <w:tcPr>
            <w:tcW w:w="618" w:type="dxa"/>
            <w:tcBorders>
              <w:top w:val="nil"/>
              <w:left w:val="nil"/>
              <w:bottom w:val="nil"/>
              <w:right w:val="nil"/>
            </w:tcBorders>
            <w:shd w:val="clear" w:color="000000" w:fill="F2F2F2"/>
            <w:noWrap/>
            <w:vAlign w:val="bottom"/>
          </w:tcPr>
          <w:p w14:paraId="0FCF22A7" w14:textId="049198B9" w:rsidR="002A7AF7" w:rsidRPr="00BE20BD" w:rsidRDefault="002A7AF7" w:rsidP="002A7AF7">
            <w:pPr>
              <w:spacing w:line="240" w:lineRule="auto"/>
              <w:jc w:val="right"/>
              <w:rPr>
                <w:rFonts w:eastAsia="Times New Roman" w:cs="Arial"/>
                <w:color w:val="000000"/>
                <w:sz w:val="16"/>
                <w:szCs w:val="16"/>
                <w:lang w:val="de-CH" w:eastAsia="de-CH"/>
              </w:rPr>
            </w:pPr>
          </w:p>
        </w:tc>
        <w:tc>
          <w:tcPr>
            <w:tcW w:w="505" w:type="dxa"/>
            <w:tcBorders>
              <w:top w:val="nil"/>
              <w:left w:val="nil"/>
              <w:bottom w:val="nil"/>
              <w:right w:val="nil"/>
            </w:tcBorders>
            <w:shd w:val="clear" w:color="000000" w:fill="FFFFFF"/>
            <w:noWrap/>
            <w:vAlign w:val="bottom"/>
          </w:tcPr>
          <w:p w14:paraId="18710E87" w14:textId="1D05DA3A" w:rsidR="002A7AF7" w:rsidRPr="00BE20BD" w:rsidRDefault="002A7AF7" w:rsidP="002A7AF7">
            <w:pPr>
              <w:spacing w:line="240" w:lineRule="auto"/>
              <w:jc w:val="right"/>
              <w:rPr>
                <w:rFonts w:eastAsia="Times New Roman" w:cs="Arial"/>
                <w:color w:val="000000"/>
                <w:sz w:val="12"/>
                <w:szCs w:val="12"/>
                <w:lang w:val="de-CH" w:eastAsia="de-CH"/>
              </w:rPr>
            </w:pPr>
          </w:p>
        </w:tc>
        <w:tc>
          <w:tcPr>
            <w:tcW w:w="359" w:type="dxa"/>
            <w:tcBorders>
              <w:top w:val="nil"/>
              <w:left w:val="nil"/>
              <w:bottom w:val="nil"/>
              <w:right w:val="nil"/>
            </w:tcBorders>
            <w:shd w:val="clear" w:color="000000" w:fill="FFFFFF"/>
            <w:noWrap/>
            <w:vAlign w:val="bottom"/>
          </w:tcPr>
          <w:p w14:paraId="44470AD0" w14:textId="695FD89C" w:rsidR="002A7AF7" w:rsidRPr="00BE20BD" w:rsidRDefault="002A7AF7" w:rsidP="002A7AF7">
            <w:pPr>
              <w:spacing w:line="240" w:lineRule="auto"/>
              <w:rPr>
                <w:rFonts w:eastAsia="Times New Roman" w:cs="Arial"/>
                <w:color w:val="000000"/>
                <w:sz w:val="16"/>
                <w:szCs w:val="16"/>
                <w:lang w:val="de-CH" w:eastAsia="de-CH"/>
              </w:rPr>
            </w:pPr>
          </w:p>
        </w:tc>
        <w:tc>
          <w:tcPr>
            <w:tcW w:w="913" w:type="dxa"/>
            <w:tcBorders>
              <w:top w:val="nil"/>
              <w:left w:val="nil"/>
              <w:bottom w:val="nil"/>
              <w:right w:val="nil"/>
            </w:tcBorders>
            <w:shd w:val="clear" w:color="000000" w:fill="F2F2F2"/>
            <w:noWrap/>
            <w:vAlign w:val="bottom"/>
          </w:tcPr>
          <w:p w14:paraId="7476A91F" w14:textId="2B33480D" w:rsidR="002A7AF7" w:rsidRPr="00BE20BD" w:rsidRDefault="002A7AF7" w:rsidP="002A7AF7">
            <w:pPr>
              <w:spacing w:line="240" w:lineRule="auto"/>
              <w:jc w:val="right"/>
              <w:rPr>
                <w:rFonts w:eastAsia="Times New Roman" w:cs="Arial"/>
                <w:color w:val="000000"/>
                <w:sz w:val="16"/>
                <w:szCs w:val="16"/>
                <w:lang w:val="de-CH" w:eastAsia="de-CH"/>
              </w:rPr>
            </w:pPr>
          </w:p>
        </w:tc>
        <w:tc>
          <w:tcPr>
            <w:tcW w:w="787" w:type="dxa"/>
            <w:tcBorders>
              <w:top w:val="nil"/>
              <w:left w:val="nil"/>
              <w:bottom w:val="nil"/>
              <w:right w:val="nil"/>
            </w:tcBorders>
            <w:shd w:val="clear" w:color="000000" w:fill="F2F2F2"/>
            <w:noWrap/>
            <w:vAlign w:val="bottom"/>
          </w:tcPr>
          <w:p w14:paraId="0743091E" w14:textId="3E21A13C" w:rsidR="002A7AF7" w:rsidRPr="00BE20BD" w:rsidRDefault="002A7AF7" w:rsidP="002A7AF7">
            <w:pPr>
              <w:spacing w:line="240" w:lineRule="auto"/>
              <w:jc w:val="right"/>
              <w:rPr>
                <w:rFonts w:eastAsia="Times New Roman" w:cs="Arial"/>
                <w:color w:val="000000"/>
                <w:sz w:val="16"/>
                <w:szCs w:val="16"/>
                <w:lang w:val="de-CH" w:eastAsia="de-CH"/>
              </w:rPr>
            </w:pPr>
          </w:p>
        </w:tc>
        <w:tc>
          <w:tcPr>
            <w:tcW w:w="567" w:type="dxa"/>
            <w:tcBorders>
              <w:top w:val="nil"/>
              <w:left w:val="nil"/>
              <w:bottom w:val="nil"/>
              <w:right w:val="nil"/>
            </w:tcBorders>
            <w:shd w:val="clear" w:color="000000" w:fill="F2F2F2"/>
            <w:noWrap/>
            <w:vAlign w:val="bottom"/>
          </w:tcPr>
          <w:p w14:paraId="31C18B4E" w14:textId="671F7D95" w:rsidR="002A7AF7" w:rsidRPr="00BE20BD" w:rsidRDefault="002A7AF7" w:rsidP="002A7AF7">
            <w:pPr>
              <w:spacing w:line="240" w:lineRule="auto"/>
              <w:jc w:val="right"/>
              <w:rPr>
                <w:rFonts w:eastAsia="Times New Roman" w:cs="Arial"/>
                <w:color w:val="000000"/>
                <w:sz w:val="16"/>
                <w:szCs w:val="16"/>
                <w:lang w:val="de-CH" w:eastAsia="de-CH"/>
              </w:rPr>
            </w:pPr>
          </w:p>
        </w:tc>
      </w:tr>
      <w:tr w:rsidR="002A7AF7" w:rsidRPr="00BE20BD" w14:paraId="70B58145" w14:textId="77777777" w:rsidTr="00325292">
        <w:trPr>
          <w:trHeight w:val="241"/>
        </w:trPr>
        <w:tc>
          <w:tcPr>
            <w:tcW w:w="2886" w:type="dxa"/>
            <w:tcBorders>
              <w:top w:val="nil"/>
              <w:left w:val="nil"/>
              <w:bottom w:val="nil"/>
              <w:right w:val="nil"/>
            </w:tcBorders>
            <w:shd w:val="clear" w:color="000000" w:fill="FFFFFF"/>
            <w:noWrap/>
            <w:vAlign w:val="bottom"/>
            <w:hideMark/>
          </w:tcPr>
          <w:p w14:paraId="5CF549A1" w14:textId="77777777" w:rsidR="002A7AF7" w:rsidRPr="00BE20BD" w:rsidRDefault="002A7AF7" w:rsidP="002A7AF7">
            <w:pPr>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xml:space="preserve"> </w:t>
            </w:r>
            <w:proofErr w:type="spellStart"/>
            <w:r w:rsidRPr="00BE20BD">
              <w:rPr>
                <w:rFonts w:eastAsia="Times New Roman" w:cs="Arial"/>
                <w:color w:val="000000"/>
                <w:sz w:val="16"/>
                <w:szCs w:val="16"/>
                <w:lang w:val="de-CH" w:eastAsia="de-CH"/>
              </w:rPr>
              <w:t>Diversification</w:t>
            </w:r>
            <w:proofErr w:type="spellEnd"/>
            <w:r w:rsidRPr="00BE20BD">
              <w:rPr>
                <w:rFonts w:eastAsia="Times New Roman" w:cs="Arial"/>
                <w:color w:val="000000"/>
                <w:sz w:val="16"/>
                <w:szCs w:val="16"/>
                <w:lang w:val="de-CH" w:eastAsia="de-CH"/>
              </w:rPr>
              <w:t xml:space="preserve"> </w:t>
            </w:r>
            <w:proofErr w:type="spellStart"/>
            <w:r w:rsidRPr="00BE20BD">
              <w:rPr>
                <w:rFonts w:eastAsia="Times New Roman" w:cs="Arial"/>
                <w:color w:val="000000"/>
                <w:sz w:val="16"/>
                <w:szCs w:val="16"/>
                <w:lang w:val="de-CH" w:eastAsia="de-CH"/>
              </w:rPr>
              <w:t>effect</w:t>
            </w:r>
            <w:proofErr w:type="spellEnd"/>
          </w:p>
          <w:p w14:paraId="41A72E2A" w14:textId="5F8DC617" w:rsidR="002C1C38" w:rsidRPr="00BE20BD" w:rsidRDefault="002C1C38" w:rsidP="002A7AF7">
            <w:pPr>
              <w:spacing w:line="240" w:lineRule="auto"/>
              <w:rPr>
                <w:rFonts w:eastAsia="Times New Roman" w:cs="Arial"/>
                <w:color w:val="000000"/>
                <w:sz w:val="16"/>
                <w:szCs w:val="16"/>
                <w:lang w:val="de-CH" w:eastAsia="de-CH"/>
              </w:rPr>
            </w:pPr>
          </w:p>
        </w:tc>
        <w:tc>
          <w:tcPr>
            <w:tcW w:w="196" w:type="dxa"/>
            <w:tcBorders>
              <w:top w:val="nil"/>
              <w:left w:val="nil"/>
              <w:bottom w:val="nil"/>
              <w:right w:val="nil"/>
            </w:tcBorders>
            <w:shd w:val="clear" w:color="000000" w:fill="FFFFFF"/>
            <w:noWrap/>
            <w:vAlign w:val="bottom"/>
            <w:hideMark/>
          </w:tcPr>
          <w:p w14:paraId="45A2E669" w14:textId="77777777" w:rsidR="002A7AF7" w:rsidRPr="00BE20BD" w:rsidRDefault="002A7AF7" w:rsidP="002A7AF7">
            <w:pPr>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887" w:type="dxa"/>
            <w:tcBorders>
              <w:top w:val="nil"/>
              <w:left w:val="nil"/>
              <w:bottom w:val="nil"/>
              <w:right w:val="nil"/>
            </w:tcBorders>
            <w:shd w:val="clear" w:color="000000" w:fill="FFFFFF"/>
            <w:noWrap/>
            <w:vAlign w:val="bottom"/>
          </w:tcPr>
          <w:p w14:paraId="156E2C3B" w14:textId="18C1FAA7" w:rsidR="002A7AF7" w:rsidRPr="00BE20BD" w:rsidRDefault="002A7AF7" w:rsidP="002A7AF7">
            <w:pPr>
              <w:spacing w:line="240" w:lineRule="auto"/>
              <w:jc w:val="right"/>
              <w:rPr>
                <w:rFonts w:eastAsia="Times New Roman" w:cs="Arial"/>
                <w:color w:val="000000"/>
                <w:sz w:val="16"/>
                <w:szCs w:val="16"/>
                <w:lang w:val="de-CH" w:eastAsia="de-CH"/>
              </w:rPr>
            </w:pPr>
          </w:p>
        </w:tc>
        <w:tc>
          <w:tcPr>
            <w:tcW w:w="523" w:type="dxa"/>
            <w:tcBorders>
              <w:top w:val="nil"/>
              <w:left w:val="nil"/>
              <w:bottom w:val="nil"/>
              <w:right w:val="nil"/>
            </w:tcBorders>
            <w:shd w:val="clear" w:color="000000" w:fill="FFFFFF"/>
            <w:noWrap/>
            <w:vAlign w:val="bottom"/>
          </w:tcPr>
          <w:p w14:paraId="3EA37DFE" w14:textId="6A59F968" w:rsidR="002A7AF7" w:rsidRPr="00BE20BD" w:rsidRDefault="002A7AF7" w:rsidP="002A7AF7">
            <w:pPr>
              <w:spacing w:line="240" w:lineRule="auto"/>
              <w:jc w:val="right"/>
              <w:rPr>
                <w:rFonts w:eastAsia="Times New Roman" w:cs="Arial"/>
                <w:color w:val="000000"/>
                <w:sz w:val="12"/>
                <w:szCs w:val="12"/>
                <w:lang w:val="de-CH" w:eastAsia="de-CH"/>
              </w:rPr>
            </w:pPr>
          </w:p>
        </w:tc>
        <w:tc>
          <w:tcPr>
            <w:tcW w:w="185" w:type="dxa"/>
            <w:tcBorders>
              <w:top w:val="nil"/>
              <w:left w:val="nil"/>
              <w:bottom w:val="nil"/>
              <w:right w:val="nil"/>
            </w:tcBorders>
            <w:shd w:val="clear" w:color="000000" w:fill="FFFFFF"/>
            <w:noWrap/>
            <w:vAlign w:val="bottom"/>
          </w:tcPr>
          <w:p w14:paraId="212559B5" w14:textId="725CBA0A" w:rsidR="002A7AF7" w:rsidRPr="00BE20BD" w:rsidRDefault="002A7AF7" w:rsidP="002A7AF7">
            <w:pPr>
              <w:spacing w:line="240" w:lineRule="auto"/>
              <w:rPr>
                <w:rFonts w:eastAsia="Times New Roman" w:cs="Arial"/>
                <w:color w:val="000000"/>
                <w:sz w:val="16"/>
                <w:szCs w:val="16"/>
                <w:lang w:val="de-CH" w:eastAsia="de-CH"/>
              </w:rPr>
            </w:pPr>
          </w:p>
        </w:tc>
        <w:tc>
          <w:tcPr>
            <w:tcW w:w="723" w:type="dxa"/>
            <w:tcBorders>
              <w:top w:val="nil"/>
              <w:left w:val="nil"/>
              <w:bottom w:val="nil"/>
              <w:right w:val="nil"/>
            </w:tcBorders>
            <w:shd w:val="clear" w:color="000000" w:fill="FFFFFF"/>
            <w:noWrap/>
            <w:vAlign w:val="bottom"/>
          </w:tcPr>
          <w:p w14:paraId="30EF45D4" w14:textId="7BFB4A42" w:rsidR="002A7AF7" w:rsidRPr="00BE20BD" w:rsidRDefault="002A7AF7" w:rsidP="002A7AF7">
            <w:pPr>
              <w:spacing w:line="240" w:lineRule="auto"/>
              <w:jc w:val="right"/>
              <w:rPr>
                <w:rFonts w:eastAsia="Times New Roman" w:cs="Arial"/>
                <w:color w:val="000000"/>
                <w:sz w:val="16"/>
                <w:szCs w:val="16"/>
                <w:lang w:val="de-CH" w:eastAsia="de-CH"/>
              </w:rPr>
            </w:pPr>
          </w:p>
        </w:tc>
        <w:tc>
          <w:tcPr>
            <w:tcW w:w="523" w:type="dxa"/>
            <w:tcBorders>
              <w:top w:val="nil"/>
              <w:left w:val="nil"/>
              <w:bottom w:val="nil"/>
              <w:right w:val="nil"/>
            </w:tcBorders>
            <w:shd w:val="clear" w:color="000000" w:fill="FFFFFF"/>
            <w:noWrap/>
            <w:vAlign w:val="bottom"/>
          </w:tcPr>
          <w:p w14:paraId="66569E05" w14:textId="267BF1E3" w:rsidR="002A7AF7" w:rsidRPr="00BE20BD" w:rsidRDefault="002A7AF7" w:rsidP="002A7AF7">
            <w:pPr>
              <w:spacing w:line="240" w:lineRule="auto"/>
              <w:jc w:val="right"/>
              <w:rPr>
                <w:rFonts w:eastAsia="Times New Roman" w:cs="Arial"/>
                <w:color w:val="000000"/>
                <w:sz w:val="12"/>
                <w:szCs w:val="12"/>
                <w:lang w:val="de-CH" w:eastAsia="de-CH"/>
              </w:rPr>
            </w:pPr>
          </w:p>
        </w:tc>
        <w:tc>
          <w:tcPr>
            <w:tcW w:w="232" w:type="dxa"/>
            <w:tcBorders>
              <w:top w:val="nil"/>
              <w:left w:val="nil"/>
              <w:bottom w:val="nil"/>
              <w:right w:val="nil"/>
            </w:tcBorders>
            <w:shd w:val="clear" w:color="000000" w:fill="FFFFFF"/>
            <w:noWrap/>
            <w:vAlign w:val="bottom"/>
          </w:tcPr>
          <w:p w14:paraId="23F91503" w14:textId="453BE98F" w:rsidR="002A7AF7" w:rsidRPr="00BE20BD" w:rsidRDefault="002A7AF7" w:rsidP="002A7AF7">
            <w:pPr>
              <w:spacing w:line="240" w:lineRule="auto"/>
              <w:rPr>
                <w:rFonts w:eastAsia="Times New Roman" w:cs="Arial"/>
                <w:color w:val="000000"/>
                <w:sz w:val="16"/>
                <w:szCs w:val="16"/>
                <w:lang w:val="de-CH" w:eastAsia="de-CH"/>
              </w:rPr>
            </w:pPr>
          </w:p>
        </w:tc>
        <w:tc>
          <w:tcPr>
            <w:tcW w:w="618" w:type="dxa"/>
            <w:tcBorders>
              <w:top w:val="nil"/>
              <w:left w:val="nil"/>
              <w:bottom w:val="nil"/>
              <w:right w:val="nil"/>
            </w:tcBorders>
            <w:shd w:val="clear" w:color="000000" w:fill="FFFFFF"/>
            <w:noWrap/>
            <w:vAlign w:val="bottom"/>
          </w:tcPr>
          <w:p w14:paraId="25A7DCD9" w14:textId="48537853" w:rsidR="002A7AF7" w:rsidRPr="00BE20BD" w:rsidRDefault="002A7AF7" w:rsidP="002A7AF7">
            <w:pPr>
              <w:spacing w:line="240" w:lineRule="auto"/>
              <w:jc w:val="right"/>
              <w:rPr>
                <w:rFonts w:eastAsia="Times New Roman" w:cs="Arial"/>
                <w:color w:val="000000"/>
                <w:sz w:val="16"/>
                <w:szCs w:val="16"/>
                <w:lang w:val="de-CH" w:eastAsia="de-CH"/>
              </w:rPr>
            </w:pPr>
          </w:p>
        </w:tc>
        <w:tc>
          <w:tcPr>
            <w:tcW w:w="505" w:type="dxa"/>
            <w:tcBorders>
              <w:top w:val="nil"/>
              <w:left w:val="nil"/>
              <w:bottom w:val="nil"/>
              <w:right w:val="nil"/>
            </w:tcBorders>
            <w:shd w:val="clear" w:color="000000" w:fill="FFFFFF"/>
            <w:noWrap/>
            <w:vAlign w:val="bottom"/>
          </w:tcPr>
          <w:p w14:paraId="33D0329F" w14:textId="22CA5CB6" w:rsidR="002A7AF7" w:rsidRPr="00BE20BD" w:rsidRDefault="002A7AF7" w:rsidP="002A7AF7">
            <w:pPr>
              <w:spacing w:line="240" w:lineRule="auto"/>
              <w:jc w:val="right"/>
              <w:rPr>
                <w:rFonts w:eastAsia="Times New Roman" w:cs="Arial"/>
                <w:color w:val="000000"/>
                <w:sz w:val="12"/>
                <w:szCs w:val="12"/>
                <w:lang w:val="de-CH" w:eastAsia="de-CH"/>
              </w:rPr>
            </w:pPr>
          </w:p>
        </w:tc>
        <w:tc>
          <w:tcPr>
            <w:tcW w:w="359" w:type="dxa"/>
            <w:tcBorders>
              <w:top w:val="nil"/>
              <w:left w:val="nil"/>
              <w:bottom w:val="nil"/>
              <w:right w:val="nil"/>
            </w:tcBorders>
            <w:shd w:val="clear" w:color="000000" w:fill="FFFFFF"/>
            <w:noWrap/>
            <w:vAlign w:val="bottom"/>
          </w:tcPr>
          <w:p w14:paraId="5532C3AB" w14:textId="5146C397" w:rsidR="002A7AF7" w:rsidRPr="00BE20BD" w:rsidRDefault="002A7AF7" w:rsidP="002A7AF7">
            <w:pPr>
              <w:spacing w:line="240" w:lineRule="auto"/>
              <w:rPr>
                <w:rFonts w:eastAsia="Times New Roman" w:cs="Arial"/>
                <w:color w:val="000000"/>
                <w:sz w:val="16"/>
                <w:szCs w:val="16"/>
                <w:lang w:val="de-CH" w:eastAsia="de-CH"/>
              </w:rPr>
            </w:pPr>
          </w:p>
        </w:tc>
        <w:tc>
          <w:tcPr>
            <w:tcW w:w="913" w:type="dxa"/>
            <w:tcBorders>
              <w:top w:val="nil"/>
              <w:left w:val="nil"/>
              <w:bottom w:val="nil"/>
              <w:right w:val="nil"/>
            </w:tcBorders>
            <w:shd w:val="clear" w:color="000000" w:fill="FFFFFF"/>
            <w:noWrap/>
            <w:vAlign w:val="bottom"/>
          </w:tcPr>
          <w:p w14:paraId="17896305" w14:textId="3FE863BB" w:rsidR="002A7AF7" w:rsidRPr="00BE20BD" w:rsidRDefault="002A7AF7" w:rsidP="002A7AF7">
            <w:pPr>
              <w:spacing w:line="240" w:lineRule="auto"/>
              <w:jc w:val="right"/>
              <w:rPr>
                <w:rFonts w:eastAsia="Times New Roman" w:cs="Arial"/>
                <w:color w:val="000000"/>
                <w:sz w:val="16"/>
                <w:szCs w:val="16"/>
                <w:lang w:val="de-CH" w:eastAsia="de-CH"/>
              </w:rPr>
            </w:pPr>
          </w:p>
        </w:tc>
        <w:tc>
          <w:tcPr>
            <w:tcW w:w="787" w:type="dxa"/>
            <w:tcBorders>
              <w:top w:val="nil"/>
              <w:left w:val="nil"/>
              <w:bottom w:val="nil"/>
              <w:right w:val="nil"/>
            </w:tcBorders>
            <w:shd w:val="clear" w:color="000000" w:fill="FFFFFF"/>
            <w:noWrap/>
            <w:vAlign w:val="bottom"/>
          </w:tcPr>
          <w:p w14:paraId="0CA87FE0" w14:textId="387371FA" w:rsidR="002A7AF7" w:rsidRPr="00BE20BD" w:rsidRDefault="002A7AF7" w:rsidP="002A7AF7">
            <w:pPr>
              <w:spacing w:line="240" w:lineRule="auto"/>
              <w:jc w:val="right"/>
              <w:rPr>
                <w:rFonts w:eastAsia="Times New Roman" w:cs="Arial"/>
                <w:color w:val="000000"/>
                <w:sz w:val="16"/>
                <w:szCs w:val="16"/>
                <w:lang w:val="de-CH" w:eastAsia="de-CH"/>
              </w:rPr>
            </w:pPr>
          </w:p>
        </w:tc>
        <w:tc>
          <w:tcPr>
            <w:tcW w:w="567" w:type="dxa"/>
            <w:tcBorders>
              <w:top w:val="nil"/>
              <w:left w:val="nil"/>
              <w:bottom w:val="nil"/>
              <w:right w:val="nil"/>
            </w:tcBorders>
            <w:shd w:val="clear" w:color="000000" w:fill="FFFFFF"/>
            <w:noWrap/>
            <w:vAlign w:val="bottom"/>
          </w:tcPr>
          <w:p w14:paraId="373E6BAC" w14:textId="5D69A1DD" w:rsidR="002A7AF7" w:rsidRPr="00BE20BD" w:rsidRDefault="002A7AF7" w:rsidP="002A7AF7">
            <w:pPr>
              <w:spacing w:line="240" w:lineRule="auto"/>
              <w:jc w:val="right"/>
              <w:rPr>
                <w:rFonts w:eastAsia="Times New Roman" w:cs="Arial"/>
                <w:color w:val="000000"/>
                <w:sz w:val="16"/>
                <w:szCs w:val="16"/>
                <w:lang w:val="de-CH" w:eastAsia="de-CH"/>
              </w:rPr>
            </w:pPr>
          </w:p>
        </w:tc>
      </w:tr>
      <w:tr w:rsidR="002A7AF7" w:rsidRPr="00BE20BD" w14:paraId="6908141C" w14:textId="77777777" w:rsidTr="00325292">
        <w:trPr>
          <w:trHeight w:val="241"/>
        </w:trPr>
        <w:tc>
          <w:tcPr>
            <w:tcW w:w="2886" w:type="dxa"/>
            <w:tcBorders>
              <w:top w:val="nil"/>
              <w:left w:val="nil"/>
              <w:bottom w:val="nil"/>
              <w:right w:val="nil"/>
            </w:tcBorders>
            <w:shd w:val="clear" w:color="000000" w:fill="F2F2F2"/>
            <w:noWrap/>
            <w:vAlign w:val="bottom"/>
            <w:hideMark/>
          </w:tcPr>
          <w:p w14:paraId="7E2D2175" w14:textId="06CC5B37" w:rsidR="002A7AF7" w:rsidRPr="00BE20BD" w:rsidRDefault="002A7AF7" w:rsidP="002A7AF7">
            <w:pPr>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xml:space="preserve"> </w:t>
            </w:r>
            <w:r w:rsidR="00596C13" w:rsidRPr="00BE20BD">
              <w:rPr>
                <w:rFonts w:eastAsia="Times New Roman" w:cs="Arial"/>
                <w:color w:val="000000"/>
                <w:sz w:val="16"/>
                <w:szCs w:val="16"/>
                <w:lang w:val="en-US" w:eastAsia="de-CH"/>
              </w:rPr>
              <w:t xml:space="preserve">Negative of </w:t>
            </w:r>
            <w:r w:rsidR="00596C13" w:rsidRPr="00BE20BD">
              <w:rPr>
                <w:rFonts w:eastAsia="Times New Roman" w:cs="Arial"/>
                <w:color w:val="000000"/>
                <w:sz w:val="16"/>
                <w:szCs w:val="16"/>
                <w:lang w:val="en-US" w:eastAsia="de-CH"/>
              </w:rPr>
              <w:br/>
              <w:t xml:space="preserve">  e</w:t>
            </w:r>
            <w:r w:rsidRPr="00BE20BD">
              <w:rPr>
                <w:rFonts w:eastAsia="Times New Roman" w:cs="Arial"/>
                <w:color w:val="000000"/>
                <w:sz w:val="16"/>
                <w:szCs w:val="16"/>
                <w:lang w:val="en-US" w:eastAsia="de-CH"/>
              </w:rPr>
              <w:t xml:space="preserve">xpected financial result </w:t>
            </w:r>
          </w:p>
        </w:tc>
        <w:tc>
          <w:tcPr>
            <w:tcW w:w="196" w:type="dxa"/>
            <w:tcBorders>
              <w:top w:val="nil"/>
              <w:left w:val="nil"/>
              <w:bottom w:val="nil"/>
              <w:right w:val="nil"/>
            </w:tcBorders>
            <w:shd w:val="clear" w:color="000000" w:fill="FFFFFF"/>
            <w:noWrap/>
            <w:vAlign w:val="bottom"/>
            <w:hideMark/>
          </w:tcPr>
          <w:p w14:paraId="24698D33" w14:textId="77777777" w:rsidR="002A7AF7" w:rsidRPr="00BE20BD" w:rsidRDefault="002A7AF7" w:rsidP="002A7AF7">
            <w:pPr>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887" w:type="dxa"/>
            <w:tcBorders>
              <w:top w:val="nil"/>
              <w:left w:val="nil"/>
              <w:bottom w:val="nil"/>
              <w:right w:val="nil"/>
            </w:tcBorders>
            <w:shd w:val="clear" w:color="000000" w:fill="F2F2F2"/>
            <w:noWrap/>
            <w:vAlign w:val="bottom"/>
          </w:tcPr>
          <w:p w14:paraId="005AB593" w14:textId="6C4F17C3" w:rsidR="002A7AF7" w:rsidRPr="00BE20BD" w:rsidRDefault="002A7AF7" w:rsidP="002A7AF7">
            <w:pPr>
              <w:spacing w:line="240" w:lineRule="auto"/>
              <w:jc w:val="right"/>
              <w:rPr>
                <w:rFonts w:eastAsia="Times New Roman" w:cs="Arial"/>
                <w:color w:val="000000"/>
                <w:sz w:val="16"/>
                <w:szCs w:val="16"/>
                <w:lang w:val="en-US" w:eastAsia="de-CH"/>
              </w:rPr>
            </w:pPr>
          </w:p>
        </w:tc>
        <w:tc>
          <w:tcPr>
            <w:tcW w:w="523" w:type="dxa"/>
            <w:tcBorders>
              <w:top w:val="nil"/>
              <w:left w:val="nil"/>
              <w:bottom w:val="nil"/>
              <w:right w:val="nil"/>
            </w:tcBorders>
            <w:shd w:val="clear" w:color="000000" w:fill="FFFFFF"/>
            <w:noWrap/>
            <w:vAlign w:val="bottom"/>
          </w:tcPr>
          <w:p w14:paraId="32F465ED" w14:textId="4E92AEF7" w:rsidR="002A7AF7" w:rsidRPr="00BE20BD" w:rsidRDefault="002A7AF7" w:rsidP="002A7AF7">
            <w:pPr>
              <w:spacing w:line="240" w:lineRule="auto"/>
              <w:jc w:val="right"/>
              <w:rPr>
                <w:rFonts w:eastAsia="Times New Roman" w:cs="Arial"/>
                <w:color w:val="000000"/>
                <w:sz w:val="12"/>
                <w:szCs w:val="12"/>
                <w:lang w:val="en-US" w:eastAsia="de-CH"/>
              </w:rPr>
            </w:pPr>
          </w:p>
        </w:tc>
        <w:tc>
          <w:tcPr>
            <w:tcW w:w="185" w:type="dxa"/>
            <w:tcBorders>
              <w:top w:val="nil"/>
              <w:left w:val="nil"/>
              <w:bottom w:val="nil"/>
              <w:right w:val="nil"/>
            </w:tcBorders>
            <w:shd w:val="clear" w:color="000000" w:fill="FFFFFF"/>
            <w:noWrap/>
            <w:vAlign w:val="bottom"/>
          </w:tcPr>
          <w:p w14:paraId="64F6FE4D" w14:textId="3339E1A8" w:rsidR="002A7AF7" w:rsidRPr="00BE20BD" w:rsidRDefault="002A7AF7" w:rsidP="002A7AF7">
            <w:pPr>
              <w:spacing w:line="240" w:lineRule="auto"/>
              <w:rPr>
                <w:rFonts w:eastAsia="Times New Roman" w:cs="Arial"/>
                <w:color w:val="000000"/>
                <w:sz w:val="16"/>
                <w:szCs w:val="16"/>
                <w:lang w:val="en-US" w:eastAsia="de-CH"/>
              </w:rPr>
            </w:pPr>
          </w:p>
        </w:tc>
        <w:tc>
          <w:tcPr>
            <w:tcW w:w="723" w:type="dxa"/>
            <w:tcBorders>
              <w:top w:val="nil"/>
              <w:left w:val="nil"/>
              <w:bottom w:val="nil"/>
              <w:right w:val="nil"/>
            </w:tcBorders>
            <w:shd w:val="clear" w:color="000000" w:fill="F2F2F2"/>
            <w:noWrap/>
            <w:vAlign w:val="bottom"/>
          </w:tcPr>
          <w:p w14:paraId="7286C9F4" w14:textId="4AAEE953" w:rsidR="002A7AF7" w:rsidRPr="00BE20BD" w:rsidRDefault="002A7AF7" w:rsidP="002A7AF7">
            <w:pPr>
              <w:spacing w:line="240" w:lineRule="auto"/>
              <w:jc w:val="right"/>
              <w:rPr>
                <w:rFonts w:eastAsia="Times New Roman" w:cs="Arial"/>
                <w:color w:val="000000"/>
                <w:sz w:val="16"/>
                <w:szCs w:val="16"/>
                <w:lang w:val="en-US" w:eastAsia="de-CH"/>
              </w:rPr>
            </w:pPr>
          </w:p>
        </w:tc>
        <w:tc>
          <w:tcPr>
            <w:tcW w:w="523" w:type="dxa"/>
            <w:tcBorders>
              <w:top w:val="nil"/>
              <w:left w:val="nil"/>
              <w:bottom w:val="nil"/>
              <w:right w:val="nil"/>
            </w:tcBorders>
            <w:shd w:val="clear" w:color="000000" w:fill="FFFFFF"/>
            <w:noWrap/>
            <w:vAlign w:val="bottom"/>
          </w:tcPr>
          <w:p w14:paraId="37FE8AC1" w14:textId="5324ED42" w:rsidR="002A7AF7" w:rsidRPr="00BE20BD" w:rsidRDefault="002A7AF7" w:rsidP="002A7AF7">
            <w:pPr>
              <w:spacing w:line="240" w:lineRule="auto"/>
              <w:jc w:val="right"/>
              <w:rPr>
                <w:rFonts w:eastAsia="Times New Roman" w:cs="Arial"/>
                <w:color w:val="000000"/>
                <w:sz w:val="12"/>
                <w:szCs w:val="12"/>
                <w:lang w:val="en-US" w:eastAsia="de-CH"/>
              </w:rPr>
            </w:pPr>
          </w:p>
        </w:tc>
        <w:tc>
          <w:tcPr>
            <w:tcW w:w="232" w:type="dxa"/>
            <w:tcBorders>
              <w:top w:val="nil"/>
              <w:left w:val="nil"/>
              <w:bottom w:val="nil"/>
              <w:right w:val="nil"/>
            </w:tcBorders>
            <w:shd w:val="clear" w:color="000000" w:fill="FFFFFF"/>
            <w:noWrap/>
            <w:vAlign w:val="bottom"/>
          </w:tcPr>
          <w:p w14:paraId="3B1DE45B" w14:textId="202C00BC" w:rsidR="002A7AF7" w:rsidRPr="00BE20BD" w:rsidRDefault="002A7AF7" w:rsidP="002A7AF7">
            <w:pPr>
              <w:spacing w:line="240" w:lineRule="auto"/>
              <w:rPr>
                <w:rFonts w:eastAsia="Times New Roman" w:cs="Arial"/>
                <w:color w:val="000000"/>
                <w:sz w:val="16"/>
                <w:szCs w:val="16"/>
                <w:lang w:val="en-US" w:eastAsia="de-CH"/>
              </w:rPr>
            </w:pPr>
          </w:p>
        </w:tc>
        <w:tc>
          <w:tcPr>
            <w:tcW w:w="618" w:type="dxa"/>
            <w:tcBorders>
              <w:top w:val="nil"/>
              <w:left w:val="nil"/>
              <w:bottom w:val="nil"/>
              <w:right w:val="nil"/>
            </w:tcBorders>
            <w:shd w:val="clear" w:color="000000" w:fill="F2F2F2"/>
            <w:noWrap/>
            <w:vAlign w:val="bottom"/>
          </w:tcPr>
          <w:p w14:paraId="04CE5386" w14:textId="74F6190D" w:rsidR="002A7AF7" w:rsidRPr="00BE20BD" w:rsidRDefault="002A7AF7" w:rsidP="002A7AF7">
            <w:pPr>
              <w:spacing w:line="240" w:lineRule="auto"/>
              <w:jc w:val="right"/>
              <w:rPr>
                <w:rFonts w:eastAsia="Times New Roman" w:cs="Arial"/>
                <w:color w:val="000000"/>
                <w:sz w:val="16"/>
                <w:szCs w:val="16"/>
                <w:lang w:val="en-US" w:eastAsia="de-CH"/>
              </w:rPr>
            </w:pPr>
          </w:p>
        </w:tc>
        <w:tc>
          <w:tcPr>
            <w:tcW w:w="505" w:type="dxa"/>
            <w:tcBorders>
              <w:top w:val="nil"/>
              <w:left w:val="nil"/>
              <w:bottom w:val="nil"/>
              <w:right w:val="nil"/>
            </w:tcBorders>
            <w:shd w:val="clear" w:color="000000" w:fill="FFFFFF"/>
            <w:noWrap/>
            <w:vAlign w:val="bottom"/>
          </w:tcPr>
          <w:p w14:paraId="7A66F4B2" w14:textId="154436C6" w:rsidR="002A7AF7" w:rsidRPr="00BE20BD" w:rsidRDefault="002A7AF7" w:rsidP="002A7AF7">
            <w:pPr>
              <w:spacing w:line="240" w:lineRule="auto"/>
              <w:jc w:val="right"/>
              <w:rPr>
                <w:rFonts w:eastAsia="Times New Roman" w:cs="Arial"/>
                <w:color w:val="000000"/>
                <w:sz w:val="12"/>
                <w:szCs w:val="12"/>
                <w:lang w:val="en-US" w:eastAsia="de-CH"/>
              </w:rPr>
            </w:pPr>
          </w:p>
        </w:tc>
        <w:tc>
          <w:tcPr>
            <w:tcW w:w="359" w:type="dxa"/>
            <w:tcBorders>
              <w:top w:val="nil"/>
              <w:left w:val="nil"/>
              <w:bottom w:val="nil"/>
              <w:right w:val="nil"/>
            </w:tcBorders>
            <w:shd w:val="clear" w:color="000000" w:fill="FFFFFF"/>
            <w:noWrap/>
            <w:vAlign w:val="bottom"/>
          </w:tcPr>
          <w:p w14:paraId="5AC659A2" w14:textId="41B343FE" w:rsidR="002A7AF7" w:rsidRPr="00BE20BD" w:rsidRDefault="002A7AF7" w:rsidP="002A7AF7">
            <w:pPr>
              <w:spacing w:line="240" w:lineRule="auto"/>
              <w:rPr>
                <w:rFonts w:eastAsia="Times New Roman" w:cs="Arial"/>
                <w:color w:val="000000"/>
                <w:sz w:val="16"/>
                <w:szCs w:val="16"/>
                <w:lang w:val="en-US" w:eastAsia="de-CH"/>
              </w:rPr>
            </w:pPr>
          </w:p>
        </w:tc>
        <w:tc>
          <w:tcPr>
            <w:tcW w:w="913" w:type="dxa"/>
            <w:tcBorders>
              <w:top w:val="nil"/>
              <w:left w:val="nil"/>
              <w:bottom w:val="nil"/>
              <w:right w:val="nil"/>
            </w:tcBorders>
            <w:shd w:val="clear" w:color="000000" w:fill="F2F2F2"/>
            <w:noWrap/>
            <w:vAlign w:val="bottom"/>
          </w:tcPr>
          <w:p w14:paraId="06697731" w14:textId="79440651" w:rsidR="002A7AF7" w:rsidRPr="00BE20BD" w:rsidRDefault="002A7AF7" w:rsidP="002A7AF7">
            <w:pPr>
              <w:spacing w:line="240" w:lineRule="auto"/>
              <w:jc w:val="right"/>
              <w:rPr>
                <w:rFonts w:eastAsia="Times New Roman" w:cs="Arial"/>
                <w:color w:val="000000"/>
                <w:sz w:val="16"/>
                <w:szCs w:val="16"/>
                <w:lang w:val="en-US" w:eastAsia="de-CH"/>
              </w:rPr>
            </w:pPr>
          </w:p>
        </w:tc>
        <w:tc>
          <w:tcPr>
            <w:tcW w:w="787" w:type="dxa"/>
            <w:tcBorders>
              <w:top w:val="nil"/>
              <w:left w:val="nil"/>
              <w:bottom w:val="nil"/>
              <w:right w:val="nil"/>
            </w:tcBorders>
            <w:shd w:val="clear" w:color="000000" w:fill="F2F2F2"/>
            <w:noWrap/>
            <w:vAlign w:val="bottom"/>
          </w:tcPr>
          <w:p w14:paraId="170E5664" w14:textId="3E590C92" w:rsidR="002A7AF7" w:rsidRPr="00BE20BD" w:rsidRDefault="002A7AF7" w:rsidP="002A7AF7">
            <w:pPr>
              <w:spacing w:line="240" w:lineRule="auto"/>
              <w:jc w:val="right"/>
              <w:rPr>
                <w:rFonts w:eastAsia="Times New Roman" w:cs="Arial"/>
                <w:color w:val="000000"/>
                <w:sz w:val="16"/>
                <w:szCs w:val="16"/>
                <w:lang w:val="en-US" w:eastAsia="de-CH"/>
              </w:rPr>
            </w:pPr>
          </w:p>
        </w:tc>
        <w:tc>
          <w:tcPr>
            <w:tcW w:w="567" w:type="dxa"/>
            <w:tcBorders>
              <w:top w:val="nil"/>
              <w:left w:val="nil"/>
              <w:bottom w:val="nil"/>
              <w:right w:val="nil"/>
            </w:tcBorders>
            <w:shd w:val="clear" w:color="000000" w:fill="F2F2F2"/>
            <w:noWrap/>
            <w:vAlign w:val="bottom"/>
          </w:tcPr>
          <w:p w14:paraId="1C14E7AA" w14:textId="64B99369" w:rsidR="002A7AF7" w:rsidRPr="00BE20BD" w:rsidRDefault="002A7AF7" w:rsidP="002A7AF7">
            <w:pPr>
              <w:spacing w:line="240" w:lineRule="auto"/>
              <w:jc w:val="right"/>
              <w:rPr>
                <w:rFonts w:eastAsia="Times New Roman" w:cs="Arial"/>
                <w:color w:val="000000"/>
                <w:sz w:val="16"/>
                <w:szCs w:val="16"/>
                <w:lang w:val="en-US" w:eastAsia="de-CH"/>
              </w:rPr>
            </w:pPr>
          </w:p>
        </w:tc>
      </w:tr>
      <w:tr w:rsidR="002A7AF7" w:rsidRPr="00BE20BD" w14:paraId="0CE8F928" w14:textId="77777777" w:rsidTr="00325292">
        <w:trPr>
          <w:trHeight w:val="241"/>
        </w:trPr>
        <w:tc>
          <w:tcPr>
            <w:tcW w:w="2886" w:type="dxa"/>
            <w:tcBorders>
              <w:top w:val="nil"/>
              <w:left w:val="nil"/>
              <w:bottom w:val="nil"/>
              <w:right w:val="nil"/>
            </w:tcBorders>
            <w:shd w:val="clear" w:color="000000" w:fill="FFFFFF"/>
            <w:noWrap/>
            <w:vAlign w:val="bottom"/>
            <w:hideMark/>
          </w:tcPr>
          <w:p w14:paraId="75F86E94" w14:textId="10A9E422" w:rsidR="002A7AF7" w:rsidRPr="00BE20BD" w:rsidRDefault="002A7AF7" w:rsidP="00472B28">
            <w:pPr>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xml:space="preserve"> </w:t>
            </w:r>
            <w:r w:rsidR="00596C13" w:rsidRPr="00BE20BD">
              <w:rPr>
                <w:rFonts w:eastAsia="Times New Roman" w:cs="Arial"/>
                <w:color w:val="000000"/>
                <w:sz w:val="16"/>
                <w:szCs w:val="16"/>
                <w:lang w:val="en-US" w:eastAsia="de-CH"/>
              </w:rPr>
              <w:t xml:space="preserve">Negative of </w:t>
            </w:r>
            <w:r w:rsidR="00596C13" w:rsidRPr="00BE20BD">
              <w:rPr>
                <w:rFonts w:eastAsia="Times New Roman" w:cs="Arial"/>
                <w:color w:val="000000"/>
                <w:sz w:val="16"/>
                <w:szCs w:val="16"/>
                <w:lang w:val="en-US" w:eastAsia="de-CH"/>
              </w:rPr>
              <w:br/>
              <w:t xml:space="preserve">  e</w:t>
            </w:r>
            <w:r w:rsidRPr="00BE20BD">
              <w:rPr>
                <w:rFonts w:eastAsia="Times New Roman" w:cs="Arial"/>
                <w:color w:val="000000"/>
                <w:sz w:val="16"/>
                <w:szCs w:val="16"/>
                <w:lang w:val="en-US" w:eastAsia="de-CH"/>
              </w:rPr>
              <w:t xml:space="preserve">xpected </w:t>
            </w:r>
            <w:r w:rsidR="00472B28" w:rsidRPr="00BE20BD">
              <w:rPr>
                <w:rFonts w:eastAsia="Times New Roman" w:cs="Arial"/>
                <w:color w:val="000000"/>
                <w:sz w:val="16"/>
                <w:szCs w:val="16"/>
                <w:lang w:val="en-US" w:eastAsia="de-CH"/>
              </w:rPr>
              <w:t xml:space="preserve">insurance </w:t>
            </w:r>
            <w:r w:rsidRPr="00BE20BD">
              <w:rPr>
                <w:rFonts w:eastAsia="Times New Roman" w:cs="Arial"/>
                <w:color w:val="000000"/>
                <w:sz w:val="16"/>
                <w:szCs w:val="16"/>
                <w:lang w:val="en-US" w:eastAsia="de-CH"/>
              </w:rPr>
              <w:t>result</w:t>
            </w:r>
          </w:p>
        </w:tc>
        <w:tc>
          <w:tcPr>
            <w:tcW w:w="196" w:type="dxa"/>
            <w:tcBorders>
              <w:top w:val="nil"/>
              <w:left w:val="nil"/>
              <w:bottom w:val="nil"/>
              <w:right w:val="nil"/>
            </w:tcBorders>
            <w:shd w:val="clear" w:color="000000" w:fill="FFFFFF"/>
            <w:noWrap/>
            <w:vAlign w:val="bottom"/>
            <w:hideMark/>
          </w:tcPr>
          <w:p w14:paraId="56B71FFF" w14:textId="77777777" w:rsidR="002A7AF7" w:rsidRPr="00BE20BD" w:rsidRDefault="002A7AF7" w:rsidP="002A7AF7">
            <w:pPr>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887" w:type="dxa"/>
            <w:tcBorders>
              <w:top w:val="nil"/>
              <w:left w:val="nil"/>
              <w:bottom w:val="nil"/>
              <w:right w:val="nil"/>
            </w:tcBorders>
            <w:shd w:val="clear" w:color="000000" w:fill="FFFFFF"/>
            <w:noWrap/>
            <w:vAlign w:val="bottom"/>
          </w:tcPr>
          <w:p w14:paraId="4A5359C5" w14:textId="624A8474" w:rsidR="002A7AF7" w:rsidRPr="00BE20BD" w:rsidRDefault="002A7AF7" w:rsidP="002A7AF7">
            <w:pPr>
              <w:spacing w:line="240" w:lineRule="auto"/>
              <w:jc w:val="right"/>
              <w:rPr>
                <w:rFonts w:eastAsia="Times New Roman" w:cs="Arial"/>
                <w:color w:val="000000"/>
                <w:sz w:val="16"/>
                <w:szCs w:val="16"/>
                <w:lang w:val="en-US" w:eastAsia="de-CH"/>
              </w:rPr>
            </w:pPr>
          </w:p>
        </w:tc>
        <w:tc>
          <w:tcPr>
            <w:tcW w:w="523" w:type="dxa"/>
            <w:tcBorders>
              <w:top w:val="nil"/>
              <w:left w:val="nil"/>
              <w:bottom w:val="nil"/>
              <w:right w:val="nil"/>
            </w:tcBorders>
            <w:shd w:val="clear" w:color="000000" w:fill="FFFFFF"/>
            <w:noWrap/>
            <w:vAlign w:val="bottom"/>
          </w:tcPr>
          <w:p w14:paraId="7AA7B620" w14:textId="7237D099" w:rsidR="002A7AF7" w:rsidRPr="00BE20BD" w:rsidRDefault="002A7AF7" w:rsidP="002A7AF7">
            <w:pPr>
              <w:spacing w:line="240" w:lineRule="auto"/>
              <w:jc w:val="right"/>
              <w:rPr>
                <w:rFonts w:eastAsia="Times New Roman" w:cs="Arial"/>
                <w:color w:val="000000"/>
                <w:sz w:val="12"/>
                <w:szCs w:val="12"/>
                <w:lang w:val="en-US" w:eastAsia="de-CH"/>
              </w:rPr>
            </w:pPr>
          </w:p>
        </w:tc>
        <w:tc>
          <w:tcPr>
            <w:tcW w:w="185" w:type="dxa"/>
            <w:tcBorders>
              <w:top w:val="nil"/>
              <w:left w:val="nil"/>
              <w:bottom w:val="nil"/>
              <w:right w:val="nil"/>
            </w:tcBorders>
            <w:shd w:val="clear" w:color="000000" w:fill="FFFFFF"/>
            <w:noWrap/>
            <w:vAlign w:val="bottom"/>
          </w:tcPr>
          <w:p w14:paraId="0F02E87B" w14:textId="4FF7D875" w:rsidR="002A7AF7" w:rsidRPr="00BE20BD" w:rsidRDefault="002A7AF7" w:rsidP="002A7AF7">
            <w:pPr>
              <w:spacing w:line="240" w:lineRule="auto"/>
              <w:rPr>
                <w:rFonts w:eastAsia="Times New Roman" w:cs="Arial"/>
                <w:color w:val="000000"/>
                <w:sz w:val="16"/>
                <w:szCs w:val="16"/>
                <w:lang w:val="en-US" w:eastAsia="de-CH"/>
              </w:rPr>
            </w:pPr>
          </w:p>
        </w:tc>
        <w:tc>
          <w:tcPr>
            <w:tcW w:w="723" w:type="dxa"/>
            <w:tcBorders>
              <w:top w:val="nil"/>
              <w:left w:val="nil"/>
              <w:bottom w:val="nil"/>
              <w:right w:val="nil"/>
            </w:tcBorders>
            <w:shd w:val="clear" w:color="000000" w:fill="FFFFFF"/>
            <w:noWrap/>
            <w:vAlign w:val="bottom"/>
          </w:tcPr>
          <w:p w14:paraId="7D9D7E16" w14:textId="7FF75EAC" w:rsidR="002A7AF7" w:rsidRPr="00BE20BD" w:rsidRDefault="002A7AF7" w:rsidP="002A7AF7">
            <w:pPr>
              <w:spacing w:line="240" w:lineRule="auto"/>
              <w:jc w:val="right"/>
              <w:rPr>
                <w:rFonts w:eastAsia="Times New Roman" w:cs="Arial"/>
                <w:color w:val="000000"/>
                <w:sz w:val="16"/>
                <w:szCs w:val="16"/>
                <w:lang w:val="en-US" w:eastAsia="de-CH"/>
              </w:rPr>
            </w:pPr>
          </w:p>
        </w:tc>
        <w:tc>
          <w:tcPr>
            <w:tcW w:w="523" w:type="dxa"/>
            <w:tcBorders>
              <w:top w:val="nil"/>
              <w:left w:val="nil"/>
              <w:bottom w:val="nil"/>
              <w:right w:val="nil"/>
            </w:tcBorders>
            <w:shd w:val="clear" w:color="000000" w:fill="FFFFFF"/>
            <w:noWrap/>
            <w:vAlign w:val="bottom"/>
          </w:tcPr>
          <w:p w14:paraId="1DFB162B" w14:textId="0DD35883" w:rsidR="002A7AF7" w:rsidRPr="00BE20BD" w:rsidRDefault="002A7AF7" w:rsidP="002A7AF7">
            <w:pPr>
              <w:spacing w:line="240" w:lineRule="auto"/>
              <w:jc w:val="right"/>
              <w:rPr>
                <w:rFonts w:eastAsia="Times New Roman" w:cs="Arial"/>
                <w:color w:val="000000"/>
                <w:sz w:val="12"/>
                <w:szCs w:val="12"/>
                <w:lang w:val="en-US" w:eastAsia="de-CH"/>
              </w:rPr>
            </w:pPr>
          </w:p>
        </w:tc>
        <w:tc>
          <w:tcPr>
            <w:tcW w:w="232" w:type="dxa"/>
            <w:tcBorders>
              <w:top w:val="nil"/>
              <w:left w:val="nil"/>
              <w:bottom w:val="nil"/>
              <w:right w:val="nil"/>
            </w:tcBorders>
            <w:shd w:val="clear" w:color="000000" w:fill="FFFFFF"/>
            <w:noWrap/>
            <w:vAlign w:val="bottom"/>
          </w:tcPr>
          <w:p w14:paraId="448E32FB" w14:textId="38F799C8" w:rsidR="002A7AF7" w:rsidRPr="00BE20BD" w:rsidRDefault="002A7AF7" w:rsidP="002A7AF7">
            <w:pPr>
              <w:spacing w:line="240" w:lineRule="auto"/>
              <w:rPr>
                <w:rFonts w:eastAsia="Times New Roman" w:cs="Arial"/>
                <w:color w:val="000000"/>
                <w:sz w:val="16"/>
                <w:szCs w:val="16"/>
                <w:lang w:val="en-US" w:eastAsia="de-CH"/>
              </w:rPr>
            </w:pPr>
          </w:p>
        </w:tc>
        <w:tc>
          <w:tcPr>
            <w:tcW w:w="618" w:type="dxa"/>
            <w:tcBorders>
              <w:top w:val="nil"/>
              <w:left w:val="nil"/>
              <w:bottom w:val="nil"/>
              <w:right w:val="nil"/>
            </w:tcBorders>
            <w:shd w:val="clear" w:color="000000" w:fill="FFFFFF"/>
            <w:noWrap/>
            <w:vAlign w:val="bottom"/>
          </w:tcPr>
          <w:p w14:paraId="1E46AC57" w14:textId="7C1B28C2" w:rsidR="002A7AF7" w:rsidRPr="00BE20BD" w:rsidRDefault="002A7AF7" w:rsidP="002A7AF7">
            <w:pPr>
              <w:spacing w:line="240" w:lineRule="auto"/>
              <w:jc w:val="right"/>
              <w:rPr>
                <w:rFonts w:eastAsia="Times New Roman" w:cs="Arial"/>
                <w:color w:val="000000"/>
                <w:sz w:val="16"/>
                <w:szCs w:val="16"/>
                <w:lang w:val="en-US" w:eastAsia="de-CH"/>
              </w:rPr>
            </w:pPr>
          </w:p>
        </w:tc>
        <w:tc>
          <w:tcPr>
            <w:tcW w:w="505" w:type="dxa"/>
            <w:tcBorders>
              <w:top w:val="nil"/>
              <w:left w:val="nil"/>
              <w:bottom w:val="nil"/>
              <w:right w:val="nil"/>
            </w:tcBorders>
            <w:shd w:val="clear" w:color="000000" w:fill="FFFFFF"/>
            <w:noWrap/>
            <w:vAlign w:val="bottom"/>
          </w:tcPr>
          <w:p w14:paraId="184E4153" w14:textId="71238E68" w:rsidR="002A7AF7" w:rsidRPr="00BE20BD" w:rsidRDefault="002A7AF7" w:rsidP="002A7AF7">
            <w:pPr>
              <w:spacing w:line="240" w:lineRule="auto"/>
              <w:jc w:val="right"/>
              <w:rPr>
                <w:rFonts w:eastAsia="Times New Roman" w:cs="Arial"/>
                <w:color w:val="000000"/>
                <w:sz w:val="12"/>
                <w:szCs w:val="12"/>
                <w:lang w:val="en-US" w:eastAsia="de-CH"/>
              </w:rPr>
            </w:pPr>
          </w:p>
        </w:tc>
        <w:tc>
          <w:tcPr>
            <w:tcW w:w="359" w:type="dxa"/>
            <w:tcBorders>
              <w:top w:val="nil"/>
              <w:left w:val="nil"/>
              <w:bottom w:val="nil"/>
              <w:right w:val="nil"/>
            </w:tcBorders>
            <w:shd w:val="clear" w:color="000000" w:fill="FFFFFF"/>
            <w:noWrap/>
            <w:vAlign w:val="bottom"/>
          </w:tcPr>
          <w:p w14:paraId="0D2CDE14" w14:textId="18BEF757" w:rsidR="002A7AF7" w:rsidRPr="00BE20BD" w:rsidRDefault="002A7AF7" w:rsidP="002A7AF7">
            <w:pPr>
              <w:spacing w:line="240" w:lineRule="auto"/>
              <w:rPr>
                <w:rFonts w:eastAsia="Times New Roman" w:cs="Arial"/>
                <w:color w:val="000000"/>
                <w:sz w:val="16"/>
                <w:szCs w:val="16"/>
                <w:lang w:val="en-US" w:eastAsia="de-CH"/>
              </w:rPr>
            </w:pPr>
          </w:p>
        </w:tc>
        <w:tc>
          <w:tcPr>
            <w:tcW w:w="913" w:type="dxa"/>
            <w:tcBorders>
              <w:top w:val="nil"/>
              <w:left w:val="nil"/>
              <w:bottom w:val="nil"/>
              <w:right w:val="nil"/>
            </w:tcBorders>
            <w:shd w:val="clear" w:color="000000" w:fill="FFFFFF"/>
            <w:noWrap/>
            <w:vAlign w:val="bottom"/>
          </w:tcPr>
          <w:p w14:paraId="0D505F57" w14:textId="6D0FF88C" w:rsidR="002A7AF7" w:rsidRPr="00BE20BD" w:rsidRDefault="002A7AF7" w:rsidP="002A7AF7">
            <w:pPr>
              <w:spacing w:line="240" w:lineRule="auto"/>
              <w:jc w:val="right"/>
              <w:rPr>
                <w:rFonts w:eastAsia="Times New Roman" w:cs="Arial"/>
                <w:color w:val="000000"/>
                <w:sz w:val="16"/>
                <w:szCs w:val="16"/>
                <w:lang w:val="en-US" w:eastAsia="de-CH"/>
              </w:rPr>
            </w:pPr>
          </w:p>
        </w:tc>
        <w:tc>
          <w:tcPr>
            <w:tcW w:w="787" w:type="dxa"/>
            <w:tcBorders>
              <w:top w:val="nil"/>
              <w:left w:val="nil"/>
              <w:bottom w:val="nil"/>
              <w:right w:val="nil"/>
            </w:tcBorders>
            <w:shd w:val="clear" w:color="000000" w:fill="FFFFFF"/>
            <w:noWrap/>
            <w:vAlign w:val="bottom"/>
          </w:tcPr>
          <w:p w14:paraId="5F663750" w14:textId="54B2DE88" w:rsidR="002A7AF7" w:rsidRPr="00BE20BD" w:rsidRDefault="002A7AF7" w:rsidP="002A7AF7">
            <w:pPr>
              <w:spacing w:line="240" w:lineRule="auto"/>
              <w:jc w:val="right"/>
              <w:rPr>
                <w:rFonts w:eastAsia="Times New Roman" w:cs="Arial"/>
                <w:color w:val="000000"/>
                <w:sz w:val="16"/>
                <w:szCs w:val="16"/>
                <w:lang w:val="en-US" w:eastAsia="de-CH"/>
              </w:rPr>
            </w:pPr>
          </w:p>
        </w:tc>
        <w:tc>
          <w:tcPr>
            <w:tcW w:w="567" w:type="dxa"/>
            <w:tcBorders>
              <w:top w:val="nil"/>
              <w:left w:val="nil"/>
              <w:bottom w:val="nil"/>
              <w:right w:val="nil"/>
            </w:tcBorders>
            <w:shd w:val="clear" w:color="000000" w:fill="FFFFFF"/>
            <w:noWrap/>
            <w:vAlign w:val="bottom"/>
          </w:tcPr>
          <w:p w14:paraId="6F64E66E" w14:textId="314F9278" w:rsidR="002A7AF7" w:rsidRPr="00BE20BD" w:rsidRDefault="002A7AF7" w:rsidP="002A7AF7">
            <w:pPr>
              <w:spacing w:line="240" w:lineRule="auto"/>
              <w:jc w:val="right"/>
              <w:rPr>
                <w:rFonts w:eastAsia="Times New Roman" w:cs="Arial"/>
                <w:color w:val="000000"/>
                <w:sz w:val="16"/>
                <w:szCs w:val="16"/>
                <w:lang w:val="en-US" w:eastAsia="de-CH"/>
              </w:rPr>
            </w:pPr>
          </w:p>
        </w:tc>
      </w:tr>
      <w:tr w:rsidR="002A7AF7" w:rsidRPr="00BE20BD" w14:paraId="4BCFC4A3" w14:textId="77777777" w:rsidTr="00325292">
        <w:trPr>
          <w:trHeight w:val="241"/>
        </w:trPr>
        <w:tc>
          <w:tcPr>
            <w:tcW w:w="2886" w:type="dxa"/>
            <w:tcBorders>
              <w:top w:val="nil"/>
              <w:left w:val="nil"/>
              <w:bottom w:val="nil"/>
              <w:right w:val="nil"/>
            </w:tcBorders>
            <w:shd w:val="clear" w:color="000000" w:fill="F2F2F2"/>
            <w:noWrap/>
            <w:vAlign w:val="bottom"/>
            <w:hideMark/>
          </w:tcPr>
          <w:p w14:paraId="60AB3C49" w14:textId="77777777" w:rsidR="002A7AF7" w:rsidRPr="00BE20BD" w:rsidRDefault="002A7AF7" w:rsidP="002A7AF7">
            <w:pPr>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en-US" w:eastAsia="de-CH"/>
              </w:rPr>
              <w:t xml:space="preserve"> </w:t>
            </w:r>
            <w:r w:rsidRPr="00BE20BD">
              <w:rPr>
                <w:rFonts w:eastAsia="Times New Roman" w:cs="Arial"/>
                <w:color w:val="000000"/>
                <w:sz w:val="16"/>
                <w:szCs w:val="16"/>
                <w:lang w:val="de-CH" w:eastAsia="de-CH"/>
              </w:rPr>
              <w:t xml:space="preserve">Scenarios </w:t>
            </w:r>
            <w:proofErr w:type="spellStart"/>
            <w:r w:rsidRPr="00BE20BD">
              <w:rPr>
                <w:rFonts w:eastAsia="Times New Roman" w:cs="Arial"/>
                <w:color w:val="000000"/>
                <w:sz w:val="16"/>
                <w:szCs w:val="16"/>
                <w:lang w:val="de-CH" w:eastAsia="de-CH"/>
              </w:rPr>
              <w:t>effect</w:t>
            </w:r>
            <w:proofErr w:type="spellEnd"/>
          </w:p>
        </w:tc>
        <w:tc>
          <w:tcPr>
            <w:tcW w:w="196" w:type="dxa"/>
            <w:tcBorders>
              <w:top w:val="nil"/>
              <w:left w:val="nil"/>
              <w:bottom w:val="nil"/>
              <w:right w:val="nil"/>
            </w:tcBorders>
            <w:shd w:val="clear" w:color="000000" w:fill="FFFFFF"/>
            <w:noWrap/>
            <w:vAlign w:val="bottom"/>
            <w:hideMark/>
          </w:tcPr>
          <w:p w14:paraId="2434A4AC" w14:textId="77777777" w:rsidR="002A7AF7" w:rsidRPr="00BE20BD" w:rsidRDefault="002A7AF7" w:rsidP="002A7AF7">
            <w:pPr>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887" w:type="dxa"/>
            <w:tcBorders>
              <w:top w:val="nil"/>
              <w:left w:val="nil"/>
              <w:bottom w:val="nil"/>
              <w:right w:val="nil"/>
            </w:tcBorders>
            <w:shd w:val="clear" w:color="000000" w:fill="F2F2F2"/>
            <w:noWrap/>
            <w:vAlign w:val="bottom"/>
          </w:tcPr>
          <w:p w14:paraId="129E2065" w14:textId="59BA1403" w:rsidR="002A7AF7" w:rsidRPr="00BE20BD" w:rsidRDefault="002A7AF7" w:rsidP="002A7AF7">
            <w:pPr>
              <w:spacing w:line="240" w:lineRule="auto"/>
              <w:jc w:val="right"/>
              <w:rPr>
                <w:rFonts w:eastAsia="Times New Roman" w:cs="Arial"/>
                <w:color w:val="000000"/>
                <w:sz w:val="16"/>
                <w:szCs w:val="16"/>
                <w:lang w:val="de-CH" w:eastAsia="de-CH"/>
              </w:rPr>
            </w:pPr>
          </w:p>
        </w:tc>
        <w:tc>
          <w:tcPr>
            <w:tcW w:w="523" w:type="dxa"/>
            <w:tcBorders>
              <w:top w:val="nil"/>
              <w:left w:val="nil"/>
              <w:bottom w:val="nil"/>
              <w:right w:val="nil"/>
            </w:tcBorders>
            <w:shd w:val="clear" w:color="000000" w:fill="FFFFFF"/>
            <w:noWrap/>
            <w:vAlign w:val="bottom"/>
          </w:tcPr>
          <w:p w14:paraId="574D8839" w14:textId="6881E1A3" w:rsidR="002A7AF7" w:rsidRPr="00BE20BD" w:rsidRDefault="002A7AF7" w:rsidP="002A7AF7">
            <w:pPr>
              <w:spacing w:line="240" w:lineRule="auto"/>
              <w:jc w:val="right"/>
              <w:rPr>
                <w:rFonts w:eastAsia="Times New Roman" w:cs="Arial"/>
                <w:color w:val="000000"/>
                <w:sz w:val="12"/>
                <w:szCs w:val="12"/>
                <w:lang w:val="de-CH" w:eastAsia="de-CH"/>
              </w:rPr>
            </w:pPr>
          </w:p>
        </w:tc>
        <w:tc>
          <w:tcPr>
            <w:tcW w:w="185" w:type="dxa"/>
            <w:tcBorders>
              <w:top w:val="nil"/>
              <w:left w:val="nil"/>
              <w:bottom w:val="nil"/>
              <w:right w:val="nil"/>
            </w:tcBorders>
            <w:shd w:val="clear" w:color="000000" w:fill="FFFFFF"/>
            <w:noWrap/>
            <w:vAlign w:val="bottom"/>
          </w:tcPr>
          <w:p w14:paraId="546FE220" w14:textId="61C89ED3" w:rsidR="002A7AF7" w:rsidRPr="00BE20BD" w:rsidRDefault="002A7AF7" w:rsidP="002A7AF7">
            <w:pPr>
              <w:spacing w:line="240" w:lineRule="auto"/>
              <w:rPr>
                <w:rFonts w:eastAsia="Times New Roman" w:cs="Arial"/>
                <w:color w:val="000000"/>
                <w:sz w:val="16"/>
                <w:szCs w:val="16"/>
                <w:lang w:val="de-CH" w:eastAsia="de-CH"/>
              </w:rPr>
            </w:pPr>
          </w:p>
        </w:tc>
        <w:tc>
          <w:tcPr>
            <w:tcW w:w="723" w:type="dxa"/>
            <w:tcBorders>
              <w:top w:val="nil"/>
              <w:left w:val="nil"/>
              <w:bottom w:val="nil"/>
              <w:right w:val="nil"/>
            </w:tcBorders>
            <w:shd w:val="clear" w:color="000000" w:fill="F2F2F2"/>
            <w:noWrap/>
            <w:vAlign w:val="bottom"/>
          </w:tcPr>
          <w:p w14:paraId="6342C349" w14:textId="5DFA2E21" w:rsidR="002A7AF7" w:rsidRPr="00BE20BD" w:rsidRDefault="002A7AF7" w:rsidP="002A7AF7">
            <w:pPr>
              <w:spacing w:line="240" w:lineRule="auto"/>
              <w:jc w:val="right"/>
              <w:rPr>
                <w:rFonts w:eastAsia="Times New Roman" w:cs="Arial"/>
                <w:color w:val="000000"/>
                <w:sz w:val="16"/>
                <w:szCs w:val="16"/>
                <w:lang w:val="de-CH" w:eastAsia="de-CH"/>
              </w:rPr>
            </w:pPr>
          </w:p>
        </w:tc>
        <w:tc>
          <w:tcPr>
            <w:tcW w:w="523" w:type="dxa"/>
            <w:tcBorders>
              <w:top w:val="nil"/>
              <w:left w:val="nil"/>
              <w:bottom w:val="nil"/>
              <w:right w:val="nil"/>
            </w:tcBorders>
            <w:shd w:val="clear" w:color="000000" w:fill="FFFFFF"/>
            <w:noWrap/>
            <w:vAlign w:val="bottom"/>
          </w:tcPr>
          <w:p w14:paraId="134AA34F" w14:textId="23325BD8" w:rsidR="002A7AF7" w:rsidRPr="00BE20BD" w:rsidRDefault="002A7AF7" w:rsidP="002A7AF7">
            <w:pPr>
              <w:spacing w:line="240" w:lineRule="auto"/>
              <w:jc w:val="right"/>
              <w:rPr>
                <w:rFonts w:eastAsia="Times New Roman" w:cs="Arial"/>
                <w:color w:val="000000"/>
                <w:sz w:val="12"/>
                <w:szCs w:val="12"/>
                <w:lang w:val="de-CH" w:eastAsia="de-CH"/>
              </w:rPr>
            </w:pPr>
          </w:p>
        </w:tc>
        <w:tc>
          <w:tcPr>
            <w:tcW w:w="232" w:type="dxa"/>
            <w:tcBorders>
              <w:top w:val="nil"/>
              <w:left w:val="nil"/>
              <w:bottom w:val="nil"/>
              <w:right w:val="nil"/>
            </w:tcBorders>
            <w:shd w:val="clear" w:color="000000" w:fill="FFFFFF"/>
            <w:noWrap/>
            <w:vAlign w:val="bottom"/>
          </w:tcPr>
          <w:p w14:paraId="3167D4BC" w14:textId="14D0A40E" w:rsidR="002A7AF7" w:rsidRPr="00BE20BD" w:rsidRDefault="002A7AF7" w:rsidP="002A7AF7">
            <w:pPr>
              <w:spacing w:line="240" w:lineRule="auto"/>
              <w:rPr>
                <w:rFonts w:eastAsia="Times New Roman" w:cs="Arial"/>
                <w:color w:val="000000"/>
                <w:sz w:val="16"/>
                <w:szCs w:val="16"/>
                <w:lang w:val="de-CH" w:eastAsia="de-CH"/>
              </w:rPr>
            </w:pPr>
          </w:p>
        </w:tc>
        <w:tc>
          <w:tcPr>
            <w:tcW w:w="618" w:type="dxa"/>
            <w:tcBorders>
              <w:top w:val="nil"/>
              <w:left w:val="nil"/>
              <w:bottom w:val="nil"/>
              <w:right w:val="nil"/>
            </w:tcBorders>
            <w:shd w:val="clear" w:color="000000" w:fill="F2F2F2"/>
            <w:noWrap/>
            <w:vAlign w:val="bottom"/>
          </w:tcPr>
          <w:p w14:paraId="7758EB43" w14:textId="1AF06EA0" w:rsidR="002A7AF7" w:rsidRPr="00BE20BD" w:rsidRDefault="002A7AF7" w:rsidP="002A7AF7">
            <w:pPr>
              <w:spacing w:line="240" w:lineRule="auto"/>
              <w:jc w:val="right"/>
              <w:rPr>
                <w:rFonts w:eastAsia="Times New Roman" w:cs="Arial"/>
                <w:color w:val="000000"/>
                <w:sz w:val="16"/>
                <w:szCs w:val="16"/>
                <w:lang w:val="de-CH" w:eastAsia="de-CH"/>
              </w:rPr>
            </w:pPr>
          </w:p>
        </w:tc>
        <w:tc>
          <w:tcPr>
            <w:tcW w:w="505" w:type="dxa"/>
            <w:tcBorders>
              <w:top w:val="nil"/>
              <w:left w:val="nil"/>
              <w:bottom w:val="nil"/>
              <w:right w:val="nil"/>
            </w:tcBorders>
            <w:shd w:val="clear" w:color="000000" w:fill="FFFFFF"/>
            <w:noWrap/>
            <w:vAlign w:val="bottom"/>
          </w:tcPr>
          <w:p w14:paraId="294667AC" w14:textId="43DD46C3" w:rsidR="002A7AF7" w:rsidRPr="00BE20BD" w:rsidRDefault="002A7AF7" w:rsidP="002A7AF7">
            <w:pPr>
              <w:spacing w:line="240" w:lineRule="auto"/>
              <w:jc w:val="right"/>
              <w:rPr>
                <w:rFonts w:eastAsia="Times New Roman" w:cs="Arial"/>
                <w:color w:val="000000"/>
                <w:sz w:val="12"/>
                <w:szCs w:val="12"/>
                <w:lang w:val="de-CH" w:eastAsia="de-CH"/>
              </w:rPr>
            </w:pPr>
          </w:p>
        </w:tc>
        <w:tc>
          <w:tcPr>
            <w:tcW w:w="359" w:type="dxa"/>
            <w:tcBorders>
              <w:top w:val="nil"/>
              <w:left w:val="nil"/>
              <w:bottom w:val="nil"/>
              <w:right w:val="nil"/>
            </w:tcBorders>
            <w:shd w:val="clear" w:color="000000" w:fill="FFFFFF"/>
            <w:noWrap/>
            <w:vAlign w:val="bottom"/>
          </w:tcPr>
          <w:p w14:paraId="0D03EE8E" w14:textId="1B4BBEA3" w:rsidR="002A7AF7" w:rsidRPr="00BE20BD" w:rsidRDefault="002A7AF7" w:rsidP="002A7AF7">
            <w:pPr>
              <w:spacing w:line="240" w:lineRule="auto"/>
              <w:rPr>
                <w:rFonts w:eastAsia="Times New Roman" w:cs="Arial"/>
                <w:color w:val="000000"/>
                <w:sz w:val="16"/>
                <w:szCs w:val="16"/>
                <w:lang w:val="de-CH" w:eastAsia="de-CH"/>
              </w:rPr>
            </w:pPr>
          </w:p>
        </w:tc>
        <w:tc>
          <w:tcPr>
            <w:tcW w:w="913" w:type="dxa"/>
            <w:tcBorders>
              <w:top w:val="nil"/>
              <w:left w:val="nil"/>
              <w:bottom w:val="nil"/>
              <w:right w:val="nil"/>
            </w:tcBorders>
            <w:shd w:val="clear" w:color="000000" w:fill="F2F2F2"/>
            <w:noWrap/>
            <w:vAlign w:val="bottom"/>
          </w:tcPr>
          <w:p w14:paraId="6AE3727C" w14:textId="32199A93" w:rsidR="002A7AF7" w:rsidRPr="00BE20BD" w:rsidRDefault="002A7AF7" w:rsidP="002A7AF7">
            <w:pPr>
              <w:spacing w:line="240" w:lineRule="auto"/>
              <w:jc w:val="right"/>
              <w:rPr>
                <w:rFonts w:eastAsia="Times New Roman" w:cs="Arial"/>
                <w:color w:val="000000"/>
                <w:sz w:val="16"/>
                <w:szCs w:val="16"/>
                <w:lang w:val="de-CH" w:eastAsia="de-CH"/>
              </w:rPr>
            </w:pPr>
          </w:p>
        </w:tc>
        <w:tc>
          <w:tcPr>
            <w:tcW w:w="787" w:type="dxa"/>
            <w:tcBorders>
              <w:top w:val="nil"/>
              <w:left w:val="nil"/>
              <w:bottom w:val="nil"/>
              <w:right w:val="nil"/>
            </w:tcBorders>
            <w:shd w:val="clear" w:color="000000" w:fill="F2F2F2"/>
            <w:noWrap/>
            <w:vAlign w:val="bottom"/>
          </w:tcPr>
          <w:p w14:paraId="32ABE207" w14:textId="1DA084F6" w:rsidR="002A7AF7" w:rsidRPr="00BE20BD" w:rsidRDefault="002A7AF7" w:rsidP="002A7AF7">
            <w:pPr>
              <w:spacing w:line="240" w:lineRule="auto"/>
              <w:jc w:val="right"/>
              <w:rPr>
                <w:rFonts w:eastAsia="Times New Roman" w:cs="Arial"/>
                <w:color w:val="000000"/>
                <w:sz w:val="16"/>
                <w:szCs w:val="16"/>
                <w:lang w:val="de-CH" w:eastAsia="de-CH"/>
              </w:rPr>
            </w:pPr>
          </w:p>
        </w:tc>
        <w:tc>
          <w:tcPr>
            <w:tcW w:w="567" w:type="dxa"/>
            <w:tcBorders>
              <w:top w:val="nil"/>
              <w:left w:val="nil"/>
              <w:bottom w:val="nil"/>
              <w:right w:val="nil"/>
            </w:tcBorders>
            <w:shd w:val="clear" w:color="000000" w:fill="F2F2F2"/>
            <w:noWrap/>
            <w:vAlign w:val="bottom"/>
          </w:tcPr>
          <w:p w14:paraId="070AFE70" w14:textId="5FC82E2E" w:rsidR="002A7AF7" w:rsidRPr="00BE20BD" w:rsidRDefault="002A7AF7" w:rsidP="002A7AF7">
            <w:pPr>
              <w:spacing w:line="240" w:lineRule="auto"/>
              <w:jc w:val="right"/>
              <w:rPr>
                <w:rFonts w:eastAsia="Times New Roman" w:cs="Arial"/>
                <w:color w:val="000000"/>
                <w:sz w:val="16"/>
                <w:szCs w:val="16"/>
                <w:lang w:val="de-CH" w:eastAsia="de-CH"/>
              </w:rPr>
            </w:pPr>
          </w:p>
        </w:tc>
      </w:tr>
      <w:tr w:rsidR="002A7AF7" w:rsidRPr="00BE20BD" w14:paraId="511D6E7A" w14:textId="77777777" w:rsidTr="00325292">
        <w:trPr>
          <w:trHeight w:val="241"/>
        </w:trPr>
        <w:tc>
          <w:tcPr>
            <w:tcW w:w="2886" w:type="dxa"/>
            <w:tcBorders>
              <w:top w:val="nil"/>
              <w:left w:val="nil"/>
              <w:bottom w:val="nil"/>
              <w:right w:val="nil"/>
            </w:tcBorders>
            <w:shd w:val="clear" w:color="000000" w:fill="FFFFFF"/>
            <w:noWrap/>
            <w:vAlign w:val="bottom"/>
            <w:hideMark/>
          </w:tcPr>
          <w:p w14:paraId="7CB772A9" w14:textId="01CD6CB0" w:rsidR="002A7AF7" w:rsidRPr="00BE20BD" w:rsidRDefault="005A0210" w:rsidP="002A7AF7">
            <w:pPr>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xml:space="preserve"> </w:t>
            </w:r>
            <w:r w:rsidR="002A7AF7" w:rsidRPr="00BE20BD">
              <w:rPr>
                <w:rFonts w:eastAsia="Times New Roman" w:cs="Arial"/>
                <w:color w:val="000000"/>
                <w:sz w:val="16"/>
                <w:szCs w:val="16"/>
                <w:lang w:val="de-CH" w:eastAsia="de-CH"/>
              </w:rPr>
              <w:t xml:space="preserve">Additional </w:t>
            </w:r>
            <w:proofErr w:type="spellStart"/>
            <w:r w:rsidR="002A7AF7" w:rsidRPr="00BE20BD">
              <w:rPr>
                <w:rFonts w:eastAsia="Times New Roman" w:cs="Arial"/>
                <w:color w:val="000000"/>
                <w:sz w:val="16"/>
                <w:szCs w:val="16"/>
                <w:lang w:val="de-CH" w:eastAsia="de-CH"/>
              </w:rPr>
              <w:t>effects</w:t>
            </w:r>
            <w:proofErr w:type="spellEnd"/>
          </w:p>
        </w:tc>
        <w:tc>
          <w:tcPr>
            <w:tcW w:w="196" w:type="dxa"/>
            <w:tcBorders>
              <w:top w:val="nil"/>
              <w:left w:val="nil"/>
              <w:bottom w:val="nil"/>
              <w:right w:val="nil"/>
            </w:tcBorders>
            <w:shd w:val="clear" w:color="000000" w:fill="FFFFFF"/>
            <w:noWrap/>
            <w:vAlign w:val="bottom"/>
            <w:hideMark/>
          </w:tcPr>
          <w:p w14:paraId="24B6A83F" w14:textId="77777777" w:rsidR="002A7AF7" w:rsidRPr="00BE20BD" w:rsidRDefault="002A7AF7" w:rsidP="002A7AF7">
            <w:pPr>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887" w:type="dxa"/>
            <w:tcBorders>
              <w:top w:val="nil"/>
              <w:left w:val="nil"/>
              <w:bottom w:val="nil"/>
              <w:right w:val="nil"/>
            </w:tcBorders>
            <w:shd w:val="clear" w:color="000000" w:fill="FFFFFF"/>
            <w:noWrap/>
            <w:vAlign w:val="bottom"/>
          </w:tcPr>
          <w:p w14:paraId="0E612D44" w14:textId="68C31129" w:rsidR="002A7AF7" w:rsidRPr="00BE20BD" w:rsidRDefault="002A7AF7" w:rsidP="002A7AF7">
            <w:pPr>
              <w:spacing w:line="240" w:lineRule="auto"/>
              <w:jc w:val="right"/>
              <w:rPr>
                <w:rFonts w:eastAsia="Times New Roman" w:cs="Arial"/>
                <w:color w:val="000000"/>
                <w:sz w:val="16"/>
                <w:szCs w:val="16"/>
                <w:lang w:val="de-CH" w:eastAsia="de-CH"/>
              </w:rPr>
            </w:pPr>
          </w:p>
        </w:tc>
        <w:tc>
          <w:tcPr>
            <w:tcW w:w="523" w:type="dxa"/>
            <w:tcBorders>
              <w:top w:val="nil"/>
              <w:left w:val="nil"/>
              <w:bottom w:val="nil"/>
              <w:right w:val="nil"/>
            </w:tcBorders>
            <w:shd w:val="clear" w:color="000000" w:fill="FFFFFF"/>
            <w:noWrap/>
            <w:vAlign w:val="bottom"/>
          </w:tcPr>
          <w:p w14:paraId="41123BE8" w14:textId="4F7F7BF4" w:rsidR="002A7AF7" w:rsidRPr="00BE20BD" w:rsidRDefault="002A7AF7" w:rsidP="002A7AF7">
            <w:pPr>
              <w:spacing w:line="240" w:lineRule="auto"/>
              <w:rPr>
                <w:rFonts w:eastAsia="Times New Roman" w:cs="Arial"/>
                <w:color w:val="000000"/>
                <w:sz w:val="12"/>
                <w:szCs w:val="12"/>
                <w:lang w:val="de-CH" w:eastAsia="de-CH"/>
              </w:rPr>
            </w:pPr>
          </w:p>
        </w:tc>
        <w:tc>
          <w:tcPr>
            <w:tcW w:w="185" w:type="dxa"/>
            <w:tcBorders>
              <w:top w:val="nil"/>
              <w:left w:val="nil"/>
              <w:bottom w:val="nil"/>
              <w:right w:val="nil"/>
            </w:tcBorders>
            <w:shd w:val="clear" w:color="000000" w:fill="FFFFFF"/>
            <w:noWrap/>
            <w:vAlign w:val="bottom"/>
          </w:tcPr>
          <w:p w14:paraId="73910194" w14:textId="43D14CE3" w:rsidR="002A7AF7" w:rsidRPr="00BE20BD" w:rsidRDefault="002A7AF7" w:rsidP="002A7AF7">
            <w:pPr>
              <w:spacing w:line="240" w:lineRule="auto"/>
              <w:rPr>
                <w:rFonts w:eastAsia="Times New Roman" w:cs="Arial"/>
                <w:color w:val="000000"/>
                <w:sz w:val="16"/>
                <w:szCs w:val="16"/>
                <w:lang w:val="de-CH" w:eastAsia="de-CH"/>
              </w:rPr>
            </w:pPr>
          </w:p>
        </w:tc>
        <w:tc>
          <w:tcPr>
            <w:tcW w:w="723" w:type="dxa"/>
            <w:tcBorders>
              <w:top w:val="nil"/>
              <w:left w:val="nil"/>
              <w:bottom w:val="nil"/>
              <w:right w:val="nil"/>
            </w:tcBorders>
            <w:shd w:val="clear" w:color="000000" w:fill="FFFFFF"/>
            <w:noWrap/>
            <w:vAlign w:val="bottom"/>
          </w:tcPr>
          <w:p w14:paraId="1CF683DA" w14:textId="1B55C0C7" w:rsidR="002A7AF7" w:rsidRPr="00BE20BD" w:rsidRDefault="002A7AF7" w:rsidP="002A7AF7">
            <w:pPr>
              <w:spacing w:line="240" w:lineRule="auto"/>
              <w:jc w:val="right"/>
              <w:rPr>
                <w:rFonts w:eastAsia="Times New Roman" w:cs="Arial"/>
                <w:color w:val="000000"/>
                <w:sz w:val="16"/>
                <w:szCs w:val="16"/>
                <w:lang w:val="de-CH" w:eastAsia="de-CH"/>
              </w:rPr>
            </w:pPr>
          </w:p>
        </w:tc>
        <w:tc>
          <w:tcPr>
            <w:tcW w:w="523" w:type="dxa"/>
            <w:tcBorders>
              <w:top w:val="nil"/>
              <w:left w:val="nil"/>
              <w:bottom w:val="nil"/>
              <w:right w:val="nil"/>
            </w:tcBorders>
            <w:shd w:val="clear" w:color="000000" w:fill="FFFFFF"/>
            <w:noWrap/>
            <w:vAlign w:val="bottom"/>
          </w:tcPr>
          <w:p w14:paraId="382D0A0D" w14:textId="2F9C542B" w:rsidR="002A7AF7" w:rsidRPr="00BE20BD" w:rsidRDefault="002A7AF7" w:rsidP="002A7AF7">
            <w:pPr>
              <w:spacing w:line="240" w:lineRule="auto"/>
              <w:rPr>
                <w:rFonts w:eastAsia="Times New Roman" w:cs="Arial"/>
                <w:color w:val="000000"/>
                <w:sz w:val="12"/>
                <w:szCs w:val="12"/>
                <w:lang w:val="de-CH" w:eastAsia="de-CH"/>
              </w:rPr>
            </w:pPr>
          </w:p>
        </w:tc>
        <w:tc>
          <w:tcPr>
            <w:tcW w:w="232" w:type="dxa"/>
            <w:tcBorders>
              <w:top w:val="nil"/>
              <w:left w:val="nil"/>
              <w:bottom w:val="nil"/>
              <w:right w:val="nil"/>
            </w:tcBorders>
            <w:shd w:val="clear" w:color="000000" w:fill="FFFFFF"/>
            <w:noWrap/>
            <w:vAlign w:val="bottom"/>
          </w:tcPr>
          <w:p w14:paraId="32E775FB" w14:textId="567DB52D" w:rsidR="002A7AF7" w:rsidRPr="00BE20BD" w:rsidRDefault="002A7AF7" w:rsidP="002A7AF7">
            <w:pPr>
              <w:spacing w:line="240" w:lineRule="auto"/>
              <w:rPr>
                <w:rFonts w:eastAsia="Times New Roman" w:cs="Arial"/>
                <w:color w:val="000000"/>
                <w:sz w:val="16"/>
                <w:szCs w:val="16"/>
                <w:lang w:val="de-CH" w:eastAsia="de-CH"/>
              </w:rPr>
            </w:pPr>
          </w:p>
        </w:tc>
        <w:tc>
          <w:tcPr>
            <w:tcW w:w="618" w:type="dxa"/>
            <w:tcBorders>
              <w:top w:val="nil"/>
              <w:left w:val="nil"/>
              <w:bottom w:val="nil"/>
              <w:right w:val="nil"/>
            </w:tcBorders>
            <w:shd w:val="clear" w:color="000000" w:fill="FFFFFF"/>
            <w:noWrap/>
            <w:vAlign w:val="bottom"/>
          </w:tcPr>
          <w:p w14:paraId="74A5EF2E" w14:textId="3DD2AE83" w:rsidR="002A7AF7" w:rsidRPr="00BE20BD" w:rsidRDefault="002A7AF7" w:rsidP="002A7AF7">
            <w:pPr>
              <w:spacing w:line="240" w:lineRule="auto"/>
              <w:jc w:val="right"/>
              <w:rPr>
                <w:rFonts w:eastAsia="Times New Roman" w:cs="Arial"/>
                <w:color w:val="000000"/>
                <w:sz w:val="16"/>
                <w:szCs w:val="16"/>
                <w:lang w:val="de-CH" w:eastAsia="de-CH"/>
              </w:rPr>
            </w:pPr>
          </w:p>
        </w:tc>
        <w:tc>
          <w:tcPr>
            <w:tcW w:w="505" w:type="dxa"/>
            <w:tcBorders>
              <w:top w:val="nil"/>
              <w:left w:val="nil"/>
              <w:bottom w:val="nil"/>
              <w:right w:val="nil"/>
            </w:tcBorders>
            <w:shd w:val="clear" w:color="000000" w:fill="FFFFFF"/>
            <w:noWrap/>
            <w:vAlign w:val="bottom"/>
          </w:tcPr>
          <w:p w14:paraId="1CD59F1D" w14:textId="1625A90A" w:rsidR="002A7AF7" w:rsidRPr="00BE20BD" w:rsidRDefault="002A7AF7" w:rsidP="002A7AF7">
            <w:pPr>
              <w:spacing w:line="240" w:lineRule="auto"/>
              <w:rPr>
                <w:rFonts w:eastAsia="Times New Roman" w:cs="Arial"/>
                <w:color w:val="000000"/>
                <w:sz w:val="12"/>
                <w:szCs w:val="12"/>
                <w:lang w:val="de-CH" w:eastAsia="de-CH"/>
              </w:rPr>
            </w:pPr>
          </w:p>
        </w:tc>
        <w:tc>
          <w:tcPr>
            <w:tcW w:w="359" w:type="dxa"/>
            <w:tcBorders>
              <w:top w:val="nil"/>
              <w:left w:val="nil"/>
              <w:bottom w:val="nil"/>
              <w:right w:val="nil"/>
            </w:tcBorders>
            <w:shd w:val="clear" w:color="000000" w:fill="FFFFFF"/>
            <w:noWrap/>
            <w:vAlign w:val="bottom"/>
          </w:tcPr>
          <w:p w14:paraId="4A45E87C" w14:textId="156671BA" w:rsidR="002A7AF7" w:rsidRPr="00BE20BD" w:rsidRDefault="002A7AF7" w:rsidP="002A7AF7">
            <w:pPr>
              <w:spacing w:line="240" w:lineRule="auto"/>
              <w:rPr>
                <w:rFonts w:eastAsia="Times New Roman" w:cs="Arial"/>
                <w:color w:val="000000"/>
                <w:sz w:val="16"/>
                <w:szCs w:val="16"/>
                <w:lang w:val="de-CH" w:eastAsia="de-CH"/>
              </w:rPr>
            </w:pPr>
          </w:p>
        </w:tc>
        <w:tc>
          <w:tcPr>
            <w:tcW w:w="913" w:type="dxa"/>
            <w:tcBorders>
              <w:top w:val="nil"/>
              <w:left w:val="nil"/>
              <w:bottom w:val="nil"/>
              <w:right w:val="nil"/>
            </w:tcBorders>
            <w:shd w:val="clear" w:color="000000" w:fill="FFFFFF"/>
            <w:noWrap/>
            <w:vAlign w:val="bottom"/>
          </w:tcPr>
          <w:p w14:paraId="76F4CBCA" w14:textId="2802FB11" w:rsidR="002A7AF7" w:rsidRPr="00BE20BD" w:rsidRDefault="002A7AF7" w:rsidP="002A7AF7">
            <w:pPr>
              <w:spacing w:line="240" w:lineRule="auto"/>
              <w:jc w:val="right"/>
              <w:rPr>
                <w:rFonts w:eastAsia="Times New Roman" w:cs="Arial"/>
                <w:color w:val="000000"/>
                <w:sz w:val="16"/>
                <w:szCs w:val="16"/>
                <w:lang w:val="de-CH" w:eastAsia="de-CH"/>
              </w:rPr>
            </w:pPr>
          </w:p>
        </w:tc>
        <w:tc>
          <w:tcPr>
            <w:tcW w:w="787" w:type="dxa"/>
            <w:tcBorders>
              <w:top w:val="nil"/>
              <w:left w:val="nil"/>
              <w:bottom w:val="nil"/>
              <w:right w:val="nil"/>
            </w:tcBorders>
            <w:shd w:val="clear" w:color="000000" w:fill="FFFFFF"/>
            <w:noWrap/>
            <w:vAlign w:val="bottom"/>
          </w:tcPr>
          <w:p w14:paraId="283AF00E" w14:textId="2AE82C94" w:rsidR="002A7AF7" w:rsidRPr="00BE20BD" w:rsidRDefault="002A7AF7" w:rsidP="002A7AF7">
            <w:pPr>
              <w:spacing w:line="240" w:lineRule="auto"/>
              <w:jc w:val="right"/>
              <w:rPr>
                <w:rFonts w:eastAsia="Times New Roman" w:cs="Arial"/>
                <w:color w:val="000000"/>
                <w:sz w:val="16"/>
                <w:szCs w:val="16"/>
                <w:lang w:val="de-CH" w:eastAsia="de-CH"/>
              </w:rPr>
            </w:pPr>
          </w:p>
        </w:tc>
        <w:tc>
          <w:tcPr>
            <w:tcW w:w="567" w:type="dxa"/>
            <w:tcBorders>
              <w:top w:val="nil"/>
              <w:left w:val="nil"/>
              <w:bottom w:val="nil"/>
              <w:right w:val="nil"/>
            </w:tcBorders>
            <w:shd w:val="clear" w:color="000000" w:fill="FFFFFF"/>
            <w:noWrap/>
            <w:vAlign w:val="bottom"/>
          </w:tcPr>
          <w:p w14:paraId="781823AC" w14:textId="529EA336" w:rsidR="002A7AF7" w:rsidRPr="00BE20BD" w:rsidRDefault="002A7AF7" w:rsidP="002A7AF7">
            <w:pPr>
              <w:spacing w:line="240" w:lineRule="auto"/>
              <w:jc w:val="right"/>
              <w:rPr>
                <w:rFonts w:eastAsia="Times New Roman" w:cs="Arial"/>
                <w:color w:val="000000"/>
                <w:sz w:val="16"/>
                <w:szCs w:val="16"/>
                <w:lang w:val="de-CH" w:eastAsia="de-CH"/>
              </w:rPr>
            </w:pPr>
          </w:p>
        </w:tc>
      </w:tr>
      <w:tr w:rsidR="00931C3F" w:rsidRPr="00BE20BD" w14:paraId="2D0526C3" w14:textId="77777777" w:rsidTr="00325292">
        <w:trPr>
          <w:trHeight w:val="241"/>
        </w:trPr>
        <w:tc>
          <w:tcPr>
            <w:tcW w:w="2886" w:type="dxa"/>
            <w:tcBorders>
              <w:top w:val="nil"/>
              <w:left w:val="nil"/>
              <w:bottom w:val="nil"/>
              <w:right w:val="nil"/>
            </w:tcBorders>
            <w:shd w:val="clear" w:color="000000" w:fill="FFFFFF"/>
            <w:noWrap/>
            <w:vAlign w:val="bottom"/>
          </w:tcPr>
          <w:p w14:paraId="1497F24F" w14:textId="77777777" w:rsidR="00931C3F" w:rsidRPr="00BE20BD" w:rsidRDefault="00931C3F" w:rsidP="002A7AF7">
            <w:pPr>
              <w:spacing w:line="240" w:lineRule="auto"/>
              <w:rPr>
                <w:rFonts w:eastAsia="Times New Roman" w:cs="Arial"/>
                <w:color w:val="000000"/>
                <w:sz w:val="16"/>
                <w:szCs w:val="16"/>
                <w:lang w:val="de-CH" w:eastAsia="de-CH"/>
              </w:rPr>
            </w:pPr>
          </w:p>
        </w:tc>
        <w:tc>
          <w:tcPr>
            <w:tcW w:w="196" w:type="dxa"/>
            <w:tcBorders>
              <w:top w:val="nil"/>
              <w:left w:val="nil"/>
              <w:bottom w:val="nil"/>
              <w:right w:val="nil"/>
            </w:tcBorders>
            <w:shd w:val="clear" w:color="000000" w:fill="FFFFFF"/>
            <w:noWrap/>
            <w:vAlign w:val="bottom"/>
          </w:tcPr>
          <w:p w14:paraId="24376A70" w14:textId="77777777" w:rsidR="00931C3F" w:rsidRPr="00BE20BD" w:rsidRDefault="00931C3F" w:rsidP="002A7AF7">
            <w:pPr>
              <w:spacing w:line="240" w:lineRule="auto"/>
              <w:rPr>
                <w:rFonts w:eastAsia="Times New Roman" w:cs="Arial"/>
                <w:color w:val="000000"/>
                <w:sz w:val="16"/>
                <w:szCs w:val="16"/>
                <w:lang w:val="de-CH" w:eastAsia="de-CH"/>
              </w:rPr>
            </w:pPr>
          </w:p>
        </w:tc>
        <w:tc>
          <w:tcPr>
            <w:tcW w:w="887" w:type="dxa"/>
            <w:tcBorders>
              <w:top w:val="nil"/>
              <w:left w:val="nil"/>
              <w:bottom w:val="nil"/>
              <w:right w:val="nil"/>
            </w:tcBorders>
            <w:shd w:val="clear" w:color="000000" w:fill="FFFFFF"/>
            <w:noWrap/>
            <w:vAlign w:val="bottom"/>
          </w:tcPr>
          <w:p w14:paraId="7CFB04D4" w14:textId="77777777" w:rsidR="00931C3F" w:rsidRPr="00BE20BD" w:rsidRDefault="00931C3F" w:rsidP="002A7AF7">
            <w:pPr>
              <w:spacing w:line="240" w:lineRule="auto"/>
              <w:jc w:val="right"/>
              <w:rPr>
                <w:rFonts w:eastAsia="Times New Roman" w:cs="Arial"/>
                <w:color w:val="000000"/>
                <w:sz w:val="16"/>
                <w:szCs w:val="16"/>
                <w:lang w:val="de-CH" w:eastAsia="de-CH"/>
              </w:rPr>
            </w:pPr>
          </w:p>
        </w:tc>
        <w:tc>
          <w:tcPr>
            <w:tcW w:w="523" w:type="dxa"/>
            <w:tcBorders>
              <w:top w:val="nil"/>
              <w:left w:val="nil"/>
              <w:bottom w:val="nil"/>
              <w:right w:val="nil"/>
            </w:tcBorders>
            <w:shd w:val="clear" w:color="000000" w:fill="FFFFFF"/>
            <w:noWrap/>
            <w:vAlign w:val="bottom"/>
          </w:tcPr>
          <w:p w14:paraId="44F5376B" w14:textId="77777777" w:rsidR="00931C3F" w:rsidRPr="00BE20BD" w:rsidRDefault="00931C3F" w:rsidP="002A7AF7">
            <w:pPr>
              <w:spacing w:line="240" w:lineRule="auto"/>
              <w:rPr>
                <w:rFonts w:eastAsia="Times New Roman" w:cs="Arial"/>
                <w:color w:val="000000"/>
                <w:sz w:val="12"/>
                <w:szCs w:val="12"/>
                <w:lang w:val="de-CH" w:eastAsia="de-CH"/>
              </w:rPr>
            </w:pPr>
          </w:p>
        </w:tc>
        <w:tc>
          <w:tcPr>
            <w:tcW w:w="185" w:type="dxa"/>
            <w:tcBorders>
              <w:top w:val="nil"/>
              <w:left w:val="nil"/>
              <w:bottom w:val="nil"/>
              <w:right w:val="nil"/>
            </w:tcBorders>
            <w:shd w:val="clear" w:color="000000" w:fill="FFFFFF"/>
            <w:noWrap/>
            <w:vAlign w:val="bottom"/>
          </w:tcPr>
          <w:p w14:paraId="0E5BEE33" w14:textId="77777777" w:rsidR="00931C3F" w:rsidRPr="00BE20BD" w:rsidRDefault="00931C3F" w:rsidP="002A7AF7">
            <w:pPr>
              <w:spacing w:line="240" w:lineRule="auto"/>
              <w:rPr>
                <w:rFonts w:eastAsia="Times New Roman" w:cs="Arial"/>
                <w:color w:val="000000"/>
                <w:sz w:val="16"/>
                <w:szCs w:val="16"/>
                <w:lang w:val="de-CH" w:eastAsia="de-CH"/>
              </w:rPr>
            </w:pPr>
          </w:p>
        </w:tc>
        <w:tc>
          <w:tcPr>
            <w:tcW w:w="723" w:type="dxa"/>
            <w:tcBorders>
              <w:top w:val="nil"/>
              <w:left w:val="nil"/>
              <w:bottom w:val="nil"/>
              <w:right w:val="nil"/>
            </w:tcBorders>
            <w:shd w:val="clear" w:color="000000" w:fill="FFFFFF"/>
            <w:noWrap/>
            <w:vAlign w:val="bottom"/>
          </w:tcPr>
          <w:p w14:paraId="77CDC456" w14:textId="77777777" w:rsidR="00931C3F" w:rsidRPr="00BE20BD" w:rsidRDefault="00931C3F" w:rsidP="002A7AF7">
            <w:pPr>
              <w:spacing w:line="240" w:lineRule="auto"/>
              <w:jc w:val="right"/>
              <w:rPr>
                <w:rFonts w:eastAsia="Times New Roman" w:cs="Arial"/>
                <w:color w:val="000000"/>
                <w:sz w:val="16"/>
                <w:szCs w:val="16"/>
                <w:lang w:val="de-CH" w:eastAsia="de-CH"/>
              </w:rPr>
            </w:pPr>
          </w:p>
        </w:tc>
        <w:tc>
          <w:tcPr>
            <w:tcW w:w="523" w:type="dxa"/>
            <w:tcBorders>
              <w:top w:val="nil"/>
              <w:left w:val="nil"/>
              <w:bottom w:val="nil"/>
              <w:right w:val="nil"/>
            </w:tcBorders>
            <w:shd w:val="clear" w:color="000000" w:fill="FFFFFF"/>
            <w:noWrap/>
            <w:vAlign w:val="bottom"/>
          </w:tcPr>
          <w:p w14:paraId="2BF1FEB8" w14:textId="77777777" w:rsidR="00931C3F" w:rsidRPr="00BE20BD" w:rsidRDefault="00931C3F" w:rsidP="002A7AF7">
            <w:pPr>
              <w:spacing w:line="240" w:lineRule="auto"/>
              <w:rPr>
                <w:rFonts w:eastAsia="Times New Roman" w:cs="Arial"/>
                <w:color w:val="000000"/>
                <w:sz w:val="12"/>
                <w:szCs w:val="12"/>
                <w:lang w:val="de-CH" w:eastAsia="de-CH"/>
              </w:rPr>
            </w:pPr>
          </w:p>
        </w:tc>
        <w:tc>
          <w:tcPr>
            <w:tcW w:w="232" w:type="dxa"/>
            <w:tcBorders>
              <w:top w:val="nil"/>
              <w:left w:val="nil"/>
              <w:bottom w:val="nil"/>
              <w:right w:val="nil"/>
            </w:tcBorders>
            <w:shd w:val="clear" w:color="000000" w:fill="FFFFFF"/>
            <w:noWrap/>
            <w:vAlign w:val="bottom"/>
          </w:tcPr>
          <w:p w14:paraId="7DC5ACD6" w14:textId="77777777" w:rsidR="00931C3F" w:rsidRPr="00BE20BD" w:rsidRDefault="00931C3F" w:rsidP="002A7AF7">
            <w:pPr>
              <w:spacing w:line="240" w:lineRule="auto"/>
              <w:rPr>
                <w:rFonts w:eastAsia="Times New Roman" w:cs="Arial"/>
                <w:color w:val="000000"/>
                <w:sz w:val="16"/>
                <w:szCs w:val="16"/>
                <w:lang w:val="de-CH" w:eastAsia="de-CH"/>
              </w:rPr>
            </w:pPr>
          </w:p>
        </w:tc>
        <w:tc>
          <w:tcPr>
            <w:tcW w:w="618" w:type="dxa"/>
            <w:tcBorders>
              <w:top w:val="nil"/>
              <w:left w:val="nil"/>
              <w:bottom w:val="nil"/>
              <w:right w:val="nil"/>
            </w:tcBorders>
            <w:shd w:val="clear" w:color="000000" w:fill="FFFFFF"/>
            <w:noWrap/>
            <w:vAlign w:val="bottom"/>
          </w:tcPr>
          <w:p w14:paraId="23847F56" w14:textId="77777777" w:rsidR="00931C3F" w:rsidRPr="00BE20BD" w:rsidRDefault="00931C3F" w:rsidP="002A7AF7">
            <w:pPr>
              <w:spacing w:line="240" w:lineRule="auto"/>
              <w:jc w:val="right"/>
              <w:rPr>
                <w:rFonts w:eastAsia="Times New Roman" w:cs="Arial"/>
                <w:color w:val="000000"/>
                <w:sz w:val="16"/>
                <w:szCs w:val="16"/>
                <w:lang w:val="de-CH" w:eastAsia="de-CH"/>
              </w:rPr>
            </w:pPr>
          </w:p>
        </w:tc>
        <w:tc>
          <w:tcPr>
            <w:tcW w:w="505" w:type="dxa"/>
            <w:tcBorders>
              <w:top w:val="nil"/>
              <w:left w:val="nil"/>
              <w:bottom w:val="nil"/>
              <w:right w:val="nil"/>
            </w:tcBorders>
            <w:shd w:val="clear" w:color="000000" w:fill="FFFFFF"/>
            <w:noWrap/>
            <w:vAlign w:val="bottom"/>
          </w:tcPr>
          <w:p w14:paraId="2D15C7CE" w14:textId="77777777" w:rsidR="00931C3F" w:rsidRPr="00BE20BD" w:rsidRDefault="00931C3F" w:rsidP="002A7AF7">
            <w:pPr>
              <w:spacing w:line="240" w:lineRule="auto"/>
              <w:rPr>
                <w:rFonts w:eastAsia="Times New Roman" w:cs="Arial"/>
                <w:color w:val="000000"/>
                <w:sz w:val="12"/>
                <w:szCs w:val="12"/>
                <w:lang w:val="de-CH" w:eastAsia="de-CH"/>
              </w:rPr>
            </w:pPr>
          </w:p>
        </w:tc>
        <w:tc>
          <w:tcPr>
            <w:tcW w:w="359" w:type="dxa"/>
            <w:tcBorders>
              <w:top w:val="nil"/>
              <w:left w:val="nil"/>
              <w:bottom w:val="nil"/>
              <w:right w:val="nil"/>
            </w:tcBorders>
            <w:shd w:val="clear" w:color="000000" w:fill="FFFFFF"/>
            <w:noWrap/>
            <w:vAlign w:val="bottom"/>
          </w:tcPr>
          <w:p w14:paraId="379F0134" w14:textId="77777777" w:rsidR="00931C3F" w:rsidRPr="00BE20BD" w:rsidRDefault="00931C3F" w:rsidP="002A7AF7">
            <w:pPr>
              <w:spacing w:line="240" w:lineRule="auto"/>
              <w:rPr>
                <w:rFonts w:eastAsia="Times New Roman" w:cs="Arial"/>
                <w:color w:val="000000"/>
                <w:sz w:val="16"/>
                <w:szCs w:val="16"/>
                <w:lang w:val="de-CH" w:eastAsia="de-CH"/>
              </w:rPr>
            </w:pPr>
          </w:p>
        </w:tc>
        <w:tc>
          <w:tcPr>
            <w:tcW w:w="913" w:type="dxa"/>
            <w:tcBorders>
              <w:top w:val="nil"/>
              <w:left w:val="nil"/>
              <w:bottom w:val="nil"/>
              <w:right w:val="nil"/>
            </w:tcBorders>
            <w:shd w:val="clear" w:color="000000" w:fill="FFFFFF"/>
            <w:noWrap/>
            <w:vAlign w:val="bottom"/>
          </w:tcPr>
          <w:p w14:paraId="69FDF9C9" w14:textId="77777777" w:rsidR="00931C3F" w:rsidRPr="00BE20BD" w:rsidRDefault="00931C3F" w:rsidP="002A7AF7">
            <w:pPr>
              <w:spacing w:line="240" w:lineRule="auto"/>
              <w:jc w:val="right"/>
              <w:rPr>
                <w:rFonts w:eastAsia="Times New Roman" w:cs="Arial"/>
                <w:color w:val="000000"/>
                <w:sz w:val="16"/>
                <w:szCs w:val="16"/>
                <w:lang w:val="de-CH" w:eastAsia="de-CH"/>
              </w:rPr>
            </w:pPr>
          </w:p>
        </w:tc>
        <w:tc>
          <w:tcPr>
            <w:tcW w:w="787" w:type="dxa"/>
            <w:tcBorders>
              <w:top w:val="nil"/>
              <w:left w:val="nil"/>
              <w:bottom w:val="nil"/>
              <w:right w:val="nil"/>
            </w:tcBorders>
            <w:shd w:val="clear" w:color="000000" w:fill="FFFFFF"/>
            <w:noWrap/>
            <w:vAlign w:val="bottom"/>
          </w:tcPr>
          <w:p w14:paraId="4F648250" w14:textId="77777777" w:rsidR="00931C3F" w:rsidRPr="00BE20BD" w:rsidRDefault="00931C3F" w:rsidP="002A7AF7">
            <w:pPr>
              <w:spacing w:line="240" w:lineRule="auto"/>
              <w:jc w:val="right"/>
              <w:rPr>
                <w:rFonts w:eastAsia="Times New Roman" w:cs="Arial"/>
                <w:color w:val="000000"/>
                <w:sz w:val="16"/>
                <w:szCs w:val="16"/>
                <w:lang w:val="de-CH" w:eastAsia="de-CH"/>
              </w:rPr>
            </w:pPr>
          </w:p>
        </w:tc>
        <w:tc>
          <w:tcPr>
            <w:tcW w:w="567" w:type="dxa"/>
            <w:tcBorders>
              <w:top w:val="nil"/>
              <w:left w:val="nil"/>
              <w:bottom w:val="nil"/>
              <w:right w:val="nil"/>
            </w:tcBorders>
            <w:shd w:val="clear" w:color="000000" w:fill="FFFFFF"/>
            <w:noWrap/>
            <w:vAlign w:val="bottom"/>
          </w:tcPr>
          <w:p w14:paraId="5DE81F49" w14:textId="77777777" w:rsidR="00931C3F" w:rsidRPr="00BE20BD" w:rsidRDefault="00931C3F" w:rsidP="002A7AF7">
            <w:pPr>
              <w:spacing w:line="240" w:lineRule="auto"/>
              <w:jc w:val="right"/>
              <w:rPr>
                <w:rFonts w:eastAsia="Times New Roman" w:cs="Arial"/>
                <w:color w:val="000000"/>
                <w:sz w:val="16"/>
                <w:szCs w:val="16"/>
                <w:lang w:val="de-CH" w:eastAsia="de-CH"/>
              </w:rPr>
            </w:pPr>
          </w:p>
        </w:tc>
      </w:tr>
      <w:tr w:rsidR="009E6EC5" w:rsidRPr="00BE20BD" w14:paraId="4221DBA0" w14:textId="77777777" w:rsidTr="00325292">
        <w:trPr>
          <w:trHeight w:val="241"/>
        </w:trPr>
        <w:tc>
          <w:tcPr>
            <w:tcW w:w="2886" w:type="dxa"/>
            <w:tcBorders>
              <w:top w:val="nil"/>
              <w:left w:val="nil"/>
              <w:bottom w:val="nil"/>
              <w:right w:val="nil"/>
            </w:tcBorders>
            <w:shd w:val="clear" w:color="auto" w:fill="D9D9D9" w:themeFill="background1" w:themeFillShade="D9"/>
            <w:noWrap/>
            <w:vAlign w:val="bottom"/>
          </w:tcPr>
          <w:p w14:paraId="38D1471C" w14:textId="6C5BFDA1" w:rsidR="009E6EC5" w:rsidRPr="00BE20BD" w:rsidRDefault="009E6EC5" w:rsidP="002A7AF7">
            <w:pPr>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Surplus</w:t>
            </w:r>
            <w:r w:rsidR="001E466C" w:rsidRPr="00BE20BD">
              <w:rPr>
                <w:rFonts w:eastAsia="Times New Roman" w:cs="Arial"/>
                <w:color w:val="000000"/>
                <w:sz w:val="16"/>
                <w:szCs w:val="16"/>
                <w:lang w:val="de-CH" w:eastAsia="de-CH"/>
              </w:rPr>
              <w:t xml:space="preserve"> (RBC minus TC)</w:t>
            </w:r>
          </w:p>
        </w:tc>
        <w:tc>
          <w:tcPr>
            <w:tcW w:w="196" w:type="dxa"/>
            <w:tcBorders>
              <w:top w:val="nil"/>
              <w:left w:val="nil"/>
              <w:bottom w:val="nil"/>
              <w:right w:val="nil"/>
            </w:tcBorders>
            <w:shd w:val="clear" w:color="auto" w:fill="FFFFFF" w:themeFill="background1"/>
            <w:noWrap/>
            <w:vAlign w:val="bottom"/>
          </w:tcPr>
          <w:p w14:paraId="4FA1C879" w14:textId="77777777" w:rsidR="009E6EC5" w:rsidRPr="00BE20BD" w:rsidRDefault="009E6EC5" w:rsidP="002A7AF7">
            <w:pPr>
              <w:spacing w:line="240" w:lineRule="auto"/>
              <w:rPr>
                <w:rFonts w:eastAsia="Times New Roman" w:cs="Arial"/>
                <w:color w:val="000000"/>
                <w:sz w:val="16"/>
                <w:szCs w:val="16"/>
                <w:lang w:val="de-CH" w:eastAsia="de-CH"/>
              </w:rPr>
            </w:pPr>
          </w:p>
        </w:tc>
        <w:tc>
          <w:tcPr>
            <w:tcW w:w="887" w:type="dxa"/>
            <w:tcBorders>
              <w:top w:val="nil"/>
              <w:left w:val="nil"/>
              <w:bottom w:val="nil"/>
              <w:right w:val="nil"/>
            </w:tcBorders>
            <w:shd w:val="clear" w:color="auto" w:fill="D9D9D9" w:themeFill="background1" w:themeFillShade="D9"/>
            <w:noWrap/>
            <w:vAlign w:val="bottom"/>
          </w:tcPr>
          <w:p w14:paraId="0C94B8DB" w14:textId="77777777" w:rsidR="009E6EC5" w:rsidRPr="00BE20BD" w:rsidRDefault="009E6EC5" w:rsidP="002A7AF7">
            <w:pPr>
              <w:spacing w:line="240" w:lineRule="auto"/>
              <w:jc w:val="right"/>
              <w:rPr>
                <w:rFonts w:eastAsia="Times New Roman" w:cs="Arial"/>
                <w:color w:val="000000"/>
                <w:sz w:val="16"/>
                <w:szCs w:val="16"/>
                <w:lang w:val="de-CH" w:eastAsia="de-CH"/>
              </w:rPr>
            </w:pPr>
          </w:p>
        </w:tc>
        <w:tc>
          <w:tcPr>
            <w:tcW w:w="523" w:type="dxa"/>
            <w:tcBorders>
              <w:top w:val="nil"/>
              <w:left w:val="nil"/>
              <w:bottom w:val="nil"/>
              <w:right w:val="nil"/>
            </w:tcBorders>
            <w:shd w:val="clear" w:color="auto" w:fill="FFFFFF" w:themeFill="background1"/>
            <w:noWrap/>
            <w:vAlign w:val="bottom"/>
          </w:tcPr>
          <w:p w14:paraId="40845671" w14:textId="77777777" w:rsidR="009E6EC5" w:rsidRPr="00BE20BD" w:rsidRDefault="009E6EC5" w:rsidP="002A7AF7">
            <w:pPr>
              <w:spacing w:line="240" w:lineRule="auto"/>
              <w:rPr>
                <w:rFonts w:eastAsia="Times New Roman" w:cs="Arial"/>
                <w:color w:val="000000"/>
                <w:sz w:val="12"/>
                <w:szCs w:val="12"/>
                <w:lang w:val="de-CH" w:eastAsia="de-CH"/>
              </w:rPr>
            </w:pPr>
          </w:p>
        </w:tc>
        <w:tc>
          <w:tcPr>
            <w:tcW w:w="185" w:type="dxa"/>
            <w:tcBorders>
              <w:top w:val="nil"/>
              <w:left w:val="nil"/>
              <w:bottom w:val="nil"/>
              <w:right w:val="nil"/>
            </w:tcBorders>
            <w:shd w:val="clear" w:color="auto" w:fill="FFFFFF" w:themeFill="background1"/>
            <w:noWrap/>
            <w:vAlign w:val="bottom"/>
          </w:tcPr>
          <w:p w14:paraId="2FF4FF53" w14:textId="77777777" w:rsidR="009E6EC5" w:rsidRPr="00BE20BD" w:rsidRDefault="009E6EC5" w:rsidP="002A7AF7">
            <w:pPr>
              <w:spacing w:line="240" w:lineRule="auto"/>
              <w:rPr>
                <w:rFonts w:eastAsia="Times New Roman" w:cs="Arial"/>
                <w:color w:val="000000"/>
                <w:sz w:val="16"/>
                <w:szCs w:val="16"/>
                <w:lang w:val="de-CH" w:eastAsia="de-CH"/>
              </w:rPr>
            </w:pPr>
          </w:p>
        </w:tc>
        <w:tc>
          <w:tcPr>
            <w:tcW w:w="723" w:type="dxa"/>
            <w:tcBorders>
              <w:top w:val="nil"/>
              <w:left w:val="nil"/>
              <w:bottom w:val="nil"/>
              <w:right w:val="nil"/>
            </w:tcBorders>
            <w:shd w:val="clear" w:color="auto" w:fill="D9D9D9" w:themeFill="background1" w:themeFillShade="D9"/>
            <w:noWrap/>
            <w:vAlign w:val="bottom"/>
          </w:tcPr>
          <w:p w14:paraId="64F3D78F" w14:textId="77777777" w:rsidR="009E6EC5" w:rsidRPr="00BE20BD" w:rsidRDefault="009E6EC5" w:rsidP="002A7AF7">
            <w:pPr>
              <w:spacing w:line="240" w:lineRule="auto"/>
              <w:jc w:val="right"/>
              <w:rPr>
                <w:rFonts w:eastAsia="Times New Roman" w:cs="Arial"/>
                <w:color w:val="000000"/>
                <w:sz w:val="16"/>
                <w:szCs w:val="16"/>
                <w:lang w:val="de-CH" w:eastAsia="de-CH"/>
              </w:rPr>
            </w:pPr>
          </w:p>
        </w:tc>
        <w:tc>
          <w:tcPr>
            <w:tcW w:w="523" w:type="dxa"/>
            <w:tcBorders>
              <w:top w:val="nil"/>
              <w:left w:val="nil"/>
              <w:bottom w:val="nil"/>
              <w:right w:val="nil"/>
            </w:tcBorders>
            <w:shd w:val="clear" w:color="000000" w:fill="FFFFFF"/>
            <w:noWrap/>
            <w:vAlign w:val="bottom"/>
          </w:tcPr>
          <w:p w14:paraId="79A182EE" w14:textId="77777777" w:rsidR="009E6EC5" w:rsidRPr="00BE20BD" w:rsidRDefault="009E6EC5" w:rsidP="002A7AF7">
            <w:pPr>
              <w:spacing w:line="240" w:lineRule="auto"/>
              <w:rPr>
                <w:rFonts w:eastAsia="Times New Roman" w:cs="Arial"/>
                <w:color w:val="000000"/>
                <w:sz w:val="12"/>
                <w:szCs w:val="12"/>
                <w:lang w:val="de-CH" w:eastAsia="de-CH"/>
              </w:rPr>
            </w:pPr>
          </w:p>
        </w:tc>
        <w:tc>
          <w:tcPr>
            <w:tcW w:w="232" w:type="dxa"/>
            <w:tcBorders>
              <w:top w:val="nil"/>
              <w:left w:val="nil"/>
              <w:bottom w:val="nil"/>
              <w:right w:val="nil"/>
            </w:tcBorders>
            <w:shd w:val="clear" w:color="000000" w:fill="FFFFFF"/>
            <w:noWrap/>
            <w:vAlign w:val="bottom"/>
          </w:tcPr>
          <w:p w14:paraId="4428D993" w14:textId="77777777" w:rsidR="009E6EC5" w:rsidRPr="00BE20BD" w:rsidRDefault="009E6EC5" w:rsidP="002A7AF7">
            <w:pPr>
              <w:spacing w:line="240" w:lineRule="auto"/>
              <w:rPr>
                <w:rFonts w:eastAsia="Times New Roman" w:cs="Arial"/>
                <w:color w:val="000000"/>
                <w:sz w:val="16"/>
                <w:szCs w:val="16"/>
                <w:lang w:val="de-CH" w:eastAsia="de-CH"/>
              </w:rPr>
            </w:pPr>
          </w:p>
        </w:tc>
        <w:tc>
          <w:tcPr>
            <w:tcW w:w="618" w:type="dxa"/>
            <w:tcBorders>
              <w:top w:val="nil"/>
              <w:left w:val="nil"/>
              <w:bottom w:val="nil"/>
              <w:right w:val="nil"/>
            </w:tcBorders>
            <w:shd w:val="clear" w:color="auto" w:fill="D9D9D9" w:themeFill="background1" w:themeFillShade="D9"/>
            <w:noWrap/>
            <w:vAlign w:val="bottom"/>
          </w:tcPr>
          <w:p w14:paraId="6E2FB2A4" w14:textId="77777777" w:rsidR="009E6EC5" w:rsidRPr="00BE20BD" w:rsidRDefault="009E6EC5" w:rsidP="002A7AF7">
            <w:pPr>
              <w:spacing w:line="240" w:lineRule="auto"/>
              <w:jc w:val="right"/>
              <w:rPr>
                <w:rFonts w:eastAsia="Times New Roman" w:cs="Arial"/>
                <w:color w:val="000000"/>
                <w:sz w:val="16"/>
                <w:szCs w:val="16"/>
                <w:lang w:val="de-CH" w:eastAsia="de-CH"/>
              </w:rPr>
            </w:pPr>
          </w:p>
        </w:tc>
        <w:tc>
          <w:tcPr>
            <w:tcW w:w="505" w:type="dxa"/>
            <w:tcBorders>
              <w:top w:val="nil"/>
              <w:left w:val="nil"/>
              <w:bottom w:val="nil"/>
              <w:right w:val="nil"/>
            </w:tcBorders>
            <w:shd w:val="clear" w:color="000000" w:fill="FFFFFF"/>
            <w:noWrap/>
            <w:vAlign w:val="bottom"/>
          </w:tcPr>
          <w:p w14:paraId="36E54067" w14:textId="77777777" w:rsidR="009E6EC5" w:rsidRPr="00BE20BD" w:rsidRDefault="009E6EC5" w:rsidP="002A7AF7">
            <w:pPr>
              <w:spacing w:line="240" w:lineRule="auto"/>
              <w:rPr>
                <w:rFonts w:eastAsia="Times New Roman" w:cs="Arial"/>
                <w:color w:val="000000"/>
                <w:sz w:val="12"/>
                <w:szCs w:val="12"/>
                <w:lang w:val="de-CH" w:eastAsia="de-CH"/>
              </w:rPr>
            </w:pPr>
          </w:p>
        </w:tc>
        <w:tc>
          <w:tcPr>
            <w:tcW w:w="359" w:type="dxa"/>
            <w:tcBorders>
              <w:top w:val="nil"/>
              <w:left w:val="nil"/>
              <w:bottom w:val="nil"/>
              <w:right w:val="nil"/>
            </w:tcBorders>
            <w:shd w:val="clear" w:color="000000" w:fill="FFFFFF"/>
            <w:noWrap/>
            <w:vAlign w:val="bottom"/>
          </w:tcPr>
          <w:p w14:paraId="13E48EF4" w14:textId="77777777" w:rsidR="009E6EC5" w:rsidRPr="00BE20BD" w:rsidRDefault="009E6EC5" w:rsidP="002A7AF7">
            <w:pPr>
              <w:spacing w:line="240" w:lineRule="auto"/>
              <w:rPr>
                <w:rFonts w:eastAsia="Times New Roman" w:cs="Arial"/>
                <w:color w:val="000000"/>
                <w:sz w:val="16"/>
                <w:szCs w:val="16"/>
                <w:lang w:val="de-CH" w:eastAsia="de-CH"/>
              </w:rPr>
            </w:pPr>
          </w:p>
        </w:tc>
        <w:tc>
          <w:tcPr>
            <w:tcW w:w="913" w:type="dxa"/>
            <w:tcBorders>
              <w:top w:val="nil"/>
              <w:left w:val="nil"/>
              <w:bottom w:val="nil"/>
              <w:right w:val="nil"/>
            </w:tcBorders>
            <w:shd w:val="clear" w:color="auto" w:fill="D9D9D9" w:themeFill="background1" w:themeFillShade="D9"/>
            <w:noWrap/>
            <w:vAlign w:val="bottom"/>
          </w:tcPr>
          <w:p w14:paraId="424CF0D2" w14:textId="77777777" w:rsidR="009E6EC5" w:rsidRPr="00BE20BD" w:rsidRDefault="009E6EC5" w:rsidP="002A7AF7">
            <w:pPr>
              <w:spacing w:line="240" w:lineRule="auto"/>
              <w:jc w:val="right"/>
              <w:rPr>
                <w:rFonts w:eastAsia="Times New Roman" w:cs="Arial"/>
                <w:color w:val="000000"/>
                <w:sz w:val="16"/>
                <w:szCs w:val="16"/>
                <w:lang w:val="de-CH" w:eastAsia="de-CH"/>
              </w:rPr>
            </w:pPr>
          </w:p>
        </w:tc>
        <w:tc>
          <w:tcPr>
            <w:tcW w:w="787" w:type="dxa"/>
            <w:tcBorders>
              <w:top w:val="nil"/>
              <w:left w:val="nil"/>
              <w:bottom w:val="nil"/>
              <w:right w:val="nil"/>
            </w:tcBorders>
            <w:shd w:val="clear" w:color="auto" w:fill="D9D9D9" w:themeFill="background1" w:themeFillShade="D9"/>
            <w:noWrap/>
            <w:vAlign w:val="bottom"/>
          </w:tcPr>
          <w:p w14:paraId="1CBF7B63" w14:textId="77777777" w:rsidR="009E6EC5" w:rsidRPr="00BE20BD" w:rsidRDefault="009E6EC5" w:rsidP="002A7AF7">
            <w:pPr>
              <w:spacing w:line="240" w:lineRule="auto"/>
              <w:jc w:val="right"/>
              <w:rPr>
                <w:rFonts w:eastAsia="Times New Roman" w:cs="Arial"/>
                <w:color w:val="000000"/>
                <w:sz w:val="16"/>
                <w:szCs w:val="16"/>
                <w:lang w:val="de-CH" w:eastAsia="de-CH"/>
              </w:rPr>
            </w:pPr>
          </w:p>
        </w:tc>
        <w:tc>
          <w:tcPr>
            <w:tcW w:w="567" w:type="dxa"/>
            <w:tcBorders>
              <w:top w:val="nil"/>
              <w:left w:val="nil"/>
              <w:bottom w:val="nil"/>
              <w:right w:val="nil"/>
            </w:tcBorders>
            <w:shd w:val="clear" w:color="auto" w:fill="D9D9D9" w:themeFill="background1" w:themeFillShade="D9"/>
            <w:noWrap/>
            <w:vAlign w:val="bottom"/>
          </w:tcPr>
          <w:p w14:paraId="78ED494C" w14:textId="77777777" w:rsidR="009E6EC5" w:rsidRPr="00BE20BD" w:rsidRDefault="009E6EC5" w:rsidP="002A7AF7">
            <w:pPr>
              <w:spacing w:line="240" w:lineRule="auto"/>
              <w:jc w:val="right"/>
              <w:rPr>
                <w:rFonts w:eastAsia="Times New Roman" w:cs="Arial"/>
                <w:color w:val="000000"/>
                <w:sz w:val="16"/>
                <w:szCs w:val="16"/>
                <w:lang w:val="de-CH" w:eastAsia="de-CH"/>
              </w:rPr>
            </w:pPr>
          </w:p>
        </w:tc>
      </w:tr>
    </w:tbl>
    <w:p w14:paraId="4C01AD0B" w14:textId="6061BD06" w:rsidR="005B7730" w:rsidRPr="00BE20BD" w:rsidRDefault="00E343A4" w:rsidP="00D60D73">
      <w:pPr>
        <w:pStyle w:val="FINMAStandardAbsatz"/>
        <w:rPr>
          <w:i/>
        </w:rPr>
      </w:pPr>
      <w:r w:rsidRPr="00BE20BD">
        <w:rPr>
          <w:i/>
        </w:rPr>
        <w:t>&lt;Please state the main drivers of significant changes.&gt;</w:t>
      </w:r>
    </w:p>
    <w:p w14:paraId="7170272E" w14:textId="4835F1B9" w:rsidR="00E02925" w:rsidRPr="00BE20BD" w:rsidRDefault="004E09CF" w:rsidP="00D60D73">
      <w:pPr>
        <w:pStyle w:val="Heading2"/>
      </w:pPr>
      <w:bookmarkStart w:id="13" w:name="_Toc148445932"/>
      <w:r w:rsidRPr="00BE20BD">
        <w:lastRenderedPageBreak/>
        <w:t xml:space="preserve">Outlook </w:t>
      </w:r>
      <w:r w:rsidR="00E02925" w:rsidRPr="00BE20BD">
        <w:t>to next year’s SST</w:t>
      </w:r>
      <w:bookmarkEnd w:id="13"/>
    </w:p>
    <w:p w14:paraId="49C356BA" w14:textId="59640A6A" w:rsidR="00E02925" w:rsidRPr="00BE20BD" w:rsidRDefault="00E02925" w:rsidP="00D60D73">
      <w:pPr>
        <w:pStyle w:val="FINMAStandardAbsatz"/>
      </w:pPr>
      <w:r w:rsidRPr="00BE20BD">
        <w:t>Conclusions from the current SST which are expected to lead to changes in next year’s SST.</w:t>
      </w:r>
    </w:p>
    <w:p w14:paraId="22617E6D" w14:textId="3460691F" w:rsidR="006F5B99" w:rsidRPr="00BE20BD" w:rsidRDefault="006F5B99" w:rsidP="00D60D73">
      <w:pPr>
        <w:pStyle w:val="StyleHeading1"/>
      </w:pPr>
      <w:bookmarkStart w:id="14" w:name="_Ref525735675"/>
      <w:bookmarkStart w:id="15" w:name="_Ref525735713"/>
      <w:bookmarkStart w:id="16" w:name="_Toc148445933"/>
      <w:bookmarkStart w:id="17" w:name="_Toc534297734"/>
      <w:r w:rsidRPr="00BE20BD">
        <w:t>Models used</w:t>
      </w:r>
      <w:bookmarkEnd w:id="14"/>
      <w:bookmarkEnd w:id="15"/>
      <w:bookmarkEnd w:id="16"/>
      <w:r w:rsidRPr="00BE20BD">
        <w:t xml:space="preserve"> </w:t>
      </w:r>
      <w:bookmarkEnd w:id="17"/>
    </w:p>
    <w:p w14:paraId="09B2F5EA" w14:textId="19354B9F" w:rsidR="001930BE" w:rsidRPr="00BE20BD" w:rsidRDefault="001930BE" w:rsidP="00D60D73">
      <w:pPr>
        <w:pStyle w:val="Heading2"/>
      </w:pPr>
      <w:bookmarkStart w:id="18" w:name="_Ref80024999"/>
      <w:bookmarkStart w:id="19" w:name="_Toc148445934"/>
      <w:bookmarkStart w:id="20" w:name="_Toc534297735"/>
      <w:r w:rsidRPr="00BE20BD">
        <w:t xml:space="preserve">Declaration of the models </w:t>
      </w:r>
      <w:r w:rsidR="007C5CB5" w:rsidRPr="00BE20BD">
        <w:t>accepted</w:t>
      </w:r>
      <w:r w:rsidRPr="00BE20BD">
        <w:t xml:space="preserve"> for the SST</w:t>
      </w:r>
      <w:bookmarkEnd w:id="18"/>
      <w:r w:rsidR="007B41EF" w:rsidRPr="00BE20BD">
        <w:t xml:space="preserve"> </w:t>
      </w:r>
      <w:r w:rsidR="00596C13" w:rsidRPr="00BE20BD">
        <w:t>202</w:t>
      </w:r>
      <w:r w:rsidR="00EA28F4" w:rsidRPr="00BE20BD">
        <w:t>4</w:t>
      </w:r>
      <w:bookmarkEnd w:id="19"/>
      <w:r w:rsidRPr="00BE20BD">
        <w:t xml:space="preserve"> </w:t>
      </w:r>
      <w:bookmarkEnd w:id="20"/>
    </w:p>
    <w:p w14:paraId="078C26E5" w14:textId="535838DB" w:rsidR="00BB1882" w:rsidRPr="00BE20BD" w:rsidRDefault="003F79AE" w:rsidP="00D60D73">
      <w:pPr>
        <w:pStyle w:val="FINMAStandardAbsatz"/>
        <w:rPr>
          <w:i/>
        </w:rPr>
      </w:pPr>
      <w:r w:rsidRPr="00BE20BD">
        <w:rPr>
          <w:i/>
        </w:rPr>
        <w:t xml:space="preserve">&lt;Excerpt from last letter(s) from FINMA, usually found in the letter on the </w:t>
      </w:r>
      <w:r w:rsidR="007C5CB5" w:rsidRPr="00BE20BD">
        <w:rPr>
          <w:i/>
        </w:rPr>
        <w:t xml:space="preserve">review of reports </w:t>
      </w:r>
      <w:r w:rsidRPr="00BE20BD">
        <w:rPr>
          <w:i/>
        </w:rPr>
        <w:t>for the previous year</w:t>
      </w:r>
      <w:r w:rsidR="007C5CB5" w:rsidRPr="00BE20BD">
        <w:rPr>
          <w:i/>
        </w:rPr>
        <w:t>,</w:t>
      </w:r>
      <w:r w:rsidRPr="00BE20BD">
        <w:rPr>
          <w:i/>
        </w:rPr>
        <w:t xml:space="preserve"> including source (e.g. letter of </w:t>
      </w:r>
      <w:proofErr w:type="spellStart"/>
      <w:r w:rsidRPr="00BE20BD">
        <w:rPr>
          <w:i/>
        </w:rPr>
        <w:t>xx.</w:t>
      </w:r>
      <w:proofErr w:type="gramStart"/>
      <w:r w:rsidRPr="00BE20BD">
        <w:rPr>
          <w:i/>
        </w:rPr>
        <w:t>xx.xxxx</w:t>
      </w:r>
      <w:proofErr w:type="spellEnd"/>
      <w:proofErr w:type="gramEnd"/>
      <w:r w:rsidRPr="00BE20BD">
        <w:rPr>
          <w:i/>
        </w:rPr>
        <w:t xml:space="preserve"> re</w:t>
      </w:r>
      <w:r w:rsidR="00B2377F" w:rsidRPr="00BE20BD">
        <w:rPr>
          <w:i/>
        </w:rPr>
        <w:t>garding</w:t>
      </w:r>
      <w:r w:rsidRPr="00BE20BD">
        <w:rPr>
          <w:i/>
        </w:rPr>
        <w:t xml:space="preserve"> XXX)&gt;</w:t>
      </w:r>
    </w:p>
    <w:p w14:paraId="020E549D" w14:textId="7DFD4869" w:rsidR="00BB1882" w:rsidRPr="00BE20BD" w:rsidRDefault="00BB1882" w:rsidP="00D60D73">
      <w:pPr>
        <w:pStyle w:val="Heading2"/>
      </w:pPr>
      <w:bookmarkStart w:id="21" w:name="_Ref80024977"/>
      <w:bookmarkStart w:id="22" w:name="_Toc148445935"/>
      <w:r w:rsidRPr="00BE20BD">
        <w:t>Declaration of the models used for the SST</w:t>
      </w:r>
      <w:bookmarkEnd w:id="21"/>
      <w:r w:rsidR="007B41EF" w:rsidRPr="00BE20BD">
        <w:t xml:space="preserve"> </w:t>
      </w:r>
      <w:r w:rsidR="00596C13" w:rsidRPr="00BE20BD">
        <w:t>202</w:t>
      </w:r>
      <w:r w:rsidR="00EA28F4" w:rsidRPr="00BE20BD">
        <w:t>4</w:t>
      </w:r>
      <w:bookmarkEnd w:id="22"/>
      <w:r w:rsidRPr="00BE20BD">
        <w:t xml:space="preserve"> </w:t>
      </w:r>
    </w:p>
    <w:p w14:paraId="4B11F696" w14:textId="0879BBD8" w:rsidR="006F5B99" w:rsidRPr="00BE20BD" w:rsidRDefault="00C8328A" w:rsidP="00D60D73">
      <w:pPr>
        <w:pStyle w:val="FINMAStandardAbsatz"/>
        <w:rPr>
          <w:i/>
        </w:rPr>
      </w:pPr>
      <w:r w:rsidRPr="00BE20BD">
        <w:rPr>
          <w:i/>
        </w:rPr>
        <w:t xml:space="preserve">&lt;Confirmation of the model used in accordance with margin number 163 and list of any deviations </w:t>
      </w:r>
      <w:r w:rsidR="007C5CB5" w:rsidRPr="00BE20BD">
        <w:rPr>
          <w:i/>
        </w:rPr>
        <w:t>according to</w:t>
      </w:r>
      <w:r w:rsidRPr="00BE20BD">
        <w:rPr>
          <w:i/>
        </w:rPr>
        <w:t xml:space="preserve"> margin number 16&gt;</w:t>
      </w:r>
    </w:p>
    <w:p w14:paraId="38E7D772" w14:textId="1CE0F57D" w:rsidR="00C53B03" w:rsidRPr="00BE20BD" w:rsidRDefault="002163F8" w:rsidP="00D60D73">
      <w:pPr>
        <w:pStyle w:val="Heading2"/>
      </w:pPr>
      <w:bookmarkStart w:id="23" w:name="_Toc148445936"/>
      <w:bookmarkStart w:id="24" w:name="_Ref525736746"/>
      <w:bookmarkStart w:id="25" w:name="_Toc534297736"/>
      <w:r w:rsidRPr="00BE20BD">
        <w:t>Model changes compared with the previous year</w:t>
      </w:r>
      <w:bookmarkEnd w:id="23"/>
    </w:p>
    <w:p w14:paraId="27A70E51" w14:textId="1961EC0B" w:rsidR="00E02925" w:rsidRPr="00BE20BD" w:rsidRDefault="00E02925" w:rsidP="00D60D73">
      <w:pPr>
        <w:pStyle w:val="FINMAStandardAbsatz"/>
      </w:pPr>
      <w:r w:rsidRPr="00BE20BD">
        <w:t>Margin number 158</w:t>
      </w:r>
    </w:p>
    <w:p w14:paraId="108315C7" w14:textId="4127F974" w:rsidR="002163F8" w:rsidRPr="00BE20BD" w:rsidRDefault="00E02925" w:rsidP="00D60D73">
      <w:pPr>
        <w:pStyle w:val="FINMAStandardAbsatz"/>
      </w:pPr>
      <w:r w:rsidRPr="00BE20BD">
        <w:t xml:space="preserve">A quantitative impact analysis is provided here showing the </w:t>
      </w:r>
      <w:r w:rsidR="007C5CB5" w:rsidRPr="00BE20BD">
        <w:t xml:space="preserve">stand-alone </w:t>
      </w:r>
      <w:r w:rsidRPr="00BE20BD">
        <w:t xml:space="preserve">impact (ceteris paribus) of any model changes on the results. When quantifying the effects of the adjustments the most important drivers are also explained briefly in the text. </w:t>
      </w:r>
    </w:p>
    <w:p w14:paraId="41F8F39B" w14:textId="46D7C8D6" w:rsidR="00406910" w:rsidRPr="00BE20BD" w:rsidRDefault="00406910" w:rsidP="00D60D73">
      <w:pPr>
        <w:pStyle w:val="FINMAStandardAbsatz"/>
      </w:pPr>
      <w:r w:rsidRPr="00BE20BD">
        <w:t>A distinction should be drawn between model changes to the standard model (</w:t>
      </w:r>
      <w:r w:rsidR="001E3BB2" w:rsidRPr="00BE20BD">
        <w:t>corresponding to</w:t>
      </w:r>
      <w:r w:rsidRPr="00BE20BD">
        <w:t xml:space="preserve"> FINMA’s requirements) and model changes to company-specific adjustments to the standard model or to the internal model (</w:t>
      </w:r>
      <w:r w:rsidR="001E3BB2" w:rsidRPr="00BE20BD">
        <w:t>corresponding to the implementation</w:t>
      </w:r>
      <w:r w:rsidRPr="00BE20BD">
        <w:t xml:space="preserve"> by the insurance company). In the latter case, a distinction should also be drawn between material model changes approved in advance and model changes not deemed to be material by the insurance company.</w:t>
      </w:r>
    </w:p>
    <w:p w14:paraId="3FA5131E" w14:textId="7CE8EB64" w:rsidR="007C42E3" w:rsidRPr="00BE20BD" w:rsidRDefault="007C42E3" w:rsidP="00D60D73">
      <w:pPr>
        <w:pStyle w:val="Heading2"/>
      </w:pPr>
      <w:bookmarkStart w:id="26" w:name="_Toc148445937"/>
      <w:bookmarkEnd w:id="24"/>
      <w:bookmarkEnd w:id="25"/>
      <w:r w:rsidRPr="00BE20BD">
        <w:t>List of documents submitted</w:t>
      </w:r>
      <w:bookmarkEnd w:id="26"/>
    </w:p>
    <w:p w14:paraId="3ADB4EE0" w14:textId="5F7BAE6D" w:rsidR="007C42E3" w:rsidRPr="00BE20BD" w:rsidRDefault="007C42E3" w:rsidP="00D60D73">
      <w:pPr>
        <w:pStyle w:val="FINMAStandardAbsatz"/>
      </w:pPr>
      <w:r w:rsidRPr="00BE20BD">
        <w:t>Margin numbers 162 and 180</w:t>
      </w:r>
    </w:p>
    <w:p w14:paraId="0A6DAD36" w14:textId="1D15DBA6" w:rsidR="007C42E3" w:rsidRPr="00BE20BD" w:rsidRDefault="007C42E3" w:rsidP="00D60D73">
      <w:pPr>
        <w:pStyle w:val="FINMAStandardAbsatz"/>
      </w:pPr>
      <w:r w:rsidRPr="00BE20BD">
        <w:t xml:space="preserve">List of documents submitted that qualify as SST reporting for the purposes of margin number 162, with names and references. </w:t>
      </w:r>
    </w:p>
    <w:p w14:paraId="0FDD3145" w14:textId="6F5C9CD7" w:rsidR="007C42E3" w:rsidRPr="00BE20BD" w:rsidRDefault="007C42E3" w:rsidP="00D60D73">
      <w:pPr>
        <w:pStyle w:val="FINMAStandardAbsatz"/>
        <w:rPr>
          <w:i/>
        </w:rPr>
      </w:pPr>
      <w:r w:rsidRPr="00BE20BD">
        <w:rPr>
          <w:i/>
        </w:rPr>
        <w:t>&lt;Particularly for users of the standard model without adjustments, this normally corresponds exactly to the requirements and documentation specified on FINMA’s website.&gt;</w:t>
      </w:r>
    </w:p>
    <w:p w14:paraId="320EB08B" w14:textId="77777777" w:rsidR="00EB058A" w:rsidRPr="00BE20BD" w:rsidRDefault="00EB058A" w:rsidP="00D60D73">
      <w:pPr>
        <w:pStyle w:val="StyleHeading1"/>
      </w:pPr>
      <w:bookmarkStart w:id="27" w:name="_Toc148445938"/>
      <w:bookmarkStart w:id="28" w:name="_Toc534297738"/>
      <w:r w:rsidRPr="00BE20BD">
        <w:lastRenderedPageBreak/>
        <w:t>Qualitative requirements</w:t>
      </w:r>
      <w:bookmarkEnd w:id="27"/>
    </w:p>
    <w:p w14:paraId="78979664" w14:textId="77777777" w:rsidR="00EB058A" w:rsidRPr="00BE20BD" w:rsidRDefault="00EB058A" w:rsidP="00D60D73">
      <w:pPr>
        <w:pStyle w:val="Heading2"/>
      </w:pPr>
      <w:bookmarkStart w:id="29" w:name="_Toc148445939"/>
      <w:r w:rsidRPr="00BE20BD">
        <w:t>Self-assessment by the insurance undertaking</w:t>
      </w:r>
      <w:bookmarkEnd w:id="29"/>
    </w:p>
    <w:p w14:paraId="6A71689F" w14:textId="14965DC7" w:rsidR="00EB058A" w:rsidRPr="00BE20BD" w:rsidRDefault="00EB058A" w:rsidP="00D60D73">
      <w:pPr>
        <w:pStyle w:val="FINMAStandardAbsatz"/>
        <w:spacing w:before="100" w:beforeAutospacing="1" w:after="100" w:afterAutospacing="1" w:line="240" w:lineRule="auto"/>
      </w:pPr>
      <w:r w:rsidRPr="00BE20BD">
        <w:t>Margin numbers 139 to 143 and 159</w:t>
      </w:r>
    </w:p>
    <w:p w14:paraId="1BC783FD" w14:textId="77777777" w:rsidR="00EB058A" w:rsidRPr="00BE20BD" w:rsidRDefault="00EB058A" w:rsidP="00D60D73">
      <w:pPr>
        <w:pStyle w:val="FINMAStandardAbsatz"/>
      </w:pPr>
      <w:r w:rsidRPr="00BE20BD">
        <w:t>Provide a brief self-assessment</w:t>
      </w:r>
    </w:p>
    <w:p w14:paraId="501F4DC9" w14:textId="77777777" w:rsidR="00EB058A" w:rsidRPr="00BE20BD" w:rsidRDefault="00EB058A" w:rsidP="00D60D73">
      <w:pPr>
        <w:pStyle w:val="Heading2"/>
      </w:pPr>
      <w:bookmarkStart w:id="30" w:name="_Toc148445940"/>
      <w:r w:rsidRPr="00BE20BD">
        <w:t>Outsourcing of the SST calculation</w:t>
      </w:r>
      <w:bookmarkEnd w:id="30"/>
    </w:p>
    <w:p w14:paraId="5BF7FFCB" w14:textId="6798628A" w:rsidR="00EB058A" w:rsidRPr="00BE20BD" w:rsidRDefault="00EB058A" w:rsidP="00D60D73">
      <w:pPr>
        <w:pStyle w:val="FINMAStandardAbsatz"/>
      </w:pPr>
      <w:r w:rsidRPr="00BE20BD">
        <w:t>Margin number 144</w:t>
      </w:r>
    </w:p>
    <w:p w14:paraId="541CFE8A" w14:textId="4C957F5A" w:rsidR="00EB058A" w:rsidRPr="00BE20BD" w:rsidRDefault="00EB058A" w:rsidP="00D60D73">
      <w:pPr>
        <w:pStyle w:val="FINMAStandardAbsatz"/>
      </w:pPr>
      <w:r w:rsidRPr="00BE20BD">
        <w:t xml:space="preserve">Explain the division of responsibilities between internal and external functions. Brief description of which elements are outsourced and how these elements </w:t>
      </w:r>
      <w:r w:rsidR="00E82C25" w:rsidRPr="00BE20BD">
        <w:t>are reviewed.</w:t>
      </w:r>
    </w:p>
    <w:p w14:paraId="775DCE45" w14:textId="1E43727E" w:rsidR="00EB058A" w:rsidRPr="00BE20BD" w:rsidRDefault="00EB058A" w:rsidP="00D60D73">
      <w:pPr>
        <w:pStyle w:val="FINMAStandardAbsatz"/>
        <w:rPr>
          <w:i/>
        </w:rPr>
      </w:pPr>
      <w:r w:rsidRPr="00BE20BD">
        <w:rPr>
          <w:i/>
        </w:rPr>
        <w:t xml:space="preserve">&lt;Please include this documentation </w:t>
      </w:r>
      <w:r w:rsidRPr="00BE20BD">
        <w:t xml:space="preserve">in the reference list to further documents </w:t>
      </w:r>
      <w:r w:rsidRPr="00BE20BD">
        <w:rPr>
          <w:i/>
          <w:iCs/>
        </w:rPr>
        <w:t xml:space="preserve">in the </w:t>
      </w:r>
      <w:r w:rsidR="00472B28" w:rsidRPr="00BE20BD">
        <w:rPr>
          <w:i/>
          <w:iCs/>
        </w:rPr>
        <w:t>Appendix</w:t>
      </w:r>
      <w:r w:rsidRPr="00BE20BD">
        <w:rPr>
          <w:i/>
          <w:iCs/>
        </w:rPr>
        <w:t xml:space="preserve"> and only send it to FINMA if explicitly requested to do so.&gt;</w:t>
      </w:r>
    </w:p>
    <w:p w14:paraId="64BF1A9C" w14:textId="77777777" w:rsidR="00EB058A" w:rsidRPr="00BE20BD" w:rsidRDefault="00EB058A" w:rsidP="00D60D73">
      <w:pPr>
        <w:pStyle w:val="Heading2"/>
      </w:pPr>
      <w:bookmarkStart w:id="31" w:name="_Toc148445941"/>
      <w:r w:rsidRPr="00BE20BD">
        <w:t>Data recording</w:t>
      </w:r>
      <w:bookmarkEnd w:id="31"/>
    </w:p>
    <w:p w14:paraId="126CC218" w14:textId="5C092F1F" w:rsidR="00EB058A" w:rsidRPr="00BE20BD" w:rsidRDefault="00EB058A" w:rsidP="00D60D73">
      <w:pPr>
        <w:pStyle w:val="FINMAStandardAbsatz"/>
      </w:pPr>
      <w:r w:rsidRPr="00BE20BD">
        <w:t>Margin numbers 145 to 146</w:t>
      </w:r>
    </w:p>
    <w:p w14:paraId="715ECA03" w14:textId="1C8C1A9A" w:rsidR="00EB058A" w:rsidRPr="00BE20BD" w:rsidRDefault="00EB058A" w:rsidP="00D60D73">
      <w:pPr>
        <w:pStyle w:val="FINMAStandardAbsatz"/>
        <w:rPr>
          <w:i/>
        </w:rPr>
      </w:pPr>
      <w:r w:rsidRPr="00BE20BD">
        <w:rPr>
          <w:i/>
        </w:rPr>
        <w:t xml:space="preserve">&lt;Please include this documentation </w:t>
      </w:r>
      <w:r w:rsidRPr="00BE20BD">
        <w:t xml:space="preserve">in the reference list to further documents </w:t>
      </w:r>
      <w:r w:rsidRPr="00BE20BD">
        <w:rPr>
          <w:i/>
          <w:iCs/>
        </w:rPr>
        <w:t xml:space="preserve">in the </w:t>
      </w:r>
      <w:r w:rsidR="00472B28" w:rsidRPr="00BE20BD">
        <w:rPr>
          <w:i/>
          <w:iCs/>
        </w:rPr>
        <w:t>Appendix</w:t>
      </w:r>
      <w:r w:rsidRPr="00BE20BD">
        <w:rPr>
          <w:i/>
          <w:iCs/>
        </w:rPr>
        <w:t xml:space="preserve"> and only send it to FINMA if explicitly requested to do so.&gt;</w:t>
      </w:r>
    </w:p>
    <w:p w14:paraId="5C78D73D" w14:textId="77777777" w:rsidR="00EB058A" w:rsidRPr="00BE20BD" w:rsidRDefault="00EB058A" w:rsidP="00D60D73">
      <w:pPr>
        <w:pStyle w:val="Heading2"/>
      </w:pPr>
      <w:bookmarkStart w:id="32" w:name="_Toc148445942"/>
      <w:r w:rsidRPr="00BE20BD">
        <w:t>Validation</w:t>
      </w:r>
      <w:bookmarkEnd w:id="32"/>
    </w:p>
    <w:p w14:paraId="22E62CA2" w14:textId="67619878" w:rsidR="00EB058A" w:rsidRPr="00BE20BD" w:rsidRDefault="00EB058A" w:rsidP="00D60D73">
      <w:pPr>
        <w:pStyle w:val="FINMAStandardAbsatz"/>
      </w:pPr>
      <w:r w:rsidRPr="00BE20BD">
        <w:t>Margin number 149</w:t>
      </w:r>
    </w:p>
    <w:p w14:paraId="734B04C9" w14:textId="544EAD10" w:rsidR="00EB058A" w:rsidRPr="00BE20BD" w:rsidRDefault="00EB058A" w:rsidP="00424FDF">
      <w:pPr>
        <w:pStyle w:val="FINMAStandardAbsatz"/>
      </w:pPr>
      <w:r w:rsidRPr="00BE20BD">
        <w:t>Brief assessment of how compliance with the qualitative and organisational requirements of the SST has been ensured. Briefly discuss any changes from the prior year.</w:t>
      </w:r>
    </w:p>
    <w:p w14:paraId="20038D3B" w14:textId="45E53CB8" w:rsidR="00EB058A" w:rsidRPr="00BE20BD" w:rsidRDefault="00EB058A" w:rsidP="00D60D73">
      <w:pPr>
        <w:pStyle w:val="FINMAStandardAbsatz"/>
        <w:rPr>
          <w:i/>
        </w:rPr>
      </w:pPr>
      <w:r w:rsidRPr="00BE20BD">
        <w:rPr>
          <w:i/>
        </w:rPr>
        <w:t xml:space="preserve">&lt;Please include this documentation </w:t>
      </w:r>
      <w:r w:rsidRPr="00BE20BD">
        <w:t xml:space="preserve">in the reference list to further documents </w:t>
      </w:r>
      <w:r w:rsidRPr="00BE20BD">
        <w:rPr>
          <w:i/>
          <w:iCs/>
        </w:rPr>
        <w:t xml:space="preserve">in the </w:t>
      </w:r>
      <w:r w:rsidR="00472B28" w:rsidRPr="00BE20BD">
        <w:rPr>
          <w:i/>
          <w:iCs/>
        </w:rPr>
        <w:t>Appendix</w:t>
      </w:r>
      <w:r w:rsidRPr="00BE20BD">
        <w:rPr>
          <w:i/>
          <w:iCs/>
        </w:rPr>
        <w:t xml:space="preserve"> and only send it to FINMA if explicitly requested to do so.&gt;</w:t>
      </w:r>
    </w:p>
    <w:p w14:paraId="4FC3419B" w14:textId="784CBF54" w:rsidR="00DB6BA6" w:rsidRPr="00BE20BD" w:rsidRDefault="006E5996" w:rsidP="00D60D73">
      <w:pPr>
        <w:pStyle w:val="StyleHeading1"/>
      </w:pPr>
      <w:bookmarkStart w:id="33" w:name="_Toc148445943"/>
      <w:r w:rsidRPr="00BE20BD">
        <w:t>RBC and its components</w:t>
      </w:r>
      <w:bookmarkEnd w:id="28"/>
      <w:bookmarkEnd w:id="33"/>
    </w:p>
    <w:p w14:paraId="42DCCCEE" w14:textId="5F0A3AB3" w:rsidR="00BC5F32" w:rsidRPr="00BE20BD" w:rsidRDefault="00853A1E" w:rsidP="00D60D73">
      <w:pPr>
        <w:pStyle w:val="Heading2"/>
      </w:pPr>
      <w:bookmarkStart w:id="34" w:name="_Toc148445944"/>
      <w:bookmarkStart w:id="35" w:name="_Toc534297739"/>
      <w:r w:rsidRPr="00BE20BD">
        <w:t>Overview of RBC</w:t>
      </w:r>
      <w:bookmarkEnd w:id="34"/>
      <w:r w:rsidRPr="00BE20BD">
        <w:t xml:space="preserve"> </w:t>
      </w:r>
      <w:bookmarkEnd w:id="35"/>
    </w:p>
    <w:p w14:paraId="70B71CFF" w14:textId="4FAC859C" w:rsidR="002C03D9" w:rsidRPr="00BE20BD" w:rsidRDefault="002C03D9" w:rsidP="00D60D73">
      <w:pPr>
        <w:pStyle w:val="FINMAStandardAbsatz"/>
      </w:pPr>
      <w:r w:rsidRPr="00BE20BD">
        <w:t>Discuss the RBC and if applicable flesh out the information provided in the management summary.</w:t>
      </w:r>
    </w:p>
    <w:p w14:paraId="31746BA5" w14:textId="4F91EA88" w:rsidR="00EB058A" w:rsidRPr="00BE20BD" w:rsidRDefault="008B021F" w:rsidP="00F4321D">
      <w:pPr>
        <w:pStyle w:val="FINMAStandardAbsatz"/>
        <w:keepNext/>
        <w:spacing w:before="100" w:beforeAutospacing="1" w:after="100" w:afterAutospacing="1" w:line="240" w:lineRule="auto"/>
      </w:pPr>
      <w:r w:rsidRPr="00BE20BD">
        <w:lastRenderedPageBreak/>
        <w:t>S</w:t>
      </w:r>
      <w:r w:rsidR="005501A5" w:rsidRPr="00BE20BD">
        <w:t xml:space="preserve">ummary table of </w:t>
      </w:r>
      <w:r w:rsidR="005501A5" w:rsidRPr="00BE20BD">
        <w:rPr>
          <w:i/>
        </w:rPr>
        <w:t>risk-bearing capital</w:t>
      </w:r>
      <w:r w:rsidR="005501A5" w:rsidRPr="00BE20BD">
        <w:t xml:space="preserve"> with its main components</w:t>
      </w:r>
      <w:r w:rsidRPr="00BE20BD">
        <w:t>:</w:t>
      </w:r>
      <w:r w:rsidR="005501A5" w:rsidRPr="00BE20BD">
        <w:t xml:space="preserve"> </w:t>
      </w:r>
    </w:p>
    <w:tbl>
      <w:tblPr>
        <w:tblW w:w="8020" w:type="dxa"/>
        <w:tblCellMar>
          <w:left w:w="70" w:type="dxa"/>
          <w:right w:w="70" w:type="dxa"/>
        </w:tblCellMar>
        <w:tblLook w:val="04A0" w:firstRow="1" w:lastRow="0" w:firstColumn="1" w:lastColumn="0" w:noHBand="0" w:noVBand="1"/>
      </w:tblPr>
      <w:tblGrid>
        <w:gridCol w:w="3056"/>
        <w:gridCol w:w="216"/>
        <w:gridCol w:w="856"/>
        <w:gridCol w:w="576"/>
        <w:gridCol w:w="185"/>
        <w:gridCol w:w="676"/>
        <w:gridCol w:w="596"/>
        <w:gridCol w:w="296"/>
        <w:gridCol w:w="876"/>
        <w:gridCol w:w="696"/>
      </w:tblGrid>
      <w:tr w:rsidR="00EC6B4E" w:rsidRPr="00BE20BD" w14:paraId="48717560" w14:textId="77777777" w:rsidTr="00EC6B4E">
        <w:trPr>
          <w:trHeight w:val="255"/>
        </w:trPr>
        <w:tc>
          <w:tcPr>
            <w:tcW w:w="3056" w:type="dxa"/>
            <w:tcBorders>
              <w:top w:val="nil"/>
              <w:left w:val="nil"/>
              <w:bottom w:val="nil"/>
              <w:right w:val="nil"/>
            </w:tcBorders>
            <w:shd w:val="clear" w:color="000000" w:fill="FFFFFF"/>
            <w:noWrap/>
            <w:vAlign w:val="bottom"/>
            <w:hideMark/>
          </w:tcPr>
          <w:p w14:paraId="1F9B4AFA" w14:textId="77777777" w:rsidR="00EC6B4E" w:rsidRPr="00BE20BD" w:rsidRDefault="00EC6B4E" w:rsidP="00F4321D">
            <w:pPr>
              <w:keepNext/>
              <w:spacing w:line="240" w:lineRule="auto"/>
              <w:rPr>
                <w:rFonts w:eastAsia="Times New Roman" w:cs="Arial"/>
                <w:b/>
                <w:bCs/>
                <w:color w:val="000000"/>
                <w:sz w:val="16"/>
                <w:szCs w:val="16"/>
                <w:lang w:val="en-US" w:eastAsia="de-CH"/>
              </w:rPr>
            </w:pPr>
            <w:r w:rsidRPr="00BE20BD">
              <w:rPr>
                <w:rFonts w:eastAsia="Times New Roman" w:cs="Arial"/>
                <w:b/>
                <w:bCs/>
                <w:color w:val="000000"/>
                <w:sz w:val="16"/>
                <w:szCs w:val="16"/>
                <w:lang w:val="en-US" w:eastAsia="de-CH"/>
              </w:rPr>
              <w:t> </w:t>
            </w:r>
          </w:p>
        </w:tc>
        <w:tc>
          <w:tcPr>
            <w:tcW w:w="216" w:type="dxa"/>
            <w:tcBorders>
              <w:top w:val="nil"/>
              <w:left w:val="nil"/>
              <w:bottom w:val="nil"/>
              <w:right w:val="nil"/>
            </w:tcBorders>
            <w:shd w:val="clear" w:color="000000" w:fill="FFFFFF"/>
            <w:noWrap/>
            <w:vAlign w:val="bottom"/>
            <w:hideMark/>
          </w:tcPr>
          <w:p w14:paraId="23981836" w14:textId="77777777" w:rsidR="00EC6B4E" w:rsidRPr="00BE20BD" w:rsidRDefault="00EC6B4E" w:rsidP="00F4321D">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856" w:type="dxa"/>
            <w:tcBorders>
              <w:top w:val="nil"/>
              <w:left w:val="nil"/>
              <w:bottom w:val="nil"/>
              <w:right w:val="nil"/>
            </w:tcBorders>
            <w:shd w:val="clear" w:color="000000" w:fill="D9D9D9"/>
            <w:noWrap/>
            <w:vAlign w:val="bottom"/>
            <w:hideMark/>
          </w:tcPr>
          <w:p w14:paraId="1CE59CB9" w14:textId="3919DCA2" w:rsidR="00EC6B4E" w:rsidRPr="00BE20BD" w:rsidRDefault="00EC6B4E" w:rsidP="00F4321D">
            <w:pPr>
              <w:keepNext/>
              <w:spacing w:line="240" w:lineRule="auto"/>
              <w:rPr>
                <w:rFonts w:eastAsia="Times New Roman" w:cs="Arial"/>
                <w:b/>
                <w:bCs/>
                <w:color w:val="000000"/>
                <w:sz w:val="16"/>
                <w:szCs w:val="16"/>
                <w:lang w:val="de-CH" w:eastAsia="de-CH"/>
              </w:rPr>
            </w:pPr>
            <w:r w:rsidRPr="00BE20BD">
              <w:rPr>
                <w:rFonts w:eastAsia="Times New Roman" w:cs="Arial"/>
                <w:b/>
                <w:bCs/>
                <w:color w:val="000000"/>
                <w:sz w:val="16"/>
                <w:szCs w:val="16"/>
                <w:lang w:val="de-CH" w:eastAsia="de-CH"/>
              </w:rPr>
              <w:t xml:space="preserve">SST </w:t>
            </w:r>
            <w:r w:rsidR="00596C13" w:rsidRPr="00BE20BD">
              <w:rPr>
                <w:rFonts w:eastAsia="Times New Roman" w:cs="Arial"/>
                <w:b/>
                <w:bCs/>
                <w:color w:val="000000"/>
                <w:sz w:val="16"/>
                <w:szCs w:val="16"/>
                <w:lang w:val="de-CH" w:eastAsia="de-CH"/>
              </w:rPr>
              <w:t>202</w:t>
            </w:r>
            <w:r w:rsidR="009B5DD2" w:rsidRPr="00BE20BD">
              <w:rPr>
                <w:rFonts w:eastAsia="Times New Roman" w:cs="Arial"/>
                <w:b/>
                <w:bCs/>
                <w:color w:val="000000"/>
                <w:sz w:val="16"/>
                <w:szCs w:val="16"/>
                <w:lang w:val="de-CH" w:eastAsia="de-CH"/>
              </w:rPr>
              <w:t>4</w:t>
            </w:r>
          </w:p>
        </w:tc>
        <w:tc>
          <w:tcPr>
            <w:tcW w:w="576" w:type="dxa"/>
            <w:tcBorders>
              <w:top w:val="nil"/>
              <w:left w:val="nil"/>
              <w:bottom w:val="nil"/>
              <w:right w:val="nil"/>
            </w:tcBorders>
            <w:shd w:val="clear" w:color="000000" w:fill="D9D9D9"/>
            <w:noWrap/>
            <w:vAlign w:val="bottom"/>
            <w:hideMark/>
          </w:tcPr>
          <w:p w14:paraId="2FBA152A" w14:textId="77777777" w:rsidR="00EC6B4E" w:rsidRPr="00BE20BD" w:rsidRDefault="00EC6B4E" w:rsidP="00F4321D">
            <w:pPr>
              <w:keepNext/>
              <w:spacing w:line="240" w:lineRule="auto"/>
              <w:rPr>
                <w:rFonts w:eastAsia="Times New Roman" w:cs="Arial"/>
                <w:b/>
                <w:bCs/>
                <w:color w:val="000000"/>
                <w:sz w:val="16"/>
                <w:szCs w:val="16"/>
                <w:lang w:val="de-CH" w:eastAsia="de-CH"/>
              </w:rPr>
            </w:pPr>
            <w:r w:rsidRPr="00BE20BD">
              <w:rPr>
                <w:rFonts w:eastAsia="Times New Roman" w:cs="Arial"/>
                <w:b/>
                <w:bCs/>
                <w:color w:val="000000"/>
                <w:sz w:val="16"/>
                <w:szCs w:val="16"/>
                <w:lang w:val="de-CH" w:eastAsia="de-CH"/>
              </w:rPr>
              <w:t> </w:t>
            </w:r>
          </w:p>
        </w:tc>
        <w:tc>
          <w:tcPr>
            <w:tcW w:w="176" w:type="dxa"/>
            <w:tcBorders>
              <w:top w:val="nil"/>
              <w:left w:val="nil"/>
              <w:bottom w:val="nil"/>
              <w:right w:val="nil"/>
            </w:tcBorders>
            <w:shd w:val="clear" w:color="000000" w:fill="D9D9D9"/>
            <w:noWrap/>
            <w:vAlign w:val="bottom"/>
            <w:hideMark/>
          </w:tcPr>
          <w:p w14:paraId="10CAA954" w14:textId="77777777" w:rsidR="00EC6B4E" w:rsidRPr="00BE20BD" w:rsidRDefault="00EC6B4E" w:rsidP="00F4321D">
            <w:pPr>
              <w:keepNext/>
              <w:spacing w:line="240" w:lineRule="auto"/>
              <w:rPr>
                <w:rFonts w:eastAsia="Times New Roman" w:cs="Arial"/>
                <w:b/>
                <w:bCs/>
                <w:color w:val="000000"/>
                <w:sz w:val="16"/>
                <w:szCs w:val="16"/>
                <w:lang w:val="de-CH" w:eastAsia="de-CH"/>
              </w:rPr>
            </w:pPr>
            <w:r w:rsidRPr="00BE20BD">
              <w:rPr>
                <w:rFonts w:eastAsia="Times New Roman" w:cs="Arial"/>
                <w:b/>
                <w:bCs/>
                <w:color w:val="000000"/>
                <w:sz w:val="16"/>
                <w:szCs w:val="16"/>
                <w:lang w:val="de-CH" w:eastAsia="de-CH"/>
              </w:rPr>
              <w:t> </w:t>
            </w:r>
          </w:p>
        </w:tc>
        <w:tc>
          <w:tcPr>
            <w:tcW w:w="676" w:type="dxa"/>
            <w:tcBorders>
              <w:top w:val="nil"/>
              <w:left w:val="nil"/>
              <w:bottom w:val="nil"/>
              <w:right w:val="nil"/>
            </w:tcBorders>
            <w:shd w:val="clear" w:color="000000" w:fill="D9D9D9"/>
            <w:noWrap/>
            <w:vAlign w:val="bottom"/>
            <w:hideMark/>
          </w:tcPr>
          <w:p w14:paraId="49CEB06A" w14:textId="77777777" w:rsidR="00EC6B4E" w:rsidRPr="00BE20BD" w:rsidRDefault="00EC6B4E" w:rsidP="00F4321D">
            <w:pPr>
              <w:keepNext/>
              <w:spacing w:line="240" w:lineRule="auto"/>
              <w:rPr>
                <w:rFonts w:eastAsia="Times New Roman" w:cs="Arial"/>
                <w:b/>
                <w:bCs/>
                <w:color w:val="000000"/>
                <w:sz w:val="16"/>
                <w:szCs w:val="16"/>
                <w:lang w:val="de-CH" w:eastAsia="de-CH"/>
              </w:rPr>
            </w:pPr>
            <w:r w:rsidRPr="00BE20BD">
              <w:rPr>
                <w:rFonts w:eastAsia="Times New Roman" w:cs="Arial"/>
                <w:b/>
                <w:bCs/>
                <w:color w:val="000000"/>
                <w:sz w:val="16"/>
                <w:szCs w:val="16"/>
                <w:lang w:val="de-CH" w:eastAsia="de-CH"/>
              </w:rPr>
              <w:t> </w:t>
            </w:r>
          </w:p>
        </w:tc>
        <w:tc>
          <w:tcPr>
            <w:tcW w:w="596" w:type="dxa"/>
            <w:tcBorders>
              <w:top w:val="nil"/>
              <w:left w:val="nil"/>
              <w:bottom w:val="nil"/>
              <w:right w:val="nil"/>
            </w:tcBorders>
            <w:shd w:val="clear" w:color="000000" w:fill="D9D9D9"/>
            <w:noWrap/>
            <w:vAlign w:val="bottom"/>
            <w:hideMark/>
          </w:tcPr>
          <w:p w14:paraId="1952B57E" w14:textId="77777777" w:rsidR="00EC6B4E" w:rsidRPr="00BE20BD" w:rsidRDefault="00EC6B4E" w:rsidP="00F4321D">
            <w:pPr>
              <w:keepNext/>
              <w:spacing w:line="240" w:lineRule="auto"/>
              <w:rPr>
                <w:rFonts w:eastAsia="Times New Roman" w:cs="Arial"/>
                <w:b/>
                <w:bCs/>
                <w:color w:val="000000"/>
                <w:sz w:val="16"/>
                <w:szCs w:val="16"/>
                <w:lang w:val="de-CH" w:eastAsia="de-CH"/>
              </w:rPr>
            </w:pPr>
            <w:r w:rsidRPr="00BE20BD">
              <w:rPr>
                <w:rFonts w:eastAsia="Times New Roman" w:cs="Arial"/>
                <w:b/>
                <w:bCs/>
                <w:color w:val="000000"/>
                <w:sz w:val="16"/>
                <w:szCs w:val="16"/>
                <w:lang w:val="de-CH" w:eastAsia="de-CH"/>
              </w:rPr>
              <w:t> </w:t>
            </w:r>
          </w:p>
        </w:tc>
        <w:tc>
          <w:tcPr>
            <w:tcW w:w="296" w:type="dxa"/>
            <w:tcBorders>
              <w:top w:val="nil"/>
              <w:left w:val="nil"/>
              <w:bottom w:val="nil"/>
              <w:right w:val="nil"/>
            </w:tcBorders>
            <w:shd w:val="clear" w:color="000000" w:fill="FFFFFF"/>
            <w:noWrap/>
            <w:vAlign w:val="bottom"/>
            <w:hideMark/>
          </w:tcPr>
          <w:p w14:paraId="1509543B" w14:textId="77777777" w:rsidR="00EC6B4E" w:rsidRPr="00BE20BD" w:rsidRDefault="00EC6B4E" w:rsidP="00F4321D">
            <w:pPr>
              <w:keepNext/>
              <w:spacing w:line="240" w:lineRule="auto"/>
              <w:rPr>
                <w:rFonts w:eastAsia="Times New Roman" w:cs="Arial"/>
                <w:b/>
                <w:bCs/>
                <w:color w:val="000000"/>
                <w:sz w:val="16"/>
                <w:szCs w:val="16"/>
                <w:lang w:val="de-CH" w:eastAsia="de-CH"/>
              </w:rPr>
            </w:pPr>
            <w:r w:rsidRPr="00BE20BD">
              <w:rPr>
                <w:rFonts w:eastAsia="Times New Roman" w:cs="Arial"/>
                <w:b/>
                <w:bCs/>
                <w:color w:val="000000"/>
                <w:sz w:val="16"/>
                <w:szCs w:val="16"/>
                <w:lang w:val="de-CH" w:eastAsia="de-CH"/>
              </w:rPr>
              <w:t> </w:t>
            </w:r>
          </w:p>
        </w:tc>
        <w:tc>
          <w:tcPr>
            <w:tcW w:w="876" w:type="dxa"/>
            <w:tcBorders>
              <w:top w:val="nil"/>
              <w:left w:val="nil"/>
              <w:bottom w:val="nil"/>
              <w:right w:val="nil"/>
            </w:tcBorders>
            <w:shd w:val="clear" w:color="000000" w:fill="D9D9D9"/>
            <w:noWrap/>
            <w:vAlign w:val="bottom"/>
            <w:hideMark/>
          </w:tcPr>
          <w:p w14:paraId="21F10A6A" w14:textId="5F24A0E9" w:rsidR="00EC6B4E" w:rsidRPr="00BE20BD" w:rsidRDefault="00EC6B4E" w:rsidP="00F4321D">
            <w:pPr>
              <w:keepNext/>
              <w:spacing w:line="240" w:lineRule="auto"/>
              <w:rPr>
                <w:rFonts w:eastAsia="Times New Roman" w:cs="Arial"/>
                <w:b/>
                <w:bCs/>
                <w:color w:val="000000"/>
                <w:sz w:val="16"/>
                <w:szCs w:val="16"/>
                <w:lang w:val="de-CH" w:eastAsia="de-CH"/>
              </w:rPr>
            </w:pPr>
            <w:r w:rsidRPr="00BE20BD">
              <w:rPr>
                <w:rFonts w:eastAsia="Times New Roman" w:cs="Arial"/>
                <w:b/>
                <w:bCs/>
                <w:color w:val="000000"/>
                <w:sz w:val="16"/>
                <w:szCs w:val="16"/>
                <w:lang w:val="de-CH" w:eastAsia="de-CH"/>
              </w:rPr>
              <w:t xml:space="preserve">SST </w:t>
            </w:r>
            <w:r w:rsidR="00596C13" w:rsidRPr="00BE20BD">
              <w:rPr>
                <w:rFonts w:eastAsia="Times New Roman" w:cs="Arial"/>
                <w:b/>
                <w:bCs/>
                <w:color w:val="000000"/>
                <w:sz w:val="16"/>
                <w:szCs w:val="16"/>
                <w:lang w:val="de-CH" w:eastAsia="de-CH"/>
              </w:rPr>
              <w:t>202</w:t>
            </w:r>
            <w:r w:rsidR="009B5DD2" w:rsidRPr="00BE20BD">
              <w:rPr>
                <w:rFonts w:eastAsia="Times New Roman" w:cs="Arial"/>
                <w:b/>
                <w:bCs/>
                <w:color w:val="000000"/>
                <w:sz w:val="16"/>
                <w:szCs w:val="16"/>
                <w:lang w:val="de-CH" w:eastAsia="de-CH"/>
              </w:rPr>
              <w:t xml:space="preserve">3 </w:t>
            </w:r>
            <w:proofErr w:type="spellStart"/>
            <w:r w:rsidR="009B5DD2" w:rsidRPr="00BE20BD">
              <w:rPr>
                <w:rFonts w:eastAsia="Times New Roman" w:cs="Arial"/>
                <w:b/>
                <w:bCs/>
                <w:color w:val="000000"/>
                <w:sz w:val="16"/>
                <w:szCs w:val="16"/>
                <w:lang w:val="de-CH" w:eastAsia="de-CH"/>
              </w:rPr>
              <w:t>restated</w:t>
            </w:r>
            <w:proofErr w:type="spellEnd"/>
          </w:p>
        </w:tc>
        <w:tc>
          <w:tcPr>
            <w:tcW w:w="696" w:type="dxa"/>
            <w:tcBorders>
              <w:top w:val="nil"/>
              <w:left w:val="nil"/>
              <w:bottom w:val="nil"/>
              <w:right w:val="nil"/>
            </w:tcBorders>
            <w:shd w:val="clear" w:color="000000" w:fill="D9D9D9"/>
            <w:noWrap/>
            <w:vAlign w:val="bottom"/>
            <w:hideMark/>
          </w:tcPr>
          <w:p w14:paraId="37295A14" w14:textId="77777777" w:rsidR="00EC6B4E" w:rsidRPr="00BE20BD" w:rsidRDefault="00EC6B4E" w:rsidP="00F4321D">
            <w:pPr>
              <w:keepNext/>
              <w:spacing w:line="240" w:lineRule="auto"/>
              <w:rPr>
                <w:rFonts w:eastAsia="Times New Roman" w:cs="Arial"/>
                <w:b/>
                <w:bCs/>
                <w:color w:val="000000"/>
                <w:sz w:val="16"/>
                <w:szCs w:val="16"/>
                <w:lang w:val="de-CH" w:eastAsia="de-CH"/>
              </w:rPr>
            </w:pPr>
            <w:r w:rsidRPr="00BE20BD">
              <w:rPr>
                <w:rFonts w:eastAsia="Times New Roman" w:cs="Arial"/>
                <w:b/>
                <w:bCs/>
                <w:color w:val="000000"/>
                <w:sz w:val="16"/>
                <w:szCs w:val="16"/>
                <w:lang w:val="de-CH" w:eastAsia="de-CH"/>
              </w:rPr>
              <w:t> </w:t>
            </w:r>
          </w:p>
        </w:tc>
      </w:tr>
      <w:tr w:rsidR="00EC6B4E" w:rsidRPr="00BE20BD" w14:paraId="2A6BFB18" w14:textId="77777777" w:rsidTr="00EC6B4E">
        <w:trPr>
          <w:trHeight w:val="900"/>
        </w:trPr>
        <w:tc>
          <w:tcPr>
            <w:tcW w:w="3056" w:type="dxa"/>
            <w:tcBorders>
              <w:top w:val="nil"/>
              <w:left w:val="nil"/>
              <w:bottom w:val="single" w:sz="4" w:space="0" w:color="auto"/>
              <w:right w:val="nil"/>
            </w:tcBorders>
            <w:shd w:val="clear" w:color="000000" w:fill="FFFFFF"/>
            <w:vAlign w:val="bottom"/>
            <w:hideMark/>
          </w:tcPr>
          <w:p w14:paraId="43B0C1FC" w14:textId="1D579FC1" w:rsidR="00EC6B4E" w:rsidRPr="00BE20BD" w:rsidRDefault="00EC6B4E" w:rsidP="00F4321D">
            <w:pPr>
              <w:keepNext/>
              <w:spacing w:line="240" w:lineRule="auto"/>
              <w:rPr>
                <w:rFonts w:eastAsia="Times New Roman" w:cs="Arial"/>
                <w:color w:val="000000"/>
                <w:sz w:val="12"/>
                <w:szCs w:val="12"/>
                <w:lang w:val="fr-CH" w:eastAsia="de-CH"/>
              </w:rPr>
            </w:pPr>
            <w:proofErr w:type="spellStart"/>
            <w:r w:rsidRPr="00BE20BD">
              <w:rPr>
                <w:rFonts w:eastAsia="Times New Roman" w:cs="Arial"/>
                <w:color w:val="000000"/>
                <w:sz w:val="12"/>
                <w:szCs w:val="12"/>
                <w:lang w:val="fr-CH" w:eastAsia="de-CH"/>
              </w:rPr>
              <w:t>Sign</w:t>
            </w:r>
            <w:proofErr w:type="spellEnd"/>
            <w:r w:rsidRPr="00BE20BD">
              <w:rPr>
                <w:rFonts w:eastAsia="Times New Roman" w:cs="Arial"/>
                <w:color w:val="000000"/>
                <w:sz w:val="12"/>
                <w:szCs w:val="12"/>
                <w:lang w:val="fr-CH" w:eastAsia="de-CH"/>
              </w:rPr>
              <w:t xml:space="preserve"> </w:t>
            </w:r>
            <w:proofErr w:type="gramStart"/>
            <w:r w:rsidRPr="00BE20BD">
              <w:rPr>
                <w:rFonts w:eastAsia="Times New Roman" w:cs="Arial"/>
                <w:color w:val="000000"/>
                <w:sz w:val="12"/>
                <w:szCs w:val="12"/>
                <w:lang w:val="fr-CH" w:eastAsia="de-CH"/>
              </w:rPr>
              <w:t>convention:</w:t>
            </w:r>
            <w:proofErr w:type="gramEnd"/>
            <w:r w:rsidRPr="00BE20BD">
              <w:rPr>
                <w:rFonts w:eastAsia="Times New Roman" w:cs="Arial"/>
                <w:color w:val="000000"/>
                <w:sz w:val="12"/>
                <w:szCs w:val="12"/>
                <w:lang w:val="fr-CH" w:eastAsia="de-CH"/>
              </w:rPr>
              <w:t xml:space="preserve"> </w:t>
            </w:r>
            <w:r w:rsidRPr="00BE20BD">
              <w:rPr>
                <w:rFonts w:eastAsia="Times New Roman" w:cs="Arial"/>
                <w:color w:val="000000"/>
                <w:sz w:val="12"/>
                <w:szCs w:val="12"/>
                <w:lang w:val="fr-CH" w:eastAsia="de-CH"/>
              </w:rPr>
              <w:br/>
              <w:t xml:space="preserve">RBC = assets - </w:t>
            </w:r>
            <w:proofErr w:type="spellStart"/>
            <w:r w:rsidRPr="00BE20BD">
              <w:rPr>
                <w:rFonts w:eastAsia="Times New Roman" w:cs="Arial"/>
                <w:color w:val="000000"/>
                <w:sz w:val="12"/>
                <w:szCs w:val="12"/>
                <w:lang w:val="fr-CH" w:eastAsia="de-CH"/>
              </w:rPr>
              <w:t>liabilities</w:t>
            </w:r>
            <w:proofErr w:type="spellEnd"/>
            <w:r w:rsidRPr="00BE20BD">
              <w:rPr>
                <w:rFonts w:eastAsia="Times New Roman" w:cs="Arial"/>
                <w:color w:val="000000"/>
                <w:sz w:val="12"/>
                <w:szCs w:val="12"/>
                <w:lang w:val="fr-CH" w:eastAsia="de-CH"/>
              </w:rPr>
              <w:t xml:space="preserve"> + </w:t>
            </w:r>
            <w:proofErr w:type="spellStart"/>
            <w:r w:rsidRPr="00BE20BD">
              <w:rPr>
                <w:rFonts w:eastAsia="Times New Roman" w:cs="Arial"/>
                <w:color w:val="000000"/>
                <w:sz w:val="12"/>
                <w:szCs w:val="12"/>
                <w:lang w:val="fr-CH" w:eastAsia="de-CH"/>
              </w:rPr>
              <w:t>deductions</w:t>
            </w:r>
            <w:proofErr w:type="spellEnd"/>
            <w:r w:rsidRPr="00BE20BD">
              <w:rPr>
                <w:rFonts w:eastAsia="Times New Roman" w:cs="Arial"/>
                <w:color w:val="000000"/>
                <w:sz w:val="12"/>
                <w:szCs w:val="12"/>
                <w:lang w:val="fr-CH" w:eastAsia="de-CH"/>
              </w:rPr>
              <w:t xml:space="preserve"> + </w:t>
            </w:r>
            <w:r w:rsidR="000E6985" w:rsidRPr="00BE20BD">
              <w:rPr>
                <w:rFonts w:eastAsia="Times New Roman" w:cs="Arial"/>
                <w:color w:val="000000"/>
                <w:sz w:val="12"/>
                <w:szCs w:val="12"/>
                <w:lang w:val="fr-CH" w:eastAsia="de-CH"/>
              </w:rPr>
              <w:t>RA</w:t>
            </w:r>
            <w:r w:rsidR="002502C1" w:rsidRPr="00BE20BD">
              <w:rPr>
                <w:rFonts w:eastAsia="Times New Roman" w:cs="Arial"/>
                <w:color w:val="000000"/>
                <w:sz w:val="12"/>
                <w:szCs w:val="12"/>
                <w:lang w:val="fr-CH" w:eastAsia="de-CH"/>
              </w:rPr>
              <w:t>K</w:t>
            </w:r>
            <w:r w:rsidR="002C158C" w:rsidRPr="00BE20BD">
              <w:rPr>
                <w:rFonts w:eastAsia="Times New Roman" w:cs="Arial"/>
                <w:color w:val="000000"/>
                <w:sz w:val="12"/>
                <w:szCs w:val="12"/>
                <w:lang w:val="fr-CH" w:eastAsia="de-CH"/>
              </w:rPr>
              <w:t xml:space="preserve"> </w:t>
            </w:r>
          </w:p>
        </w:tc>
        <w:tc>
          <w:tcPr>
            <w:tcW w:w="216" w:type="dxa"/>
            <w:tcBorders>
              <w:top w:val="nil"/>
              <w:left w:val="nil"/>
              <w:bottom w:val="single" w:sz="4" w:space="0" w:color="auto"/>
              <w:right w:val="nil"/>
            </w:tcBorders>
            <w:shd w:val="clear" w:color="000000" w:fill="FFFFFF"/>
            <w:vAlign w:val="bottom"/>
            <w:hideMark/>
          </w:tcPr>
          <w:p w14:paraId="6F0EBFC7" w14:textId="77777777" w:rsidR="00EC6B4E" w:rsidRPr="00BE20BD" w:rsidRDefault="00EC6B4E" w:rsidP="00F4321D">
            <w:pPr>
              <w:keepNext/>
              <w:spacing w:line="240" w:lineRule="auto"/>
              <w:rPr>
                <w:rFonts w:eastAsia="Times New Roman" w:cs="Arial"/>
                <w:color w:val="000000"/>
                <w:sz w:val="16"/>
                <w:szCs w:val="16"/>
                <w:lang w:val="fr-CH" w:eastAsia="de-CH"/>
              </w:rPr>
            </w:pPr>
            <w:r w:rsidRPr="00BE20BD">
              <w:rPr>
                <w:rFonts w:eastAsia="Times New Roman" w:cs="Arial"/>
                <w:color w:val="000000"/>
                <w:sz w:val="16"/>
                <w:szCs w:val="16"/>
                <w:lang w:val="fr-CH" w:eastAsia="de-CH"/>
              </w:rPr>
              <w:t> </w:t>
            </w:r>
          </w:p>
        </w:tc>
        <w:tc>
          <w:tcPr>
            <w:tcW w:w="856" w:type="dxa"/>
            <w:tcBorders>
              <w:top w:val="nil"/>
              <w:left w:val="nil"/>
              <w:bottom w:val="single" w:sz="4" w:space="0" w:color="auto"/>
              <w:right w:val="nil"/>
            </w:tcBorders>
            <w:shd w:val="clear" w:color="000000" w:fill="F2F2F2"/>
            <w:vAlign w:val="bottom"/>
            <w:hideMark/>
          </w:tcPr>
          <w:p w14:paraId="23E03054" w14:textId="53D5FB0D" w:rsidR="00EC6B4E" w:rsidRPr="00BE20BD" w:rsidRDefault="00EC6B4E" w:rsidP="00F4321D">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xml:space="preserve">In &lt;SST </w:t>
            </w:r>
            <w:proofErr w:type="spellStart"/>
            <w:r w:rsidRPr="00BE20BD">
              <w:rPr>
                <w:rFonts w:eastAsia="Times New Roman" w:cs="Arial"/>
                <w:color w:val="000000"/>
                <w:sz w:val="16"/>
                <w:szCs w:val="16"/>
                <w:lang w:val="de-CH" w:eastAsia="de-CH"/>
              </w:rPr>
              <w:t>currency</w:t>
            </w:r>
            <w:proofErr w:type="spellEnd"/>
            <w:r w:rsidRPr="00BE20BD">
              <w:rPr>
                <w:rFonts w:eastAsia="Times New Roman" w:cs="Arial"/>
                <w:color w:val="000000"/>
                <w:sz w:val="16"/>
                <w:szCs w:val="16"/>
                <w:lang w:val="de-CH" w:eastAsia="de-CH"/>
              </w:rPr>
              <w:t xml:space="preserve">&gt; </w:t>
            </w:r>
            <w:proofErr w:type="spellStart"/>
            <w:r w:rsidRPr="00BE20BD">
              <w:rPr>
                <w:rFonts w:eastAsia="Times New Roman" w:cs="Arial"/>
                <w:color w:val="000000"/>
                <w:sz w:val="16"/>
                <w:szCs w:val="16"/>
                <w:lang w:val="de-CH" w:eastAsia="de-CH"/>
              </w:rPr>
              <w:t>millions</w:t>
            </w:r>
            <w:proofErr w:type="spellEnd"/>
          </w:p>
        </w:tc>
        <w:tc>
          <w:tcPr>
            <w:tcW w:w="576" w:type="dxa"/>
            <w:tcBorders>
              <w:top w:val="nil"/>
              <w:left w:val="nil"/>
              <w:bottom w:val="single" w:sz="4" w:space="0" w:color="auto"/>
              <w:right w:val="nil"/>
            </w:tcBorders>
            <w:shd w:val="clear" w:color="000000" w:fill="FFFFFF"/>
            <w:vAlign w:val="bottom"/>
            <w:hideMark/>
          </w:tcPr>
          <w:p w14:paraId="6AAAC3E1" w14:textId="77777777" w:rsidR="00EC6B4E" w:rsidRPr="00BE20BD" w:rsidRDefault="00EC6B4E" w:rsidP="00F4321D">
            <w:pPr>
              <w:keepNext/>
              <w:spacing w:line="240" w:lineRule="auto"/>
              <w:rPr>
                <w:rFonts w:eastAsia="Times New Roman" w:cs="Arial"/>
                <w:color w:val="000000"/>
                <w:sz w:val="12"/>
                <w:szCs w:val="12"/>
                <w:lang w:val="de-CH" w:eastAsia="de-CH"/>
              </w:rPr>
            </w:pPr>
            <w:r w:rsidRPr="00BE20BD">
              <w:rPr>
                <w:rFonts w:eastAsia="Times New Roman" w:cs="Arial"/>
                <w:color w:val="000000"/>
                <w:sz w:val="12"/>
                <w:szCs w:val="12"/>
                <w:lang w:val="de-CH" w:eastAsia="de-CH"/>
              </w:rPr>
              <w:t xml:space="preserve">Rel. diff. </w:t>
            </w:r>
            <w:proofErr w:type="spellStart"/>
            <w:r w:rsidRPr="00BE20BD">
              <w:rPr>
                <w:rFonts w:eastAsia="Times New Roman" w:cs="Arial"/>
                <w:color w:val="000000"/>
                <w:sz w:val="12"/>
                <w:szCs w:val="12"/>
                <w:lang w:val="de-CH" w:eastAsia="de-CH"/>
              </w:rPr>
              <w:t>prev</w:t>
            </w:r>
            <w:proofErr w:type="spellEnd"/>
            <w:r w:rsidRPr="00BE20BD">
              <w:rPr>
                <w:rFonts w:eastAsia="Times New Roman" w:cs="Arial"/>
                <w:color w:val="000000"/>
                <w:sz w:val="12"/>
                <w:szCs w:val="12"/>
                <w:lang w:val="de-CH" w:eastAsia="de-CH"/>
              </w:rPr>
              <w:t xml:space="preserve">. </w:t>
            </w:r>
            <w:proofErr w:type="spellStart"/>
            <w:r w:rsidRPr="00BE20BD">
              <w:rPr>
                <w:rFonts w:eastAsia="Times New Roman" w:cs="Arial"/>
                <w:color w:val="000000"/>
                <w:sz w:val="12"/>
                <w:szCs w:val="12"/>
                <w:lang w:val="de-CH" w:eastAsia="de-CH"/>
              </w:rPr>
              <w:t>year</w:t>
            </w:r>
            <w:proofErr w:type="spellEnd"/>
          </w:p>
        </w:tc>
        <w:tc>
          <w:tcPr>
            <w:tcW w:w="176" w:type="dxa"/>
            <w:tcBorders>
              <w:top w:val="nil"/>
              <w:left w:val="nil"/>
              <w:bottom w:val="single" w:sz="4" w:space="0" w:color="auto"/>
              <w:right w:val="nil"/>
            </w:tcBorders>
            <w:shd w:val="clear" w:color="000000" w:fill="FFFFFF"/>
            <w:vAlign w:val="bottom"/>
            <w:hideMark/>
          </w:tcPr>
          <w:p w14:paraId="342985E0" w14:textId="77777777" w:rsidR="00EC6B4E" w:rsidRPr="00BE20BD" w:rsidRDefault="00EC6B4E" w:rsidP="00F4321D">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676" w:type="dxa"/>
            <w:tcBorders>
              <w:top w:val="nil"/>
              <w:left w:val="nil"/>
              <w:bottom w:val="single" w:sz="4" w:space="0" w:color="auto"/>
              <w:right w:val="nil"/>
            </w:tcBorders>
            <w:shd w:val="clear" w:color="000000" w:fill="F2F2F2"/>
            <w:vAlign w:val="bottom"/>
            <w:hideMark/>
          </w:tcPr>
          <w:p w14:paraId="3801B4DF" w14:textId="77777777" w:rsidR="00EC6B4E" w:rsidRPr="00BE20BD" w:rsidRDefault="00EC6B4E" w:rsidP="00F4321D">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Share total assets SST BS</w:t>
            </w:r>
          </w:p>
        </w:tc>
        <w:tc>
          <w:tcPr>
            <w:tcW w:w="596" w:type="dxa"/>
            <w:tcBorders>
              <w:top w:val="nil"/>
              <w:left w:val="nil"/>
              <w:bottom w:val="single" w:sz="4" w:space="0" w:color="auto"/>
              <w:right w:val="nil"/>
            </w:tcBorders>
            <w:shd w:val="clear" w:color="000000" w:fill="FFFFFF"/>
            <w:vAlign w:val="bottom"/>
            <w:hideMark/>
          </w:tcPr>
          <w:p w14:paraId="3484A854" w14:textId="77777777" w:rsidR="00EC6B4E" w:rsidRPr="00BE20BD" w:rsidRDefault="00EC6B4E" w:rsidP="00F4321D">
            <w:pPr>
              <w:keepNext/>
              <w:spacing w:line="240" w:lineRule="auto"/>
              <w:rPr>
                <w:rFonts w:eastAsia="Times New Roman" w:cs="Arial"/>
                <w:color w:val="000000"/>
                <w:sz w:val="12"/>
                <w:szCs w:val="12"/>
                <w:lang w:val="de-CH" w:eastAsia="de-CH"/>
              </w:rPr>
            </w:pPr>
            <w:r w:rsidRPr="00BE20BD">
              <w:rPr>
                <w:rFonts w:eastAsia="Times New Roman" w:cs="Arial"/>
                <w:color w:val="000000"/>
                <w:sz w:val="12"/>
                <w:szCs w:val="12"/>
                <w:lang w:val="de-CH" w:eastAsia="de-CH"/>
              </w:rPr>
              <w:t xml:space="preserve">Rel. diff. </w:t>
            </w:r>
            <w:proofErr w:type="spellStart"/>
            <w:r w:rsidRPr="00BE20BD">
              <w:rPr>
                <w:rFonts w:eastAsia="Times New Roman" w:cs="Arial"/>
                <w:color w:val="000000"/>
                <w:sz w:val="12"/>
                <w:szCs w:val="12"/>
                <w:lang w:val="de-CH" w:eastAsia="de-CH"/>
              </w:rPr>
              <w:t>prev</w:t>
            </w:r>
            <w:proofErr w:type="spellEnd"/>
            <w:r w:rsidRPr="00BE20BD">
              <w:rPr>
                <w:rFonts w:eastAsia="Times New Roman" w:cs="Arial"/>
                <w:color w:val="000000"/>
                <w:sz w:val="12"/>
                <w:szCs w:val="12"/>
                <w:lang w:val="de-CH" w:eastAsia="de-CH"/>
              </w:rPr>
              <w:t xml:space="preserve">. </w:t>
            </w:r>
            <w:proofErr w:type="spellStart"/>
            <w:r w:rsidRPr="00BE20BD">
              <w:rPr>
                <w:rFonts w:eastAsia="Times New Roman" w:cs="Arial"/>
                <w:color w:val="000000"/>
                <w:sz w:val="12"/>
                <w:szCs w:val="12"/>
                <w:lang w:val="de-CH" w:eastAsia="de-CH"/>
              </w:rPr>
              <w:t>year</w:t>
            </w:r>
            <w:proofErr w:type="spellEnd"/>
          </w:p>
        </w:tc>
        <w:tc>
          <w:tcPr>
            <w:tcW w:w="296" w:type="dxa"/>
            <w:tcBorders>
              <w:top w:val="nil"/>
              <w:left w:val="nil"/>
              <w:bottom w:val="single" w:sz="4" w:space="0" w:color="auto"/>
              <w:right w:val="nil"/>
            </w:tcBorders>
            <w:shd w:val="clear" w:color="000000" w:fill="FFFFFF"/>
            <w:noWrap/>
            <w:vAlign w:val="bottom"/>
            <w:hideMark/>
          </w:tcPr>
          <w:p w14:paraId="603A65C5" w14:textId="77777777" w:rsidR="00EC6B4E" w:rsidRPr="00BE20BD" w:rsidRDefault="00EC6B4E" w:rsidP="00F4321D">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876" w:type="dxa"/>
            <w:tcBorders>
              <w:top w:val="nil"/>
              <w:left w:val="nil"/>
              <w:bottom w:val="single" w:sz="4" w:space="0" w:color="auto"/>
              <w:right w:val="nil"/>
            </w:tcBorders>
            <w:shd w:val="clear" w:color="000000" w:fill="F2F2F2"/>
            <w:vAlign w:val="bottom"/>
            <w:hideMark/>
          </w:tcPr>
          <w:p w14:paraId="3B5F2CCE" w14:textId="16BF8314" w:rsidR="00EC6B4E" w:rsidRPr="00BE20BD" w:rsidRDefault="00EC6B4E" w:rsidP="00F4321D">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xml:space="preserve">In &lt;SST </w:t>
            </w:r>
            <w:proofErr w:type="spellStart"/>
            <w:r w:rsidRPr="00BE20BD">
              <w:rPr>
                <w:rFonts w:eastAsia="Times New Roman" w:cs="Arial"/>
                <w:color w:val="000000"/>
                <w:sz w:val="16"/>
                <w:szCs w:val="16"/>
                <w:lang w:val="de-CH" w:eastAsia="de-CH"/>
              </w:rPr>
              <w:t>currency</w:t>
            </w:r>
            <w:proofErr w:type="spellEnd"/>
            <w:proofErr w:type="gramStart"/>
            <w:r w:rsidRPr="00BE20BD">
              <w:rPr>
                <w:rFonts w:eastAsia="Times New Roman" w:cs="Arial"/>
                <w:color w:val="000000"/>
                <w:sz w:val="16"/>
                <w:szCs w:val="16"/>
                <w:lang w:val="de-CH" w:eastAsia="de-CH"/>
              </w:rPr>
              <w:t xml:space="preserve">&gt;  </w:t>
            </w:r>
            <w:proofErr w:type="spellStart"/>
            <w:r w:rsidRPr="00BE20BD">
              <w:rPr>
                <w:rFonts w:eastAsia="Times New Roman" w:cs="Arial"/>
                <w:color w:val="000000"/>
                <w:sz w:val="16"/>
                <w:szCs w:val="16"/>
                <w:lang w:val="de-CH" w:eastAsia="de-CH"/>
              </w:rPr>
              <w:t>millions</w:t>
            </w:r>
            <w:proofErr w:type="spellEnd"/>
            <w:proofErr w:type="gramEnd"/>
          </w:p>
        </w:tc>
        <w:tc>
          <w:tcPr>
            <w:tcW w:w="696" w:type="dxa"/>
            <w:tcBorders>
              <w:top w:val="nil"/>
              <w:left w:val="nil"/>
              <w:bottom w:val="single" w:sz="4" w:space="0" w:color="auto"/>
              <w:right w:val="nil"/>
            </w:tcBorders>
            <w:shd w:val="clear" w:color="000000" w:fill="F2F2F2"/>
            <w:vAlign w:val="bottom"/>
            <w:hideMark/>
          </w:tcPr>
          <w:p w14:paraId="4D46A670" w14:textId="77777777" w:rsidR="00EC6B4E" w:rsidRPr="00BE20BD" w:rsidRDefault="00EC6B4E" w:rsidP="00F4321D">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Share total assets SST BS</w:t>
            </w:r>
          </w:p>
        </w:tc>
      </w:tr>
      <w:tr w:rsidR="00EC6B4E" w:rsidRPr="00BE20BD" w14:paraId="12CD359A" w14:textId="77777777" w:rsidTr="00EC6B4E">
        <w:trPr>
          <w:trHeight w:val="255"/>
        </w:trPr>
        <w:tc>
          <w:tcPr>
            <w:tcW w:w="3056" w:type="dxa"/>
            <w:tcBorders>
              <w:top w:val="nil"/>
              <w:left w:val="nil"/>
              <w:bottom w:val="nil"/>
              <w:right w:val="nil"/>
            </w:tcBorders>
            <w:shd w:val="clear" w:color="000000" w:fill="FFFFFF"/>
            <w:noWrap/>
            <w:vAlign w:val="bottom"/>
            <w:hideMark/>
          </w:tcPr>
          <w:p w14:paraId="0B8C8A7C" w14:textId="77777777" w:rsidR="00EC6B4E" w:rsidRPr="00BE20BD" w:rsidRDefault="00EC6B4E" w:rsidP="00F4321D">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216" w:type="dxa"/>
            <w:tcBorders>
              <w:top w:val="nil"/>
              <w:left w:val="nil"/>
              <w:bottom w:val="nil"/>
              <w:right w:val="nil"/>
            </w:tcBorders>
            <w:shd w:val="clear" w:color="000000" w:fill="FFFFFF"/>
            <w:noWrap/>
            <w:vAlign w:val="bottom"/>
            <w:hideMark/>
          </w:tcPr>
          <w:p w14:paraId="29A96475" w14:textId="77777777" w:rsidR="00EC6B4E" w:rsidRPr="00BE20BD" w:rsidRDefault="00EC6B4E" w:rsidP="00F4321D">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856" w:type="dxa"/>
            <w:tcBorders>
              <w:top w:val="nil"/>
              <w:left w:val="nil"/>
              <w:bottom w:val="nil"/>
              <w:right w:val="nil"/>
            </w:tcBorders>
            <w:shd w:val="clear" w:color="000000" w:fill="FFFFFF"/>
            <w:noWrap/>
            <w:vAlign w:val="bottom"/>
            <w:hideMark/>
          </w:tcPr>
          <w:p w14:paraId="627F92D3" w14:textId="77777777" w:rsidR="00EC6B4E" w:rsidRPr="00BE20BD" w:rsidRDefault="00EC6B4E" w:rsidP="00F4321D">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576" w:type="dxa"/>
            <w:tcBorders>
              <w:top w:val="nil"/>
              <w:left w:val="nil"/>
              <w:bottom w:val="nil"/>
              <w:right w:val="nil"/>
            </w:tcBorders>
            <w:shd w:val="clear" w:color="000000" w:fill="FFFFFF"/>
            <w:noWrap/>
            <w:vAlign w:val="bottom"/>
            <w:hideMark/>
          </w:tcPr>
          <w:p w14:paraId="53309CF1" w14:textId="77777777" w:rsidR="00EC6B4E" w:rsidRPr="00BE20BD" w:rsidRDefault="00EC6B4E" w:rsidP="00F4321D">
            <w:pPr>
              <w:keepNext/>
              <w:spacing w:line="240" w:lineRule="auto"/>
              <w:rPr>
                <w:rFonts w:eastAsia="Times New Roman" w:cs="Arial"/>
                <w:color w:val="000000"/>
                <w:sz w:val="12"/>
                <w:szCs w:val="12"/>
                <w:lang w:val="en-US" w:eastAsia="de-CH"/>
              </w:rPr>
            </w:pPr>
            <w:r w:rsidRPr="00BE20BD">
              <w:rPr>
                <w:rFonts w:eastAsia="Times New Roman" w:cs="Arial"/>
                <w:color w:val="000000"/>
                <w:sz w:val="12"/>
                <w:szCs w:val="12"/>
                <w:lang w:val="en-US" w:eastAsia="de-CH"/>
              </w:rPr>
              <w:t> </w:t>
            </w:r>
          </w:p>
        </w:tc>
        <w:tc>
          <w:tcPr>
            <w:tcW w:w="176" w:type="dxa"/>
            <w:tcBorders>
              <w:top w:val="nil"/>
              <w:left w:val="nil"/>
              <w:bottom w:val="nil"/>
              <w:right w:val="nil"/>
            </w:tcBorders>
            <w:shd w:val="clear" w:color="000000" w:fill="FFFFFF"/>
            <w:noWrap/>
            <w:vAlign w:val="bottom"/>
            <w:hideMark/>
          </w:tcPr>
          <w:p w14:paraId="0B019FCC" w14:textId="77777777" w:rsidR="00EC6B4E" w:rsidRPr="00BE20BD" w:rsidRDefault="00EC6B4E" w:rsidP="00F4321D">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676" w:type="dxa"/>
            <w:tcBorders>
              <w:top w:val="nil"/>
              <w:left w:val="nil"/>
              <w:bottom w:val="nil"/>
              <w:right w:val="nil"/>
            </w:tcBorders>
            <w:shd w:val="clear" w:color="000000" w:fill="FFFFFF"/>
            <w:noWrap/>
            <w:vAlign w:val="bottom"/>
            <w:hideMark/>
          </w:tcPr>
          <w:p w14:paraId="585C0B35" w14:textId="77777777" w:rsidR="00EC6B4E" w:rsidRPr="00BE20BD" w:rsidRDefault="00EC6B4E" w:rsidP="00F4321D">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596" w:type="dxa"/>
            <w:tcBorders>
              <w:top w:val="nil"/>
              <w:left w:val="nil"/>
              <w:bottom w:val="nil"/>
              <w:right w:val="nil"/>
            </w:tcBorders>
            <w:shd w:val="clear" w:color="000000" w:fill="FFFFFF"/>
            <w:noWrap/>
            <w:vAlign w:val="bottom"/>
            <w:hideMark/>
          </w:tcPr>
          <w:p w14:paraId="5E26CFA3" w14:textId="77777777" w:rsidR="00EC6B4E" w:rsidRPr="00BE20BD" w:rsidRDefault="00EC6B4E" w:rsidP="00F4321D">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296" w:type="dxa"/>
            <w:tcBorders>
              <w:top w:val="nil"/>
              <w:left w:val="nil"/>
              <w:bottom w:val="nil"/>
              <w:right w:val="nil"/>
            </w:tcBorders>
            <w:shd w:val="clear" w:color="000000" w:fill="FFFFFF"/>
            <w:noWrap/>
            <w:vAlign w:val="bottom"/>
            <w:hideMark/>
          </w:tcPr>
          <w:p w14:paraId="11F882D3" w14:textId="77777777" w:rsidR="00EC6B4E" w:rsidRPr="00BE20BD" w:rsidRDefault="00EC6B4E" w:rsidP="00F4321D">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876" w:type="dxa"/>
            <w:tcBorders>
              <w:top w:val="nil"/>
              <w:left w:val="nil"/>
              <w:bottom w:val="nil"/>
              <w:right w:val="nil"/>
            </w:tcBorders>
            <w:shd w:val="clear" w:color="000000" w:fill="FFFFFF"/>
            <w:noWrap/>
            <w:vAlign w:val="bottom"/>
            <w:hideMark/>
          </w:tcPr>
          <w:p w14:paraId="05BF8DA1" w14:textId="77777777" w:rsidR="00EC6B4E" w:rsidRPr="00BE20BD" w:rsidRDefault="00EC6B4E" w:rsidP="00F4321D">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696" w:type="dxa"/>
            <w:tcBorders>
              <w:top w:val="nil"/>
              <w:left w:val="nil"/>
              <w:bottom w:val="nil"/>
              <w:right w:val="nil"/>
            </w:tcBorders>
            <w:shd w:val="clear" w:color="000000" w:fill="FFFFFF"/>
            <w:noWrap/>
            <w:vAlign w:val="bottom"/>
            <w:hideMark/>
          </w:tcPr>
          <w:p w14:paraId="20A91D13" w14:textId="77777777" w:rsidR="00EC6B4E" w:rsidRPr="00BE20BD" w:rsidRDefault="00EC6B4E" w:rsidP="00F4321D">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r>
      <w:tr w:rsidR="00EC6B4E" w:rsidRPr="00BE20BD" w14:paraId="0C418DB1" w14:textId="77777777" w:rsidTr="00EC6B4E">
        <w:trPr>
          <w:trHeight w:val="255"/>
        </w:trPr>
        <w:tc>
          <w:tcPr>
            <w:tcW w:w="3056" w:type="dxa"/>
            <w:tcBorders>
              <w:top w:val="nil"/>
              <w:left w:val="nil"/>
              <w:bottom w:val="nil"/>
              <w:right w:val="nil"/>
            </w:tcBorders>
            <w:shd w:val="clear" w:color="000000" w:fill="D9D9D9"/>
            <w:noWrap/>
            <w:vAlign w:val="bottom"/>
            <w:hideMark/>
          </w:tcPr>
          <w:p w14:paraId="658E044C" w14:textId="77777777" w:rsidR="00EC6B4E" w:rsidRPr="00BE20BD" w:rsidRDefault="00EC6B4E" w:rsidP="00F4321D">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Risk-</w:t>
            </w:r>
            <w:proofErr w:type="spellStart"/>
            <w:r w:rsidRPr="00BE20BD">
              <w:rPr>
                <w:rFonts w:eastAsia="Times New Roman" w:cs="Arial"/>
                <w:color w:val="000000"/>
                <w:sz w:val="16"/>
                <w:szCs w:val="16"/>
                <w:lang w:val="de-CH" w:eastAsia="de-CH"/>
              </w:rPr>
              <w:t>bearing</w:t>
            </w:r>
            <w:proofErr w:type="spellEnd"/>
            <w:r w:rsidRPr="00BE20BD">
              <w:rPr>
                <w:rFonts w:eastAsia="Times New Roman" w:cs="Arial"/>
                <w:color w:val="000000"/>
                <w:sz w:val="16"/>
                <w:szCs w:val="16"/>
                <w:lang w:val="de-CH" w:eastAsia="de-CH"/>
              </w:rPr>
              <w:t xml:space="preserve"> </w:t>
            </w:r>
            <w:proofErr w:type="spellStart"/>
            <w:r w:rsidRPr="00BE20BD">
              <w:rPr>
                <w:rFonts w:eastAsia="Times New Roman" w:cs="Arial"/>
                <w:color w:val="000000"/>
                <w:sz w:val="16"/>
                <w:szCs w:val="16"/>
                <w:lang w:val="de-CH" w:eastAsia="de-CH"/>
              </w:rPr>
              <w:t>capital</w:t>
            </w:r>
            <w:proofErr w:type="spellEnd"/>
            <w:r w:rsidRPr="00BE20BD">
              <w:rPr>
                <w:rFonts w:eastAsia="Times New Roman" w:cs="Arial"/>
                <w:color w:val="000000"/>
                <w:sz w:val="16"/>
                <w:szCs w:val="16"/>
                <w:lang w:val="de-CH" w:eastAsia="de-CH"/>
              </w:rPr>
              <w:t xml:space="preserve"> (RBC)</w:t>
            </w:r>
          </w:p>
        </w:tc>
        <w:tc>
          <w:tcPr>
            <w:tcW w:w="216" w:type="dxa"/>
            <w:tcBorders>
              <w:top w:val="nil"/>
              <w:left w:val="nil"/>
              <w:bottom w:val="nil"/>
              <w:right w:val="nil"/>
            </w:tcBorders>
            <w:shd w:val="clear" w:color="000000" w:fill="FFFFFF"/>
            <w:noWrap/>
            <w:vAlign w:val="bottom"/>
            <w:hideMark/>
          </w:tcPr>
          <w:p w14:paraId="1447D006" w14:textId="77777777" w:rsidR="00EC6B4E" w:rsidRPr="00BE20BD" w:rsidRDefault="00EC6B4E" w:rsidP="00F4321D">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856" w:type="dxa"/>
            <w:tcBorders>
              <w:top w:val="nil"/>
              <w:left w:val="nil"/>
              <w:bottom w:val="nil"/>
              <w:right w:val="nil"/>
            </w:tcBorders>
            <w:shd w:val="clear" w:color="000000" w:fill="D9D9D9"/>
            <w:noWrap/>
            <w:vAlign w:val="bottom"/>
          </w:tcPr>
          <w:p w14:paraId="220425B0" w14:textId="3A38FCFA" w:rsidR="00EC6B4E" w:rsidRPr="00BE20BD" w:rsidRDefault="00EC6B4E" w:rsidP="00F4321D">
            <w:pPr>
              <w:keepNext/>
              <w:spacing w:line="240" w:lineRule="auto"/>
              <w:jc w:val="right"/>
              <w:rPr>
                <w:rFonts w:eastAsia="Times New Roman" w:cs="Arial"/>
                <w:color w:val="000000"/>
                <w:sz w:val="16"/>
                <w:szCs w:val="16"/>
                <w:lang w:val="de-CH" w:eastAsia="de-CH"/>
              </w:rPr>
            </w:pPr>
          </w:p>
        </w:tc>
        <w:tc>
          <w:tcPr>
            <w:tcW w:w="576" w:type="dxa"/>
            <w:tcBorders>
              <w:top w:val="nil"/>
              <w:left w:val="nil"/>
              <w:bottom w:val="nil"/>
              <w:right w:val="nil"/>
            </w:tcBorders>
            <w:shd w:val="clear" w:color="000000" w:fill="FFFFFF"/>
            <w:noWrap/>
            <w:vAlign w:val="bottom"/>
          </w:tcPr>
          <w:p w14:paraId="14268A8F" w14:textId="2A272166" w:rsidR="00EC6B4E" w:rsidRPr="00BE20BD" w:rsidRDefault="00EC6B4E" w:rsidP="00F4321D">
            <w:pPr>
              <w:keepNext/>
              <w:spacing w:line="240" w:lineRule="auto"/>
              <w:jc w:val="right"/>
              <w:rPr>
                <w:rFonts w:eastAsia="Times New Roman" w:cs="Arial"/>
                <w:color w:val="000000"/>
                <w:sz w:val="12"/>
                <w:szCs w:val="12"/>
                <w:lang w:val="de-CH" w:eastAsia="de-CH"/>
              </w:rPr>
            </w:pPr>
          </w:p>
        </w:tc>
        <w:tc>
          <w:tcPr>
            <w:tcW w:w="176" w:type="dxa"/>
            <w:tcBorders>
              <w:top w:val="nil"/>
              <w:left w:val="nil"/>
              <w:bottom w:val="nil"/>
              <w:right w:val="nil"/>
            </w:tcBorders>
            <w:shd w:val="clear" w:color="000000" w:fill="FFFFFF"/>
            <w:noWrap/>
            <w:vAlign w:val="bottom"/>
          </w:tcPr>
          <w:p w14:paraId="259E5D94" w14:textId="5C1EF197" w:rsidR="00EC6B4E" w:rsidRPr="00BE20BD" w:rsidRDefault="00EC6B4E" w:rsidP="00F4321D">
            <w:pPr>
              <w:keepNext/>
              <w:spacing w:line="240" w:lineRule="auto"/>
              <w:rPr>
                <w:rFonts w:eastAsia="Times New Roman" w:cs="Arial"/>
                <w:color w:val="000000"/>
                <w:sz w:val="16"/>
                <w:szCs w:val="16"/>
                <w:lang w:val="de-CH" w:eastAsia="de-CH"/>
              </w:rPr>
            </w:pPr>
          </w:p>
        </w:tc>
        <w:tc>
          <w:tcPr>
            <w:tcW w:w="676" w:type="dxa"/>
            <w:tcBorders>
              <w:top w:val="nil"/>
              <w:left w:val="nil"/>
              <w:bottom w:val="nil"/>
              <w:right w:val="nil"/>
            </w:tcBorders>
            <w:shd w:val="clear" w:color="000000" w:fill="D9D9D9"/>
            <w:noWrap/>
            <w:vAlign w:val="bottom"/>
          </w:tcPr>
          <w:p w14:paraId="4778B122" w14:textId="1A9EE0B3" w:rsidR="00EC6B4E" w:rsidRPr="00BE20BD" w:rsidRDefault="00EC6B4E" w:rsidP="00F4321D">
            <w:pPr>
              <w:keepNext/>
              <w:spacing w:line="240" w:lineRule="auto"/>
              <w:jc w:val="right"/>
              <w:rPr>
                <w:rFonts w:eastAsia="Times New Roman" w:cs="Arial"/>
                <w:color w:val="000000"/>
                <w:sz w:val="16"/>
                <w:szCs w:val="16"/>
                <w:lang w:val="de-CH" w:eastAsia="de-CH"/>
              </w:rPr>
            </w:pPr>
          </w:p>
        </w:tc>
        <w:tc>
          <w:tcPr>
            <w:tcW w:w="596" w:type="dxa"/>
            <w:tcBorders>
              <w:top w:val="nil"/>
              <w:left w:val="nil"/>
              <w:bottom w:val="nil"/>
              <w:right w:val="nil"/>
            </w:tcBorders>
            <w:shd w:val="clear" w:color="000000" w:fill="FFFFFF"/>
            <w:noWrap/>
            <w:vAlign w:val="bottom"/>
          </w:tcPr>
          <w:p w14:paraId="7C30524B" w14:textId="7B417E80" w:rsidR="00EC6B4E" w:rsidRPr="00BE20BD" w:rsidRDefault="00EC6B4E" w:rsidP="00F4321D">
            <w:pPr>
              <w:keepNext/>
              <w:spacing w:line="240" w:lineRule="auto"/>
              <w:jc w:val="right"/>
              <w:rPr>
                <w:rFonts w:eastAsia="Times New Roman" w:cs="Arial"/>
                <w:color w:val="000000"/>
                <w:sz w:val="12"/>
                <w:szCs w:val="12"/>
                <w:lang w:val="de-CH" w:eastAsia="de-CH"/>
              </w:rPr>
            </w:pPr>
          </w:p>
        </w:tc>
        <w:tc>
          <w:tcPr>
            <w:tcW w:w="296" w:type="dxa"/>
            <w:tcBorders>
              <w:top w:val="nil"/>
              <w:left w:val="nil"/>
              <w:bottom w:val="nil"/>
              <w:right w:val="nil"/>
            </w:tcBorders>
            <w:shd w:val="clear" w:color="000000" w:fill="FFFFFF"/>
            <w:noWrap/>
            <w:vAlign w:val="bottom"/>
          </w:tcPr>
          <w:p w14:paraId="64D20B7E" w14:textId="280FA534" w:rsidR="00EC6B4E" w:rsidRPr="00BE20BD" w:rsidRDefault="00EC6B4E" w:rsidP="00F4321D">
            <w:pPr>
              <w:keepNext/>
              <w:spacing w:line="240" w:lineRule="auto"/>
              <w:rPr>
                <w:rFonts w:eastAsia="Times New Roman" w:cs="Arial"/>
                <w:color w:val="000000"/>
                <w:sz w:val="16"/>
                <w:szCs w:val="16"/>
                <w:lang w:val="de-CH" w:eastAsia="de-CH"/>
              </w:rPr>
            </w:pPr>
          </w:p>
        </w:tc>
        <w:tc>
          <w:tcPr>
            <w:tcW w:w="876" w:type="dxa"/>
            <w:tcBorders>
              <w:top w:val="nil"/>
              <w:left w:val="nil"/>
              <w:bottom w:val="nil"/>
              <w:right w:val="nil"/>
            </w:tcBorders>
            <w:shd w:val="clear" w:color="000000" w:fill="D9D9D9"/>
            <w:noWrap/>
            <w:vAlign w:val="bottom"/>
          </w:tcPr>
          <w:p w14:paraId="690FD18A" w14:textId="250ABD5F" w:rsidR="00EC6B4E" w:rsidRPr="00BE20BD" w:rsidRDefault="00EC6B4E" w:rsidP="00F4321D">
            <w:pPr>
              <w:keepNext/>
              <w:spacing w:line="240" w:lineRule="auto"/>
              <w:jc w:val="right"/>
              <w:rPr>
                <w:rFonts w:eastAsia="Times New Roman" w:cs="Arial"/>
                <w:color w:val="000000"/>
                <w:sz w:val="16"/>
                <w:szCs w:val="16"/>
                <w:lang w:val="de-CH" w:eastAsia="de-CH"/>
              </w:rPr>
            </w:pPr>
          </w:p>
        </w:tc>
        <w:tc>
          <w:tcPr>
            <w:tcW w:w="696" w:type="dxa"/>
            <w:tcBorders>
              <w:top w:val="nil"/>
              <w:left w:val="nil"/>
              <w:bottom w:val="nil"/>
              <w:right w:val="nil"/>
            </w:tcBorders>
            <w:shd w:val="clear" w:color="000000" w:fill="D9D9D9"/>
            <w:noWrap/>
            <w:vAlign w:val="bottom"/>
          </w:tcPr>
          <w:p w14:paraId="1EE68323" w14:textId="589D491D" w:rsidR="00EC6B4E" w:rsidRPr="00BE20BD" w:rsidRDefault="00EC6B4E" w:rsidP="00F4321D">
            <w:pPr>
              <w:keepNext/>
              <w:spacing w:line="240" w:lineRule="auto"/>
              <w:jc w:val="right"/>
              <w:rPr>
                <w:rFonts w:eastAsia="Times New Roman" w:cs="Arial"/>
                <w:color w:val="000000"/>
                <w:sz w:val="16"/>
                <w:szCs w:val="16"/>
                <w:lang w:val="de-CH" w:eastAsia="de-CH"/>
              </w:rPr>
            </w:pPr>
          </w:p>
        </w:tc>
      </w:tr>
      <w:tr w:rsidR="00EC6B4E" w:rsidRPr="00BE20BD" w14:paraId="3D1FA169" w14:textId="77777777" w:rsidTr="00EC6B4E">
        <w:trPr>
          <w:trHeight w:val="255"/>
        </w:trPr>
        <w:tc>
          <w:tcPr>
            <w:tcW w:w="3056" w:type="dxa"/>
            <w:tcBorders>
              <w:top w:val="nil"/>
              <w:left w:val="nil"/>
              <w:bottom w:val="nil"/>
              <w:right w:val="nil"/>
            </w:tcBorders>
            <w:shd w:val="clear" w:color="000000" w:fill="F2F2F2"/>
            <w:noWrap/>
            <w:vAlign w:val="bottom"/>
            <w:hideMark/>
          </w:tcPr>
          <w:p w14:paraId="49E566B6" w14:textId="23E01F3D" w:rsidR="00EC6B4E" w:rsidRPr="00BE20BD" w:rsidRDefault="00EC6B4E" w:rsidP="00EC6B4E">
            <w:pPr>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xml:space="preserve"> Market</w:t>
            </w:r>
            <w:r w:rsidR="002502C1" w:rsidRPr="00BE20BD">
              <w:rPr>
                <w:rFonts w:eastAsia="Times New Roman" w:cs="Arial"/>
                <w:color w:val="000000"/>
                <w:sz w:val="16"/>
                <w:szCs w:val="16"/>
                <w:lang w:val="en-US" w:eastAsia="de-CH"/>
              </w:rPr>
              <w:t xml:space="preserve"> </w:t>
            </w:r>
            <w:proofErr w:type="gramStart"/>
            <w:r w:rsidRPr="00BE20BD">
              <w:rPr>
                <w:rFonts w:eastAsia="Times New Roman" w:cs="Arial"/>
                <w:color w:val="000000"/>
                <w:sz w:val="16"/>
                <w:szCs w:val="16"/>
                <w:lang w:val="en-US" w:eastAsia="de-CH"/>
              </w:rPr>
              <w:t>con</w:t>
            </w:r>
            <w:r w:rsidR="00EE76A7" w:rsidRPr="00BE20BD">
              <w:rPr>
                <w:rFonts w:eastAsia="Times New Roman" w:cs="Arial"/>
                <w:color w:val="000000"/>
                <w:sz w:val="16"/>
                <w:szCs w:val="16"/>
                <w:lang w:val="en-US" w:eastAsia="de-CH"/>
              </w:rPr>
              <w:t>form</w:t>
            </w:r>
            <w:proofErr w:type="gramEnd"/>
            <w:r w:rsidRPr="00BE20BD">
              <w:rPr>
                <w:rFonts w:eastAsia="Times New Roman" w:cs="Arial"/>
                <w:color w:val="000000"/>
                <w:sz w:val="16"/>
                <w:szCs w:val="16"/>
                <w:lang w:val="en-US" w:eastAsia="de-CH"/>
              </w:rPr>
              <w:t xml:space="preserve"> value of assets</w:t>
            </w:r>
          </w:p>
        </w:tc>
        <w:tc>
          <w:tcPr>
            <w:tcW w:w="216" w:type="dxa"/>
            <w:tcBorders>
              <w:top w:val="nil"/>
              <w:left w:val="nil"/>
              <w:bottom w:val="nil"/>
              <w:right w:val="nil"/>
            </w:tcBorders>
            <w:shd w:val="clear" w:color="000000" w:fill="FFFFFF"/>
            <w:noWrap/>
            <w:vAlign w:val="bottom"/>
            <w:hideMark/>
          </w:tcPr>
          <w:p w14:paraId="00A242CA" w14:textId="77777777" w:rsidR="00EC6B4E" w:rsidRPr="00BE20BD" w:rsidRDefault="00EC6B4E" w:rsidP="00EC6B4E">
            <w:pPr>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856" w:type="dxa"/>
            <w:tcBorders>
              <w:top w:val="nil"/>
              <w:left w:val="nil"/>
              <w:bottom w:val="nil"/>
              <w:right w:val="nil"/>
            </w:tcBorders>
            <w:shd w:val="clear" w:color="000000" w:fill="F2F2F2"/>
            <w:noWrap/>
            <w:vAlign w:val="bottom"/>
          </w:tcPr>
          <w:p w14:paraId="6BE8FDB9" w14:textId="3763BDA8" w:rsidR="00EC6B4E" w:rsidRPr="00BE20BD" w:rsidRDefault="00EC6B4E" w:rsidP="00EC6B4E">
            <w:pPr>
              <w:spacing w:line="240" w:lineRule="auto"/>
              <w:jc w:val="right"/>
              <w:rPr>
                <w:rFonts w:eastAsia="Times New Roman" w:cs="Arial"/>
                <w:color w:val="000000"/>
                <w:sz w:val="16"/>
                <w:szCs w:val="16"/>
                <w:lang w:val="en-US" w:eastAsia="de-CH"/>
              </w:rPr>
            </w:pPr>
          </w:p>
        </w:tc>
        <w:tc>
          <w:tcPr>
            <w:tcW w:w="576" w:type="dxa"/>
            <w:tcBorders>
              <w:top w:val="nil"/>
              <w:left w:val="nil"/>
              <w:bottom w:val="nil"/>
              <w:right w:val="nil"/>
            </w:tcBorders>
            <w:shd w:val="clear" w:color="000000" w:fill="FFFFFF"/>
            <w:noWrap/>
            <w:vAlign w:val="bottom"/>
          </w:tcPr>
          <w:p w14:paraId="645A80D7" w14:textId="3E6EB006" w:rsidR="00EC6B4E" w:rsidRPr="00BE20BD" w:rsidRDefault="00EC6B4E" w:rsidP="00EC6B4E">
            <w:pPr>
              <w:spacing w:line="240" w:lineRule="auto"/>
              <w:jc w:val="right"/>
              <w:rPr>
                <w:rFonts w:eastAsia="Times New Roman" w:cs="Arial"/>
                <w:color w:val="000000"/>
                <w:sz w:val="12"/>
                <w:szCs w:val="12"/>
                <w:lang w:val="en-US" w:eastAsia="de-CH"/>
              </w:rPr>
            </w:pPr>
          </w:p>
        </w:tc>
        <w:tc>
          <w:tcPr>
            <w:tcW w:w="176" w:type="dxa"/>
            <w:tcBorders>
              <w:top w:val="nil"/>
              <w:left w:val="nil"/>
              <w:bottom w:val="nil"/>
              <w:right w:val="nil"/>
            </w:tcBorders>
            <w:shd w:val="clear" w:color="000000" w:fill="FFFFFF"/>
            <w:noWrap/>
            <w:vAlign w:val="bottom"/>
          </w:tcPr>
          <w:p w14:paraId="7F0DAD5D" w14:textId="47846DA2" w:rsidR="00EC6B4E" w:rsidRPr="00BE20BD" w:rsidRDefault="00EC6B4E" w:rsidP="00EC6B4E">
            <w:pPr>
              <w:spacing w:line="240" w:lineRule="auto"/>
              <w:rPr>
                <w:rFonts w:eastAsia="Times New Roman" w:cs="Arial"/>
                <w:color w:val="000000"/>
                <w:sz w:val="16"/>
                <w:szCs w:val="16"/>
                <w:lang w:val="en-US" w:eastAsia="de-CH"/>
              </w:rPr>
            </w:pPr>
          </w:p>
        </w:tc>
        <w:tc>
          <w:tcPr>
            <w:tcW w:w="676" w:type="dxa"/>
            <w:tcBorders>
              <w:top w:val="nil"/>
              <w:left w:val="nil"/>
              <w:bottom w:val="nil"/>
              <w:right w:val="nil"/>
            </w:tcBorders>
            <w:shd w:val="clear" w:color="000000" w:fill="F2F2F2"/>
            <w:noWrap/>
            <w:vAlign w:val="bottom"/>
          </w:tcPr>
          <w:p w14:paraId="4AC0D341" w14:textId="40F55139" w:rsidR="00EC6B4E" w:rsidRPr="000C0F79" w:rsidRDefault="00EC6B4E" w:rsidP="00EC6B4E">
            <w:pPr>
              <w:spacing w:line="240" w:lineRule="auto"/>
              <w:jc w:val="right"/>
              <w:rPr>
                <w:rFonts w:eastAsia="Times New Roman" w:cs="Arial"/>
                <w:color w:val="000000"/>
                <w:sz w:val="16"/>
                <w:szCs w:val="16"/>
                <w:lang w:val="en-US" w:eastAsia="de-CH"/>
              </w:rPr>
            </w:pPr>
          </w:p>
        </w:tc>
        <w:tc>
          <w:tcPr>
            <w:tcW w:w="596" w:type="dxa"/>
            <w:tcBorders>
              <w:top w:val="nil"/>
              <w:left w:val="nil"/>
              <w:bottom w:val="nil"/>
              <w:right w:val="nil"/>
            </w:tcBorders>
            <w:shd w:val="clear" w:color="000000" w:fill="FFFFFF"/>
            <w:noWrap/>
            <w:vAlign w:val="bottom"/>
          </w:tcPr>
          <w:p w14:paraId="627531DD" w14:textId="7B2471B3" w:rsidR="00EC6B4E" w:rsidRPr="000C0F79" w:rsidRDefault="00EC6B4E" w:rsidP="00EC6B4E">
            <w:pPr>
              <w:spacing w:line="240" w:lineRule="auto"/>
              <w:jc w:val="right"/>
              <w:rPr>
                <w:rFonts w:eastAsia="Times New Roman" w:cs="Arial"/>
                <w:color w:val="000000"/>
                <w:sz w:val="12"/>
                <w:szCs w:val="12"/>
                <w:lang w:val="en-US" w:eastAsia="de-CH"/>
              </w:rPr>
            </w:pPr>
          </w:p>
        </w:tc>
        <w:tc>
          <w:tcPr>
            <w:tcW w:w="296" w:type="dxa"/>
            <w:tcBorders>
              <w:top w:val="nil"/>
              <w:left w:val="nil"/>
              <w:bottom w:val="nil"/>
              <w:right w:val="nil"/>
            </w:tcBorders>
            <w:shd w:val="clear" w:color="000000" w:fill="FFFFFF"/>
            <w:noWrap/>
            <w:vAlign w:val="bottom"/>
          </w:tcPr>
          <w:p w14:paraId="4506CF8A" w14:textId="1F0AC496" w:rsidR="00EC6B4E" w:rsidRPr="000C0F79" w:rsidRDefault="00EC6B4E" w:rsidP="00EC6B4E">
            <w:pPr>
              <w:spacing w:line="240" w:lineRule="auto"/>
              <w:rPr>
                <w:rFonts w:eastAsia="Times New Roman" w:cs="Arial"/>
                <w:color w:val="000000"/>
                <w:sz w:val="16"/>
                <w:szCs w:val="16"/>
                <w:lang w:val="en-US" w:eastAsia="de-CH"/>
              </w:rPr>
            </w:pPr>
          </w:p>
        </w:tc>
        <w:tc>
          <w:tcPr>
            <w:tcW w:w="876" w:type="dxa"/>
            <w:tcBorders>
              <w:top w:val="nil"/>
              <w:left w:val="nil"/>
              <w:bottom w:val="nil"/>
              <w:right w:val="nil"/>
            </w:tcBorders>
            <w:shd w:val="clear" w:color="000000" w:fill="F2F2F2"/>
            <w:noWrap/>
            <w:vAlign w:val="bottom"/>
          </w:tcPr>
          <w:p w14:paraId="3154BC52" w14:textId="41E8E7A0" w:rsidR="00EC6B4E" w:rsidRPr="000C0F79" w:rsidRDefault="00EC6B4E" w:rsidP="00EC6B4E">
            <w:pPr>
              <w:spacing w:line="240" w:lineRule="auto"/>
              <w:jc w:val="right"/>
              <w:rPr>
                <w:rFonts w:eastAsia="Times New Roman" w:cs="Arial"/>
                <w:color w:val="000000"/>
                <w:sz w:val="16"/>
                <w:szCs w:val="16"/>
                <w:lang w:val="en-US" w:eastAsia="de-CH"/>
              </w:rPr>
            </w:pPr>
          </w:p>
        </w:tc>
        <w:tc>
          <w:tcPr>
            <w:tcW w:w="696" w:type="dxa"/>
            <w:tcBorders>
              <w:top w:val="nil"/>
              <w:left w:val="nil"/>
              <w:bottom w:val="nil"/>
              <w:right w:val="nil"/>
            </w:tcBorders>
            <w:shd w:val="clear" w:color="000000" w:fill="F2F2F2"/>
            <w:noWrap/>
            <w:vAlign w:val="bottom"/>
          </w:tcPr>
          <w:p w14:paraId="1AC971CE" w14:textId="1E39C124" w:rsidR="00EC6B4E" w:rsidRPr="000C0F79" w:rsidRDefault="00EC6B4E" w:rsidP="00EC6B4E">
            <w:pPr>
              <w:spacing w:line="240" w:lineRule="auto"/>
              <w:jc w:val="right"/>
              <w:rPr>
                <w:rFonts w:eastAsia="Times New Roman" w:cs="Arial"/>
                <w:color w:val="000000"/>
                <w:sz w:val="16"/>
                <w:szCs w:val="16"/>
                <w:lang w:val="en-US" w:eastAsia="de-CH"/>
              </w:rPr>
            </w:pPr>
          </w:p>
        </w:tc>
      </w:tr>
      <w:tr w:rsidR="00EC6B4E" w:rsidRPr="00BE20BD" w14:paraId="05530699" w14:textId="77777777" w:rsidTr="00EC6B4E">
        <w:trPr>
          <w:trHeight w:val="255"/>
        </w:trPr>
        <w:tc>
          <w:tcPr>
            <w:tcW w:w="3056" w:type="dxa"/>
            <w:tcBorders>
              <w:top w:val="nil"/>
              <w:left w:val="nil"/>
              <w:bottom w:val="nil"/>
              <w:right w:val="nil"/>
            </w:tcBorders>
            <w:shd w:val="clear" w:color="000000" w:fill="FFFFFF"/>
            <w:noWrap/>
            <w:vAlign w:val="center"/>
            <w:hideMark/>
          </w:tcPr>
          <w:p w14:paraId="01800E1E" w14:textId="77777777" w:rsidR="00EC6B4E" w:rsidRPr="00BE20BD" w:rsidRDefault="00EC6B4E" w:rsidP="00EC6B4E">
            <w:pPr>
              <w:spacing w:line="240" w:lineRule="auto"/>
              <w:rPr>
                <w:rFonts w:eastAsia="Times New Roman" w:cs="Arial"/>
                <w:color w:val="000000"/>
                <w:sz w:val="12"/>
                <w:szCs w:val="12"/>
                <w:lang w:val="de-CH" w:eastAsia="de-CH"/>
              </w:rPr>
            </w:pPr>
            <w:r w:rsidRPr="000C0F79">
              <w:rPr>
                <w:rFonts w:eastAsia="Times New Roman" w:cs="Arial"/>
                <w:color w:val="000000"/>
                <w:sz w:val="12"/>
                <w:szCs w:val="12"/>
                <w:lang w:val="en-US" w:eastAsia="de-CH"/>
              </w:rPr>
              <w:t xml:space="preserve">    </w:t>
            </w:r>
            <w:r w:rsidRPr="00BE20BD">
              <w:rPr>
                <w:rFonts w:eastAsia="Times New Roman" w:cs="Arial"/>
                <w:color w:val="000000"/>
                <w:sz w:val="12"/>
                <w:szCs w:val="12"/>
                <w:lang w:val="de-CH" w:eastAsia="de-CH"/>
              </w:rPr>
              <w:t>Investments</w:t>
            </w:r>
          </w:p>
        </w:tc>
        <w:tc>
          <w:tcPr>
            <w:tcW w:w="216" w:type="dxa"/>
            <w:tcBorders>
              <w:top w:val="nil"/>
              <w:left w:val="nil"/>
              <w:bottom w:val="nil"/>
              <w:right w:val="nil"/>
            </w:tcBorders>
            <w:shd w:val="clear" w:color="000000" w:fill="FFFFFF"/>
            <w:noWrap/>
            <w:vAlign w:val="bottom"/>
            <w:hideMark/>
          </w:tcPr>
          <w:p w14:paraId="28AA47A0" w14:textId="77777777" w:rsidR="00EC6B4E" w:rsidRPr="00BE20BD" w:rsidRDefault="00EC6B4E" w:rsidP="00EC6B4E">
            <w:pPr>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856" w:type="dxa"/>
            <w:tcBorders>
              <w:top w:val="nil"/>
              <w:left w:val="nil"/>
              <w:bottom w:val="nil"/>
              <w:right w:val="nil"/>
            </w:tcBorders>
            <w:shd w:val="clear" w:color="000000" w:fill="FFFFFF"/>
            <w:noWrap/>
            <w:vAlign w:val="bottom"/>
          </w:tcPr>
          <w:p w14:paraId="278A9DD8" w14:textId="02555EFC" w:rsidR="00EC6B4E" w:rsidRPr="00BE20BD" w:rsidRDefault="00EC6B4E" w:rsidP="00EC6B4E">
            <w:pPr>
              <w:spacing w:line="240" w:lineRule="auto"/>
              <w:jc w:val="right"/>
              <w:rPr>
                <w:rFonts w:eastAsia="Times New Roman" w:cs="Arial"/>
                <w:color w:val="000000"/>
                <w:sz w:val="16"/>
                <w:szCs w:val="16"/>
                <w:lang w:val="de-CH" w:eastAsia="de-CH"/>
              </w:rPr>
            </w:pPr>
          </w:p>
        </w:tc>
        <w:tc>
          <w:tcPr>
            <w:tcW w:w="576" w:type="dxa"/>
            <w:tcBorders>
              <w:top w:val="nil"/>
              <w:left w:val="nil"/>
              <w:bottom w:val="nil"/>
              <w:right w:val="nil"/>
            </w:tcBorders>
            <w:shd w:val="clear" w:color="000000" w:fill="FFFFFF"/>
            <w:noWrap/>
            <w:vAlign w:val="bottom"/>
          </w:tcPr>
          <w:p w14:paraId="0BD628D9" w14:textId="435A82B6" w:rsidR="00EC6B4E" w:rsidRPr="00BE20BD" w:rsidRDefault="00EC6B4E" w:rsidP="00EC6B4E">
            <w:pPr>
              <w:spacing w:line="240" w:lineRule="auto"/>
              <w:jc w:val="right"/>
              <w:rPr>
                <w:rFonts w:eastAsia="Times New Roman" w:cs="Arial"/>
                <w:color w:val="000000"/>
                <w:sz w:val="12"/>
                <w:szCs w:val="12"/>
                <w:lang w:val="de-CH" w:eastAsia="de-CH"/>
              </w:rPr>
            </w:pPr>
          </w:p>
        </w:tc>
        <w:tc>
          <w:tcPr>
            <w:tcW w:w="176" w:type="dxa"/>
            <w:tcBorders>
              <w:top w:val="nil"/>
              <w:left w:val="nil"/>
              <w:bottom w:val="nil"/>
              <w:right w:val="nil"/>
            </w:tcBorders>
            <w:shd w:val="clear" w:color="000000" w:fill="FFFFFF"/>
            <w:noWrap/>
            <w:vAlign w:val="bottom"/>
          </w:tcPr>
          <w:p w14:paraId="31E9BF99" w14:textId="02EFC4B8" w:rsidR="00EC6B4E" w:rsidRPr="00BE20BD" w:rsidRDefault="00EC6B4E" w:rsidP="00EC6B4E">
            <w:pPr>
              <w:spacing w:line="240" w:lineRule="auto"/>
              <w:rPr>
                <w:rFonts w:eastAsia="Times New Roman" w:cs="Arial"/>
                <w:color w:val="000000"/>
                <w:sz w:val="16"/>
                <w:szCs w:val="16"/>
                <w:lang w:val="de-CH" w:eastAsia="de-CH"/>
              </w:rPr>
            </w:pPr>
          </w:p>
        </w:tc>
        <w:tc>
          <w:tcPr>
            <w:tcW w:w="676" w:type="dxa"/>
            <w:tcBorders>
              <w:top w:val="nil"/>
              <w:left w:val="nil"/>
              <w:bottom w:val="nil"/>
              <w:right w:val="nil"/>
            </w:tcBorders>
            <w:shd w:val="clear" w:color="000000" w:fill="FFFFFF"/>
            <w:noWrap/>
            <w:vAlign w:val="bottom"/>
          </w:tcPr>
          <w:p w14:paraId="6F681999" w14:textId="3B0326AE" w:rsidR="00EC6B4E" w:rsidRPr="00BE20BD" w:rsidRDefault="00EC6B4E" w:rsidP="00EC6B4E">
            <w:pPr>
              <w:spacing w:line="240" w:lineRule="auto"/>
              <w:jc w:val="right"/>
              <w:rPr>
                <w:rFonts w:eastAsia="Times New Roman" w:cs="Arial"/>
                <w:color w:val="000000"/>
                <w:sz w:val="16"/>
                <w:szCs w:val="16"/>
                <w:lang w:val="de-CH" w:eastAsia="de-CH"/>
              </w:rPr>
            </w:pPr>
          </w:p>
        </w:tc>
        <w:tc>
          <w:tcPr>
            <w:tcW w:w="596" w:type="dxa"/>
            <w:tcBorders>
              <w:top w:val="nil"/>
              <w:left w:val="nil"/>
              <w:bottom w:val="nil"/>
              <w:right w:val="nil"/>
            </w:tcBorders>
            <w:shd w:val="clear" w:color="000000" w:fill="FFFFFF"/>
            <w:noWrap/>
            <w:vAlign w:val="bottom"/>
          </w:tcPr>
          <w:p w14:paraId="07AAEFF2" w14:textId="260222F0" w:rsidR="00EC6B4E" w:rsidRPr="00BE20BD" w:rsidRDefault="00EC6B4E" w:rsidP="00EC6B4E">
            <w:pPr>
              <w:spacing w:line="240" w:lineRule="auto"/>
              <w:jc w:val="right"/>
              <w:rPr>
                <w:rFonts w:eastAsia="Times New Roman" w:cs="Arial"/>
                <w:color w:val="000000"/>
                <w:sz w:val="12"/>
                <w:szCs w:val="12"/>
                <w:lang w:val="de-CH" w:eastAsia="de-CH"/>
              </w:rPr>
            </w:pPr>
          </w:p>
        </w:tc>
        <w:tc>
          <w:tcPr>
            <w:tcW w:w="296" w:type="dxa"/>
            <w:tcBorders>
              <w:top w:val="nil"/>
              <w:left w:val="nil"/>
              <w:bottom w:val="nil"/>
              <w:right w:val="nil"/>
            </w:tcBorders>
            <w:shd w:val="clear" w:color="000000" w:fill="FFFFFF"/>
            <w:noWrap/>
            <w:vAlign w:val="bottom"/>
          </w:tcPr>
          <w:p w14:paraId="43C3BB41" w14:textId="75039899" w:rsidR="00EC6B4E" w:rsidRPr="00BE20BD" w:rsidRDefault="00EC6B4E" w:rsidP="00EC6B4E">
            <w:pPr>
              <w:spacing w:line="240" w:lineRule="auto"/>
              <w:rPr>
                <w:rFonts w:eastAsia="Times New Roman" w:cs="Arial"/>
                <w:color w:val="000000"/>
                <w:sz w:val="16"/>
                <w:szCs w:val="16"/>
                <w:lang w:val="de-CH" w:eastAsia="de-CH"/>
              </w:rPr>
            </w:pPr>
          </w:p>
        </w:tc>
        <w:tc>
          <w:tcPr>
            <w:tcW w:w="876" w:type="dxa"/>
            <w:tcBorders>
              <w:top w:val="nil"/>
              <w:left w:val="nil"/>
              <w:bottom w:val="nil"/>
              <w:right w:val="nil"/>
            </w:tcBorders>
            <w:shd w:val="clear" w:color="000000" w:fill="FFFFFF"/>
            <w:noWrap/>
            <w:vAlign w:val="bottom"/>
          </w:tcPr>
          <w:p w14:paraId="46F38A20" w14:textId="3ED7B9E7" w:rsidR="00EC6B4E" w:rsidRPr="00BE20BD" w:rsidRDefault="00EC6B4E" w:rsidP="00EC6B4E">
            <w:pPr>
              <w:spacing w:line="240" w:lineRule="auto"/>
              <w:jc w:val="right"/>
              <w:rPr>
                <w:rFonts w:eastAsia="Times New Roman" w:cs="Arial"/>
                <w:color w:val="000000"/>
                <w:sz w:val="16"/>
                <w:szCs w:val="16"/>
                <w:lang w:val="de-CH" w:eastAsia="de-CH"/>
              </w:rPr>
            </w:pPr>
          </w:p>
        </w:tc>
        <w:tc>
          <w:tcPr>
            <w:tcW w:w="696" w:type="dxa"/>
            <w:tcBorders>
              <w:top w:val="nil"/>
              <w:left w:val="nil"/>
              <w:bottom w:val="nil"/>
              <w:right w:val="nil"/>
            </w:tcBorders>
            <w:shd w:val="clear" w:color="000000" w:fill="FFFFFF"/>
            <w:noWrap/>
            <w:vAlign w:val="bottom"/>
          </w:tcPr>
          <w:p w14:paraId="0806BB7B" w14:textId="086FA9F4" w:rsidR="00EC6B4E" w:rsidRPr="00BE20BD" w:rsidRDefault="00EC6B4E" w:rsidP="00EC6B4E">
            <w:pPr>
              <w:spacing w:line="240" w:lineRule="auto"/>
              <w:jc w:val="right"/>
              <w:rPr>
                <w:rFonts w:eastAsia="Times New Roman" w:cs="Arial"/>
                <w:color w:val="000000"/>
                <w:sz w:val="16"/>
                <w:szCs w:val="16"/>
                <w:lang w:val="de-CH" w:eastAsia="de-CH"/>
              </w:rPr>
            </w:pPr>
          </w:p>
        </w:tc>
      </w:tr>
      <w:tr w:rsidR="00EC6B4E" w:rsidRPr="00BE20BD" w14:paraId="5F750FBE" w14:textId="77777777" w:rsidTr="00EC6B4E">
        <w:trPr>
          <w:trHeight w:val="255"/>
        </w:trPr>
        <w:tc>
          <w:tcPr>
            <w:tcW w:w="3056" w:type="dxa"/>
            <w:tcBorders>
              <w:top w:val="nil"/>
              <w:left w:val="nil"/>
              <w:bottom w:val="nil"/>
              <w:right w:val="nil"/>
            </w:tcBorders>
            <w:shd w:val="clear" w:color="000000" w:fill="FFFFFF"/>
            <w:noWrap/>
            <w:vAlign w:val="center"/>
            <w:hideMark/>
          </w:tcPr>
          <w:p w14:paraId="5D30D5CD" w14:textId="77777777" w:rsidR="00EC6B4E" w:rsidRPr="00BE20BD" w:rsidRDefault="00EC6B4E" w:rsidP="00EC6B4E">
            <w:pPr>
              <w:spacing w:line="240" w:lineRule="auto"/>
              <w:rPr>
                <w:rFonts w:eastAsia="Times New Roman" w:cs="Arial"/>
                <w:color w:val="000000"/>
                <w:sz w:val="12"/>
                <w:szCs w:val="12"/>
                <w:lang w:val="de-CH" w:eastAsia="de-CH"/>
              </w:rPr>
            </w:pPr>
            <w:r w:rsidRPr="00BE20BD">
              <w:rPr>
                <w:rFonts w:eastAsia="Times New Roman" w:cs="Arial"/>
                <w:color w:val="000000"/>
                <w:sz w:val="12"/>
                <w:szCs w:val="12"/>
                <w:lang w:val="de-CH" w:eastAsia="de-CH"/>
              </w:rPr>
              <w:t xml:space="preserve">    Other </w:t>
            </w:r>
            <w:proofErr w:type="spellStart"/>
            <w:r w:rsidRPr="00BE20BD">
              <w:rPr>
                <w:rFonts w:eastAsia="Times New Roman" w:cs="Arial"/>
                <w:color w:val="000000"/>
                <w:sz w:val="12"/>
                <w:szCs w:val="12"/>
                <w:lang w:val="de-CH" w:eastAsia="de-CH"/>
              </w:rPr>
              <w:t>assets</w:t>
            </w:r>
            <w:proofErr w:type="spellEnd"/>
          </w:p>
        </w:tc>
        <w:tc>
          <w:tcPr>
            <w:tcW w:w="216" w:type="dxa"/>
            <w:tcBorders>
              <w:top w:val="nil"/>
              <w:left w:val="nil"/>
              <w:bottom w:val="nil"/>
              <w:right w:val="nil"/>
            </w:tcBorders>
            <w:shd w:val="clear" w:color="000000" w:fill="FFFFFF"/>
            <w:noWrap/>
            <w:vAlign w:val="bottom"/>
            <w:hideMark/>
          </w:tcPr>
          <w:p w14:paraId="3586F87C" w14:textId="77777777" w:rsidR="00EC6B4E" w:rsidRPr="00BE20BD" w:rsidRDefault="00EC6B4E" w:rsidP="00EC6B4E">
            <w:pPr>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856" w:type="dxa"/>
            <w:tcBorders>
              <w:top w:val="nil"/>
              <w:left w:val="nil"/>
              <w:bottom w:val="nil"/>
              <w:right w:val="nil"/>
            </w:tcBorders>
            <w:shd w:val="clear" w:color="000000" w:fill="FFFFFF"/>
            <w:noWrap/>
            <w:vAlign w:val="bottom"/>
          </w:tcPr>
          <w:p w14:paraId="15F76CD0" w14:textId="182BA701" w:rsidR="00EC6B4E" w:rsidRPr="00BE20BD" w:rsidRDefault="00EC6B4E" w:rsidP="00EC6B4E">
            <w:pPr>
              <w:spacing w:line="240" w:lineRule="auto"/>
              <w:jc w:val="right"/>
              <w:rPr>
                <w:rFonts w:eastAsia="Times New Roman" w:cs="Arial"/>
                <w:color w:val="000000"/>
                <w:sz w:val="16"/>
                <w:szCs w:val="16"/>
                <w:lang w:val="de-CH" w:eastAsia="de-CH"/>
              </w:rPr>
            </w:pPr>
          </w:p>
        </w:tc>
        <w:tc>
          <w:tcPr>
            <w:tcW w:w="576" w:type="dxa"/>
            <w:tcBorders>
              <w:top w:val="nil"/>
              <w:left w:val="nil"/>
              <w:bottom w:val="nil"/>
              <w:right w:val="nil"/>
            </w:tcBorders>
            <w:shd w:val="clear" w:color="000000" w:fill="FFFFFF"/>
            <w:noWrap/>
            <w:vAlign w:val="bottom"/>
          </w:tcPr>
          <w:p w14:paraId="50163124" w14:textId="4E5E7141" w:rsidR="00EC6B4E" w:rsidRPr="00BE20BD" w:rsidRDefault="00EC6B4E" w:rsidP="00EC6B4E">
            <w:pPr>
              <w:spacing w:line="240" w:lineRule="auto"/>
              <w:jc w:val="right"/>
              <w:rPr>
                <w:rFonts w:eastAsia="Times New Roman" w:cs="Arial"/>
                <w:color w:val="000000"/>
                <w:sz w:val="12"/>
                <w:szCs w:val="12"/>
                <w:lang w:val="de-CH" w:eastAsia="de-CH"/>
              </w:rPr>
            </w:pPr>
          </w:p>
        </w:tc>
        <w:tc>
          <w:tcPr>
            <w:tcW w:w="176" w:type="dxa"/>
            <w:tcBorders>
              <w:top w:val="nil"/>
              <w:left w:val="nil"/>
              <w:bottom w:val="nil"/>
              <w:right w:val="nil"/>
            </w:tcBorders>
            <w:shd w:val="clear" w:color="000000" w:fill="FFFFFF"/>
            <w:noWrap/>
            <w:vAlign w:val="bottom"/>
          </w:tcPr>
          <w:p w14:paraId="7E681A26" w14:textId="2363FFF0" w:rsidR="00EC6B4E" w:rsidRPr="00BE20BD" w:rsidRDefault="00EC6B4E" w:rsidP="00EC6B4E">
            <w:pPr>
              <w:spacing w:line="240" w:lineRule="auto"/>
              <w:rPr>
                <w:rFonts w:eastAsia="Times New Roman" w:cs="Arial"/>
                <w:color w:val="000000"/>
                <w:sz w:val="16"/>
                <w:szCs w:val="16"/>
                <w:lang w:val="de-CH" w:eastAsia="de-CH"/>
              </w:rPr>
            </w:pPr>
          </w:p>
        </w:tc>
        <w:tc>
          <w:tcPr>
            <w:tcW w:w="676" w:type="dxa"/>
            <w:tcBorders>
              <w:top w:val="nil"/>
              <w:left w:val="nil"/>
              <w:bottom w:val="nil"/>
              <w:right w:val="nil"/>
            </w:tcBorders>
            <w:shd w:val="clear" w:color="000000" w:fill="FFFFFF"/>
            <w:noWrap/>
            <w:vAlign w:val="bottom"/>
          </w:tcPr>
          <w:p w14:paraId="7AC02F78" w14:textId="320FCE24" w:rsidR="00EC6B4E" w:rsidRPr="00BE20BD" w:rsidRDefault="00EC6B4E" w:rsidP="00EC6B4E">
            <w:pPr>
              <w:spacing w:line="240" w:lineRule="auto"/>
              <w:jc w:val="right"/>
              <w:rPr>
                <w:rFonts w:eastAsia="Times New Roman" w:cs="Arial"/>
                <w:color w:val="000000"/>
                <w:sz w:val="16"/>
                <w:szCs w:val="16"/>
                <w:lang w:val="de-CH" w:eastAsia="de-CH"/>
              </w:rPr>
            </w:pPr>
          </w:p>
        </w:tc>
        <w:tc>
          <w:tcPr>
            <w:tcW w:w="596" w:type="dxa"/>
            <w:tcBorders>
              <w:top w:val="nil"/>
              <w:left w:val="nil"/>
              <w:bottom w:val="nil"/>
              <w:right w:val="nil"/>
            </w:tcBorders>
            <w:shd w:val="clear" w:color="000000" w:fill="FFFFFF"/>
            <w:noWrap/>
            <w:vAlign w:val="bottom"/>
          </w:tcPr>
          <w:p w14:paraId="39E9FE9D" w14:textId="44635710" w:rsidR="00EC6B4E" w:rsidRPr="00BE20BD" w:rsidRDefault="00EC6B4E" w:rsidP="00EC6B4E">
            <w:pPr>
              <w:spacing w:line="240" w:lineRule="auto"/>
              <w:jc w:val="right"/>
              <w:rPr>
                <w:rFonts w:eastAsia="Times New Roman" w:cs="Arial"/>
                <w:color w:val="000000"/>
                <w:sz w:val="12"/>
                <w:szCs w:val="12"/>
                <w:lang w:val="de-CH" w:eastAsia="de-CH"/>
              </w:rPr>
            </w:pPr>
          </w:p>
        </w:tc>
        <w:tc>
          <w:tcPr>
            <w:tcW w:w="296" w:type="dxa"/>
            <w:tcBorders>
              <w:top w:val="nil"/>
              <w:left w:val="nil"/>
              <w:bottom w:val="nil"/>
              <w:right w:val="nil"/>
            </w:tcBorders>
            <w:shd w:val="clear" w:color="000000" w:fill="FFFFFF"/>
            <w:noWrap/>
            <w:vAlign w:val="bottom"/>
          </w:tcPr>
          <w:p w14:paraId="60D995CA" w14:textId="4C787668" w:rsidR="00EC6B4E" w:rsidRPr="00BE20BD" w:rsidRDefault="00EC6B4E" w:rsidP="00EC6B4E">
            <w:pPr>
              <w:spacing w:line="240" w:lineRule="auto"/>
              <w:rPr>
                <w:rFonts w:eastAsia="Times New Roman" w:cs="Arial"/>
                <w:color w:val="000000"/>
                <w:sz w:val="16"/>
                <w:szCs w:val="16"/>
                <w:lang w:val="de-CH" w:eastAsia="de-CH"/>
              </w:rPr>
            </w:pPr>
          </w:p>
        </w:tc>
        <w:tc>
          <w:tcPr>
            <w:tcW w:w="876" w:type="dxa"/>
            <w:tcBorders>
              <w:top w:val="nil"/>
              <w:left w:val="nil"/>
              <w:bottom w:val="nil"/>
              <w:right w:val="nil"/>
            </w:tcBorders>
            <w:shd w:val="clear" w:color="000000" w:fill="FFFFFF"/>
            <w:noWrap/>
            <w:vAlign w:val="bottom"/>
          </w:tcPr>
          <w:p w14:paraId="16544E89" w14:textId="74ED3E35" w:rsidR="00EC6B4E" w:rsidRPr="00BE20BD" w:rsidRDefault="00EC6B4E" w:rsidP="00EC6B4E">
            <w:pPr>
              <w:spacing w:line="240" w:lineRule="auto"/>
              <w:jc w:val="right"/>
              <w:rPr>
                <w:rFonts w:eastAsia="Times New Roman" w:cs="Arial"/>
                <w:color w:val="000000"/>
                <w:sz w:val="16"/>
                <w:szCs w:val="16"/>
                <w:lang w:val="de-CH" w:eastAsia="de-CH"/>
              </w:rPr>
            </w:pPr>
          </w:p>
        </w:tc>
        <w:tc>
          <w:tcPr>
            <w:tcW w:w="696" w:type="dxa"/>
            <w:tcBorders>
              <w:top w:val="nil"/>
              <w:left w:val="nil"/>
              <w:bottom w:val="nil"/>
              <w:right w:val="nil"/>
            </w:tcBorders>
            <w:shd w:val="clear" w:color="000000" w:fill="FFFFFF"/>
            <w:noWrap/>
            <w:vAlign w:val="bottom"/>
          </w:tcPr>
          <w:p w14:paraId="3B55A3AE" w14:textId="20298C04" w:rsidR="00EC6B4E" w:rsidRPr="00BE20BD" w:rsidRDefault="00EC6B4E" w:rsidP="00EC6B4E">
            <w:pPr>
              <w:spacing w:line="240" w:lineRule="auto"/>
              <w:jc w:val="right"/>
              <w:rPr>
                <w:rFonts w:eastAsia="Times New Roman" w:cs="Arial"/>
                <w:color w:val="000000"/>
                <w:sz w:val="16"/>
                <w:szCs w:val="16"/>
                <w:lang w:val="de-CH" w:eastAsia="de-CH"/>
              </w:rPr>
            </w:pPr>
          </w:p>
        </w:tc>
      </w:tr>
      <w:tr w:rsidR="00EC6B4E" w:rsidRPr="00BE20BD" w14:paraId="5BEC2F9E" w14:textId="77777777" w:rsidTr="00EC6B4E">
        <w:trPr>
          <w:trHeight w:val="330"/>
        </w:trPr>
        <w:tc>
          <w:tcPr>
            <w:tcW w:w="3056" w:type="dxa"/>
            <w:tcBorders>
              <w:top w:val="nil"/>
              <w:left w:val="nil"/>
              <w:bottom w:val="nil"/>
              <w:right w:val="nil"/>
            </w:tcBorders>
            <w:shd w:val="clear" w:color="000000" w:fill="FFFFFF"/>
            <w:vAlign w:val="center"/>
            <w:hideMark/>
          </w:tcPr>
          <w:p w14:paraId="28E9DB72" w14:textId="3C63F21E" w:rsidR="00EC6B4E" w:rsidRPr="00BE20BD" w:rsidRDefault="006A0803" w:rsidP="00EC6B4E">
            <w:pPr>
              <w:spacing w:line="240" w:lineRule="auto"/>
              <w:rPr>
                <w:rFonts w:eastAsia="Times New Roman" w:cs="Arial"/>
                <w:color w:val="000000"/>
                <w:sz w:val="12"/>
                <w:szCs w:val="12"/>
                <w:lang w:val="en-US" w:eastAsia="de-CH"/>
              </w:rPr>
            </w:pPr>
            <w:r w:rsidRPr="00BE20BD">
              <w:rPr>
                <w:rFonts w:eastAsia="Times New Roman" w:cs="Arial"/>
                <w:color w:val="000000"/>
                <w:sz w:val="12"/>
                <w:szCs w:val="12"/>
                <w:lang w:val="en-US" w:eastAsia="de-CH"/>
              </w:rPr>
              <w:t xml:space="preserve">    of which share of technical provisions from reinsurance</w:t>
            </w:r>
          </w:p>
        </w:tc>
        <w:tc>
          <w:tcPr>
            <w:tcW w:w="216" w:type="dxa"/>
            <w:tcBorders>
              <w:top w:val="nil"/>
              <w:left w:val="nil"/>
              <w:bottom w:val="nil"/>
              <w:right w:val="nil"/>
            </w:tcBorders>
            <w:shd w:val="clear" w:color="000000" w:fill="FFFFFF"/>
            <w:noWrap/>
            <w:vAlign w:val="bottom"/>
            <w:hideMark/>
          </w:tcPr>
          <w:p w14:paraId="2E945BB6" w14:textId="77777777" w:rsidR="00EC6B4E" w:rsidRPr="00BE20BD" w:rsidRDefault="00EC6B4E" w:rsidP="00EC6B4E">
            <w:pPr>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856" w:type="dxa"/>
            <w:tcBorders>
              <w:top w:val="nil"/>
              <w:left w:val="nil"/>
              <w:bottom w:val="nil"/>
              <w:right w:val="nil"/>
            </w:tcBorders>
            <w:shd w:val="clear" w:color="000000" w:fill="FFFFFF"/>
            <w:noWrap/>
            <w:vAlign w:val="bottom"/>
          </w:tcPr>
          <w:p w14:paraId="0C8F30E8" w14:textId="68E99680" w:rsidR="00EC6B4E" w:rsidRPr="00BE20BD" w:rsidRDefault="00EC6B4E" w:rsidP="00EC6B4E">
            <w:pPr>
              <w:spacing w:line="240" w:lineRule="auto"/>
              <w:jc w:val="right"/>
              <w:rPr>
                <w:rFonts w:eastAsia="Times New Roman" w:cs="Arial"/>
                <w:color w:val="000000"/>
                <w:sz w:val="16"/>
                <w:szCs w:val="16"/>
                <w:lang w:val="en-US" w:eastAsia="de-CH"/>
              </w:rPr>
            </w:pPr>
          </w:p>
        </w:tc>
        <w:tc>
          <w:tcPr>
            <w:tcW w:w="576" w:type="dxa"/>
            <w:tcBorders>
              <w:top w:val="nil"/>
              <w:left w:val="nil"/>
              <w:bottom w:val="nil"/>
              <w:right w:val="nil"/>
            </w:tcBorders>
            <w:shd w:val="clear" w:color="000000" w:fill="FFFFFF"/>
            <w:noWrap/>
            <w:vAlign w:val="bottom"/>
          </w:tcPr>
          <w:p w14:paraId="6C53FB50" w14:textId="13596E4F" w:rsidR="00EC6B4E" w:rsidRPr="00BE20BD" w:rsidRDefault="00EC6B4E" w:rsidP="00EC6B4E">
            <w:pPr>
              <w:spacing w:line="240" w:lineRule="auto"/>
              <w:jc w:val="right"/>
              <w:rPr>
                <w:rFonts w:eastAsia="Times New Roman" w:cs="Arial"/>
                <w:color w:val="000000"/>
                <w:sz w:val="12"/>
                <w:szCs w:val="12"/>
                <w:lang w:val="en-US" w:eastAsia="de-CH"/>
              </w:rPr>
            </w:pPr>
          </w:p>
        </w:tc>
        <w:tc>
          <w:tcPr>
            <w:tcW w:w="176" w:type="dxa"/>
            <w:tcBorders>
              <w:top w:val="nil"/>
              <w:left w:val="nil"/>
              <w:bottom w:val="nil"/>
              <w:right w:val="nil"/>
            </w:tcBorders>
            <w:shd w:val="clear" w:color="000000" w:fill="FFFFFF"/>
            <w:noWrap/>
            <w:vAlign w:val="bottom"/>
          </w:tcPr>
          <w:p w14:paraId="6CDD0D64" w14:textId="36B9DCD3" w:rsidR="00EC6B4E" w:rsidRPr="00BE20BD" w:rsidRDefault="00EC6B4E" w:rsidP="00EC6B4E">
            <w:pPr>
              <w:spacing w:line="240" w:lineRule="auto"/>
              <w:rPr>
                <w:rFonts w:eastAsia="Times New Roman" w:cs="Arial"/>
                <w:color w:val="000000"/>
                <w:sz w:val="16"/>
                <w:szCs w:val="16"/>
                <w:lang w:val="en-US" w:eastAsia="de-CH"/>
              </w:rPr>
            </w:pPr>
          </w:p>
        </w:tc>
        <w:tc>
          <w:tcPr>
            <w:tcW w:w="676" w:type="dxa"/>
            <w:tcBorders>
              <w:top w:val="nil"/>
              <w:left w:val="nil"/>
              <w:bottom w:val="nil"/>
              <w:right w:val="nil"/>
            </w:tcBorders>
            <w:shd w:val="clear" w:color="000000" w:fill="FFFFFF"/>
            <w:noWrap/>
            <w:vAlign w:val="bottom"/>
          </w:tcPr>
          <w:p w14:paraId="7757B3BB" w14:textId="22F54737" w:rsidR="00EC6B4E" w:rsidRPr="00BE20BD" w:rsidRDefault="00EC6B4E" w:rsidP="00EC6B4E">
            <w:pPr>
              <w:spacing w:line="240" w:lineRule="auto"/>
              <w:jc w:val="right"/>
              <w:rPr>
                <w:rFonts w:eastAsia="Times New Roman" w:cs="Arial"/>
                <w:color w:val="000000"/>
                <w:sz w:val="16"/>
                <w:szCs w:val="16"/>
                <w:lang w:val="en-US" w:eastAsia="de-CH"/>
              </w:rPr>
            </w:pPr>
          </w:p>
        </w:tc>
        <w:tc>
          <w:tcPr>
            <w:tcW w:w="596" w:type="dxa"/>
            <w:tcBorders>
              <w:top w:val="nil"/>
              <w:left w:val="nil"/>
              <w:bottom w:val="nil"/>
              <w:right w:val="nil"/>
            </w:tcBorders>
            <w:shd w:val="clear" w:color="000000" w:fill="FFFFFF"/>
            <w:noWrap/>
            <w:vAlign w:val="bottom"/>
          </w:tcPr>
          <w:p w14:paraId="7A96F741" w14:textId="74FCD7F2" w:rsidR="00EC6B4E" w:rsidRPr="00BE20BD" w:rsidRDefault="00EC6B4E" w:rsidP="00EC6B4E">
            <w:pPr>
              <w:spacing w:line="240" w:lineRule="auto"/>
              <w:jc w:val="right"/>
              <w:rPr>
                <w:rFonts w:eastAsia="Times New Roman" w:cs="Arial"/>
                <w:color w:val="000000"/>
                <w:sz w:val="12"/>
                <w:szCs w:val="12"/>
                <w:lang w:val="en-US" w:eastAsia="de-CH"/>
              </w:rPr>
            </w:pPr>
          </w:p>
        </w:tc>
        <w:tc>
          <w:tcPr>
            <w:tcW w:w="296" w:type="dxa"/>
            <w:tcBorders>
              <w:top w:val="nil"/>
              <w:left w:val="nil"/>
              <w:bottom w:val="nil"/>
              <w:right w:val="nil"/>
            </w:tcBorders>
            <w:shd w:val="clear" w:color="000000" w:fill="FFFFFF"/>
            <w:noWrap/>
            <w:vAlign w:val="bottom"/>
          </w:tcPr>
          <w:p w14:paraId="0C986F3A" w14:textId="5340B8C2" w:rsidR="00EC6B4E" w:rsidRPr="00BE20BD" w:rsidRDefault="00EC6B4E" w:rsidP="00EC6B4E">
            <w:pPr>
              <w:spacing w:line="240" w:lineRule="auto"/>
              <w:rPr>
                <w:rFonts w:eastAsia="Times New Roman" w:cs="Arial"/>
                <w:color w:val="000000"/>
                <w:sz w:val="16"/>
                <w:szCs w:val="16"/>
                <w:lang w:val="en-US" w:eastAsia="de-CH"/>
              </w:rPr>
            </w:pPr>
          </w:p>
        </w:tc>
        <w:tc>
          <w:tcPr>
            <w:tcW w:w="876" w:type="dxa"/>
            <w:tcBorders>
              <w:top w:val="nil"/>
              <w:left w:val="nil"/>
              <w:bottom w:val="nil"/>
              <w:right w:val="nil"/>
            </w:tcBorders>
            <w:shd w:val="clear" w:color="000000" w:fill="FFFFFF"/>
            <w:noWrap/>
            <w:vAlign w:val="bottom"/>
          </w:tcPr>
          <w:p w14:paraId="4EEFCC3A" w14:textId="2468603D" w:rsidR="00EC6B4E" w:rsidRPr="00BE20BD" w:rsidRDefault="00EC6B4E" w:rsidP="00EC6B4E">
            <w:pPr>
              <w:spacing w:line="240" w:lineRule="auto"/>
              <w:jc w:val="right"/>
              <w:rPr>
                <w:rFonts w:eastAsia="Times New Roman" w:cs="Arial"/>
                <w:color w:val="000000"/>
                <w:sz w:val="16"/>
                <w:szCs w:val="16"/>
                <w:lang w:val="en-US" w:eastAsia="de-CH"/>
              </w:rPr>
            </w:pPr>
          </w:p>
        </w:tc>
        <w:tc>
          <w:tcPr>
            <w:tcW w:w="696" w:type="dxa"/>
            <w:tcBorders>
              <w:top w:val="nil"/>
              <w:left w:val="nil"/>
              <w:bottom w:val="nil"/>
              <w:right w:val="nil"/>
            </w:tcBorders>
            <w:shd w:val="clear" w:color="000000" w:fill="FFFFFF"/>
            <w:noWrap/>
            <w:vAlign w:val="bottom"/>
          </w:tcPr>
          <w:p w14:paraId="607AA3D6" w14:textId="5DB2836A" w:rsidR="00EC6B4E" w:rsidRPr="00BE20BD" w:rsidRDefault="00EC6B4E" w:rsidP="00EC6B4E">
            <w:pPr>
              <w:spacing w:line="240" w:lineRule="auto"/>
              <w:jc w:val="right"/>
              <w:rPr>
                <w:rFonts w:eastAsia="Times New Roman" w:cs="Arial"/>
                <w:color w:val="000000"/>
                <w:sz w:val="16"/>
                <w:szCs w:val="16"/>
                <w:lang w:val="en-US" w:eastAsia="de-CH"/>
              </w:rPr>
            </w:pPr>
          </w:p>
        </w:tc>
      </w:tr>
      <w:tr w:rsidR="00EC6B4E" w:rsidRPr="00BE20BD" w14:paraId="3C5A753F" w14:textId="77777777" w:rsidTr="00EC6B4E">
        <w:trPr>
          <w:trHeight w:val="255"/>
        </w:trPr>
        <w:tc>
          <w:tcPr>
            <w:tcW w:w="3056" w:type="dxa"/>
            <w:tcBorders>
              <w:top w:val="nil"/>
              <w:left w:val="nil"/>
              <w:bottom w:val="nil"/>
              <w:right w:val="nil"/>
            </w:tcBorders>
            <w:shd w:val="clear" w:color="000000" w:fill="F2F2F2"/>
            <w:noWrap/>
            <w:vAlign w:val="bottom"/>
            <w:hideMark/>
          </w:tcPr>
          <w:p w14:paraId="0EEBA94D" w14:textId="77777777" w:rsidR="00EC6B4E" w:rsidRPr="00BE20BD" w:rsidRDefault="00EC6B4E" w:rsidP="00EC6B4E">
            <w:pPr>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xml:space="preserve">Total </w:t>
            </w:r>
            <w:proofErr w:type="spellStart"/>
            <w:r w:rsidRPr="00BE20BD">
              <w:rPr>
                <w:rFonts w:eastAsia="Times New Roman" w:cs="Arial"/>
                <w:color w:val="000000"/>
                <w:sz w:val="16"/>
                <w:szCs w:val="16"/>
                <w:lang w:val="de-CH" w:eastAsia="de-CH"/>
              </w:rPr>
              <w:t>liabilities</w:t>
            </w:r>
            <w:proofErr w:type="spellEnd"/>
          </w:p>
        </w:tc>
        <w:tc>
          <w:tcPr>
            <w:tcW w:w="216" w:type="dxa"/>
            <w:tcBorders>
              <w:top w:val="nil"/>
              <w:left w:val="nil"/>
              <w:bottom w:val="nil"/>
              <w:right w:val="nil"/>
            </w:tcBorders>
            <w:shd w:val="clear" w:color="000000" w:fill="FFFFFF"/>
            <w:noWrap/>
            <w:vAlign w:val="bottom"/>
            <w:hideMark/>
          </w:tcPr>
          <w:p w14:paraId="01CAADD7" w14:textId="77777777" w:rsidR="00EC6B4E" w:rsidRPr="00BE20BD" w:rsidRDefault="00EC6B4E" w:rsidP="00EC6B4E">
            <w:pPr>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856" w:type="dxa"/>
            <w:tcBorders>
              <w:top w:val="nil"/>
              <w:left w:val="nil"/>
              <w:bottom w:val="nil"/>
              <w:right w:val="nil"/>
            </w:tcBorders>
            <w:shd w:val="clear" w:color="000000" w:fill="F2F2F2"/>
            <w:noWrap/>
            <w:vAlign w:val="bottom"/>
          </w:tcPr>
          <w:p w14:paraId="577BD3CA" w14:textId="59148737" w:rsidR="00EC6B4E" w:rsidRPr="00BE20BD" w:rsidRDefault="00EC6B4E" w:rsidP="00EC6B4E">
            <w:pPr>
              <w:spacing w:line="240" w:lineRule="auto"/>
              <w:jc w:val="right"/>
              <w:rPr>
                <w:rFonts w:eastAsia="Times New Roman" w:cs="Arial"/>
                <w:color w:val="000000"/>
                <w:sz w:val="16"/>
                <w:szCs w:val="16"/>
                <w:lang w:val="de-CH" w:eastAsia="de-CH"/>
              </w:rPr>
            </w:pPr>
          </w:p>
        </w:tc>
        <w:tc>
          <w:tcPr>
            <w:tcW w:w="576" w:type="dxa"/>
            <w:tcBorders>
              <w:top w:val="nil"/>
              <w:left w:val="nil"/>
              <w:bottom w:val="nil"/>
              <w:right w:val="nil"/>
            </w:tcBorders>
            <w:shd w:val="clear" w:color="000000" w:fill="FFFFFF"/>
            <w:noWrap/>
            <w:vAlign w:val="bottom"/>
          </w:tcPr>
          <w:p w14:paraId="4478DF8D" w14:textId="35FD7F97" w:rsidR="00EC6B4E" w:rsidRPr="00BE20BD" w:rsidRDefault="00EC6B4E" w:rsidP="00EC6B4E">
            <w:pPr>
              <w:spacing w:line="240" w:lineRule="auto"/>
              <w:jc w:val="right"/>
              <w:rPr>
                <w:rFonts w:eastAsia="Times New Roman" w:cs="Arial"/>
                <w:color w:val="000000"/>
                <w:sz w:val="12"/>
                <w:szCs w:val="12"/>
                <w:lang w:val="de-CH" w:eastAsia="de-CH"/>
              </w:rPr>
            </w:pPr>
          </w:p>
        </w:tc>
        <w:tc>
          <w:tcPr>
            <w:tcW w:w="176" w:type="dxa"/>
            <w:tcBorders>
              <w:top w:val="nil"/>
              <w:left w:val="nil"/>
              <w:bottom w:val="nil"/>
              <w:right w:val="nil"/>
            </w:tcBorders>
            <w:shd w:val="clear" w:color="000000" w:fill="FFFFFF"/>
            <w:noWrap/>
            <w:vAlign w:val="bottom"/>
          </w:tcPr>
          <w:p w14:paraId="6C24F5AB" w14:textId="38DA9E73" w:rsidR="00EC6B4E" w:rsidRPr="00BE20BD" w:rsidRDefault="00EC6B4E" w:rsidP="00EC6B4E">
            <w:pPr>
              <w:spacing w:line="240" w:lineRule="auto"/>
              <w:rPr>
                <w:rFonts w:eastAsia="Times New Roman" w:cs="Arial"/>
                <w:color w:val="000000"/>
                <w:sz w:val="16"/>
                <w:szCs w:val="16"/>
                <w:lang w:val="de-CH" w:eastAsia="de-CH"/>
              </w:rPr>
            </w:pPr>
          </w:p>
        </w:tc>
        <w:tc>
          <w:tcPr>
            <w:tcW w:w="676" w:type="dxa"/>
            <w:tcBorders>
              <w:top w:val="nil"/>
              <w:left w:val="nil"/>
              <w:bottom w:val="nil"/>
              <w:right w:val="nil"/>
            </w:tcBorders>
            <w:shd w:val="clear" w:color="000000" w:fill="F2F2F2"/>
            <w:noWrap/>
            <w:vAlign w:val="bottom"/>
          </w:tcPr>
          <w:p w14:paraId="60F18BF8" w14:textId="4A4E4C86" w:rsidR="00EC6B4E" w:rsidRPr="00BE20BD" w:rsidRDefault="00EC6B4E" w:rsidP="00EC6B4E">
            <w:pPr>
              <w:spacing w:line="240" w:lineRule="auto"/>
              <w:jc w:val="right"/>
              <w:rPr>
                <w:rFonts w:eastAsia="Times New Roman" w:cs="Arial"/>
                <w:color w:val="000000"/>
                <w:sz w:val="16"/>
                <w:szCs w:val="16"/>
                <w:lang w:val="de-CH" w:eastAsia="de-CH"/>
              </w:rPr>
            </w:pPr>
          </w:p>
        </w:tc>
        <w:tc>
          <w:tcPr>
            <w:tcW w:w="596" w:type="dxa"/>
            <w:tcBorders>
              <w:top w:val="nil"/>
              <w:left w:val="nil"/>
              <w:bottom w:val="nil"/>
              <w:right w:val="nil"/>
            </w:tcBorders>
            <w:shd w:val="clear" w:color="000000" w:fill="FFFFFF"/>
            <w:noWrap/>
            <w:vAlign w:val="bottom"/>
          </w:tcPr>
          <w:p w14:paraId="2D9383D5" w14:textId="44E2C28C" w:rsidR="00EC6B4E" w:rsidRPr="00BE20BD" w:rsidRDefault="00EC6B4E" w:rsidP="00EC6B4E">
            <w:pPr>
              <w:spacing w:line="240" w:lineRule="auto"/>
              <w:jc w:val="right"/>
              <w:rPr>
                <w:rFonts w:eastAsia="Times New Roman" w:cs="Arial"/>
                <w:color w:val="000000"/>
                <w:sz w:val="12"/>
                <w:szCs w:val="12"/>
                <w:lang w:val="de-CH" w:eastAsia="de-CH"/>
              </w:rPr>
            </w:pPr>
          </w:p>
        </w:tc>
        <w:tc>
          <w:tcPr>
            <w:tcW w:w="296" w:type="dxa"/>
            <w:tcBorders>
              <w:top w:val="nil"/>
              <w:left w:val="nil"/>
              <w:bottom w:val="nil"/>
              <w:right w:val="nil"/>
            </w:tcBorders>
            <w:shd w:val="clear" w:color="000000" w:fill="FFFFFF"/>
            <w:noWrap/>
            <w:vAlign w:val="bottom"/>
          </w:tcPr>
          <w:p w14:paraId="0F355AF3" w14:textId="66CC40E7" w:rsidR="00EC6B4E" w:rsidRPr="00BE20BD" w:rsidRDefault="00EC6B4E" w:rsidP="00EC6B4E">
            <w:pPr>
              <w:spacing w:line="240" w:lineRule="auto"/>
              <w:rPr>
                <w:rFonts w:eastAsia="Times New Roman" w:cs="Arial"/>
                <w:color w:val="000000"/>
                <w:sz w:val="16"/>
                <w:szCs w:val="16"/>
                <w:lang w:val="de-CH" w:eastAsia="de-CH"/>
              </w:rPr>
            </w:pPr>
          </w:p>
        </w:tc>
        <w:tc>
          <w:tcPr>
            <w:tcW w:w="876" w:type="dxa"/>
            <w:tcBorders>
              <w:top w:val="nil"/>
              <w:left w:val="nil"/>
              <w:bottom w:val="nil"/>
              <w:right w:val="nil"/>
            </w:tcBorders>
            <w:shd w:val="clear" w:color="000000" w:fill="F2F2F2"/>
            <w:noWrap/>
            <w:vAlign w:val="bottom"/>
          </w:tcPr>
          <w:p w14:paraId="0CEEC438" w14:textId="7955AC9F" w:rsidR="00EC6B4E" w:rsidRPr="00BE20BD" w:rsidRDefault="00EC6B4E" w:rsidP="00EC6B4E">
            <w:pPr>
              <w:spacing w:line="240" w:lineRule="auto"/>
              <w:jc w:val="right"/>
              <w:rPr>
                <w:rFonts w:eastAsia="Times New Roman" w:cs="Arial"/>
                <w:color w:val="000000"/>
                <w:sz w:val="16"/>
                <w:szCs w:val="16"/>
                <w:lang w:val="de-CH" w:eastAsia="de-CH"/>
              </w:rPr>
            </w:pPr>
          </w:p>
        </w:tc>
        <w:tc>
          <w:tcPr>
            <w:tcW w:w="696" w:type="dxa"/>
            <w:tcBorders>
              <w:top w:val="nil"/>
              <w:left w:val="nil"/>
              <w:bottom w:val="nil"/>
              <w:right w:val="nil"/>
            </w:tcBorders>
            <w:shd w:val="clear" w:color="000000" w:fill="F2F2F2"/>
            <w:noWrap/>
            <w:vAlign w:val="bottom"/>
          </w:tcPr>
          <w:p w14:paraId="3EEA44B4" w14:textId="643FA97A" w:rsidR="00EC6B4E" w:rsidRPr="00BE20BD" w:rsidRDefault="00EC6B4E" w:rsidP="00EC6B4E">
            <w:pPr>
              <w:spacing w:line="240" w:lineRule="auto"/>
              <w:jc w:val="right"/>
              <w:rPr>
                <w:rFonts w:eastAsia="Times New Roman" w:cs="Arial"/>
                <w:color w:val="000000"/>
                <w:sz w:val="16"/>
                <w:szCs w:val="16"/>
                <w:lang w:val="de-CH" w:eastAsia="de-CH"/>
              </w:rPr>
            </w:pPr>
          </w:p>
        </w:tc>
      </w:tr>
      <w:tr w:rsidR="00EC6B4E" w:rsidRPr="00BE20BD" w14:paraId="59D0B988" w14:textId="77777777" w:rsidTr="00EC6B4E">
        <w:trPr>
          <w:trHeight w:val="255"/>
        </w:trPr>
        <w:tc>
          <w:tcPr>
            <w:tcW w:w="3056" w:type="dxa"/>
            <w:tcBorders>
              <w:top w:val="nil"/>
              <w:left w:val="nil"/>
              <w:bottom w:val="nil"/>
              <w:right w:val="nil"/>
            </w:tcBorders>
            <w:shd w:val="clear" w:color="000000" w:fill="FFFFFF"/>
            <w:noWrap/>
            <w:vAlign w:val="center"/>
            <w:hideMark/>
          </w:tcPr>
          <w:p w14:paraId="7550D324" w14:textId="3DF7D1ED" w:rsidR="009B5DD2" w:rsidRPr="00BE20BD" w:rsidRDefault="00EC6B4E" w:rsidP="00EC6B4E">
            <w:pPr>
              <w:spacing w:line="240" w:lineRule="auto"/>
              <w:rPr>
                <w:rFonts w:eastAsia="Times New Roman" w:cs="Arial"/>
                <w:color w:val="000000"/>
                <w:sz w:val="12"/>
                <w:szCs w:val="12"/>
                <w:lang w:val="en-US" w:eastAsia="de-CH"/>
              </w:rPr>
            </w:pPr>
            <w:r w:rsidRPr="00BE20BD">
              <w:rPr>
                <w:rFonts w:eastAsia="Times New Roman" w:cs="Arial"/>
                <w:color w:val="000000"/>
                <w:sz w:val="12"/>
                <w:szCs w:val="12"/>
                <w:lang w:val="en-US" w:eastAsia="de-CH"/>
              </w:rPr>
              <w:t xml:space="preserve">    Best estimate of insurance liabilities</w:t>
            </w:r>
          </w:p>
        </w:tc>
        <w:tc>
          <w:tcPr>
            <w:tcW w:w="216" w:type="dxa"/>
            <w:tcBorders>
              <w:top w:val="nil"/>
              <w:left w:val="nil"/>
              <w:bottom w:val="nil"/>
              <w:right w:val="nil"/>
            </w:tcBorders>
            <w:shd w:val="clear" w:color="000000" w:fill="FFFFFF"/>
            <w:noWrap/>
            <w:vAlign w:val="bottom"/>
            <w:hideMark/>
          </w:tcPr>
          <w:p w14:paraId="38C10371" w14:textId="77777777" w:rsidR="00EC6B4E" w:rsidRPr="00BE20BD" w:rsidRDefault="00EC6B4E" w:rsidP="00EC6B4E">
            <w:pPr>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856" w:type="dxa"/>
            <w:tcBorders>
              <w:top w:val="nil"/>
              <w:left w:val="nil"/>
              <w:bottom w:val="nil"/>
              <w:right w:val="nil"/>
            </w:tcBorders>
            <w:shd w:val="clear" w:color="000000" w:fill="FFFFFF"/>
            <w:noWrap/>
            <w:vAlign w:val="bottom"/>
          </w:tcPr>
          <w:p w14:paraId="5FADC729" w14:textId="2D14ED07" w:rsidR="00EC6B4E" w:rsidRPr="00BE20BD" w:rsidRDefault="00EC6B4E" w:rsidP="00EC6B4E">
            <w:pPr>
              <w:spacing w:line="240" w:lineRule="auto"/>
              <w:jc w:val="right"/>
              <w:rPr>
                <w:rFonts w:eastAsia="Times New Roman" w:cs="Arial"/>
                <w:color w:val="000000"/>
                <w:sz w:val="16"/>
                <w:szCs w:val="16"/>
                <w:lang w:val="en-US" w:eastAsia="de-CH"/>
              </w:rPr>
            </w:pPr>
          </w:p>
        </w:tc>
        <w:tc>
          <w:tcPr>
            <w:tcW w:w="576" w:type="dxa"/>
            <w:tcBorders>
              <w:top w:val="nil"/>
              <w:left w:val="nil"/>
              <w:bottom w:val="nil"/>
              <w:right w:val="nil"/>
            </w:tcBorders>
            <w:shd w:val="clear" w:color="000000" w:fill="FFFFFF"/>
            <w:noWrap/>
            <w:vAlign w:val="bottom"/>
          </w:tcPr>
          <w:p w14:paraId="28BE6A2E" w14:textId="69EC6614" w:rsidR="00EC6B4E" w:rsidRPr="00BE20BD" w:rsidRDefault="00EC6B4E" w:rsidP="00EC6B4E">
            <w:pPr>
              <w:spacing w:line="240" w:lineRule="auto"/>
              <w:jc w:val="right"/>
              <w:rPr>
                <w:rFonts w:eastAsia="Times New Roman" w:cs="Arial"/>
                <w:color w:val="000000"/>
                <w:sz w:val="12"/>
                <w:szCs w:val="12"/>
                <w:lang w:val="en-US" w:eastAsia="de-CH"/>
              </w:rPr>
            </w:pPr>
          </w:p>
        </w:tc>
        <w:tc>
          <w:tcPr>
            <w:tcW w:w="176" w:type="dxa"/>
            <w:tcBorders>
              <w:top w:val="nil"/>
              <w:left w:val="nil"/>
              <w:bottom w:val="nil"/>
              <w:right w:val="nil"/>
            </w:tcBorders>
            <w:shd w:val="clear" w:color="000000" w:fill="FFFFFF"/>
            <w:noWrap/>
            <w:vAlign w:val="bottom"/>
          </w:tcPr>
          <w:p w14:paraId="2BFC2AF9" w14:textId="281FE04B" w:rsidR="00EC6B4E" w:rsidRPr="00BE20BD" w:rsidRDefault="00EC6B4E" w:rsidP="00EC6B4E">
            <w:pPr>
              <w:spacing w:line="240" w:lineRule="auto"/>
              <w:rPr>
                <w:rFonts w:eastAsia="Times New Roman" w:cs="Arial"/>
                <w:color w:val="000000"/>
                <w:sz w:val="16"/>
                <w:szCs w:val="16"/>
                <w:lang w:val="en-US" w:eastAsia="de-CH"/>
              </w:rPr>
            </w:pPr>
          </w:p>
        </w:tc>
        <w:tc>
          <w:tcPr>
            <w:tcW w:w="676" w:type="dxa"/>
            <w:tcBorders>
              <w:top w:val="nil"/>
              <w:left w:val="nil"/>
              <w:bottom w:val="nil"/>
              <w:right w:val="nil"/>
            </w:tcBorders>
            <w:shd w:val="clear" w:color="000000" w:fill="FFFFFF"/>
            <w:noWrap/>
            <w:vAlign w:val="bottom"/>
          </w:tcPr>
          <w:p w14:paraId="04095825" w14:textId="026642DE" w:rsidR="00EC6B4E" w:rsidRPr="00BE20BD" w:rsidRDefault="00EC6B4E" w:rsidP="00EC6B4E">
            <w:pPr>
              <w:spacing w:line="240" w:lineRule="auto"/>
              <w:jc w:val="right"/>
              <w:rPr>
                <w:rFonts w:eastAsia="Times New Roman" w:cs="Arial"/>
                <w:color w:val="000000"/>
                <w:sz w:val="16"/>
                <w:szCs w:val="16"/>
                <w:lang w:val="en-US" w:eastAsia="de-CH"/>
              </w:rPr>
            </w:pPr>
          </w:p>
        </w:tc>
        <w:tc>
          <w:tcPr>
            <w:tcW w:w="596" w:type="dxa"/>
            <w:tcBorders>
              <w:top w:val="nil"/>
              <w:left w:val="nil"/>
              <w:bottom w:val="nil"/>
              <w:right w:val="nil"/>
            </w:tcBorders>
            <w:shd w:val="clear" w:color="000000" w:fill="FFFFFF"/>
            <w:noWrap/>
            <w:vAlign w:val="bottom"/>
          </w:tcPr>
          <w:p w14:paraId="75873411" w14:textId="205F4852" w:rsidR="00EC6B4E" w:rsidRPr="00BE20BD" w:rsidRDefault="00EC6B4E" w:rsidP="00EC6B4E">
            <w:pPr>
              <w:spacing w:line="240" w:lineRule="auto"/>
              <w:jc w:val="right"/>
              <w:rPr>
                <w:rFonts w:eastAsia="Times New Roman" w:cs="Arial"/>
                <w:color w:val="000000"/>
                <w:sz w:val="12"/>
                <w:szCs w:val="12"/>
                <w:lang w:val="en-US" w:eastAsia="de-CH"/>
              </w:rPr>
            </w:pPr>
          </w:p>
        </w:tc>
        <w:tc>
          <w:tcPr>
            <w:tcW w:w="296" w:type="dxa"/>
            <w:tcBorders>
              <w:top w:val="nil"/>
              <w:left w:val="nil"/>
              <w:bottom w:val="nil"/>
              <w:right w:val="nil"/>
            </w:tcBorders>
            <w:shd w:val="clear" w:color="000000" w:fill="FFFFFF"/>
            <w:noWrap/>
            <w:vAlign w:val="bottom"/>
          </w:tcPr>
          <w:p w14:paraId="5EE56BF5" w14:textId="230F6340" w:rsidR="00EC6B4E" w:rsidRPr="00BE20BD" w:rsidRDefault="00EC6B4E" w:rsidP="00EC6B4E">
            <w:pPr>
              <w:spacing w:line="240" w:lineRule="auto"/>
              <w:rPr>
                <w:rFonts w:eastAsia="Times New Roman" w:cs="Arial"/>
                <w:color w:val="000000"/>
                <w:sz w:val="16"/>
                <w:szCs w:val="16"/>
                <w:lang w:val="en-US" w:eastAsia="de-CH"/>
              </w:rPr>
            </w:pPr>
          </w:p>
        </w:tc>
        <w:tc>
          <w:tcPr>
            <w:tcW w:w="876" w:type="dxa"/>
            <w:tcBorders>
              <w:top w:val="nil"/>
              <w:left w:val="nil"/>
              <w:bottom w:val="nil"/>
              <w:right w:val="nil"/>
            </w:tcBorders>
            <w:shd w:val="clear" w:color="000000" w:fill="FFFFFF"/>
            <w:noWrap/>
            <w:vAlign w:val="bottom"/>
          </w:tcPr>
          <w:p w14:paraId="226B728B" w14:textId="66BAB06E" w:rsidR="00EC6B4E" w:rsidRPr="00BE20BD" w:rsidRDefault="00EC6B4E" w:rsidP="00EC6B4E">
            <w:pPr>
              <w:spacing w:line="240" w:lineRule="auto"/>
              <w:jc w:val="right"/>
              <w:rPr>
                <w:rFonts w:eastAsia="Times New Roman" w:cs="Arial"/>
                <w:color w:val="000000"/>
                <w:sz w:val="16"/>
                <w:szCs w:val="16"/>
                <w:lang w:val="en-US" w:eastAsia="de-CH"/>
              </w:rPr>
            </w:pPr>
          </w:p>
        </w:tc>
        <w:tc>
          <w:tcPr>
            <w:tcW w:w="696" w:type="dxa"/>
            <w:tcBorders>
              <w:top w:val="nil"/>
              <w:left w:val="nil"/>
              <w:bottom w:val="nil"/>
              <w:right w:val="nil"/>
            </w:tcBorders>
            <w:shd w:val="clear" w:color="000000" w:fill="FFFFFF"/>
            <w:noWrap/>
            <w:vAlign w:val="bottom"/>
          </w:tcPr>
          <w:p w14:paraId="0F15FE7D" w14:textId="03942E23" w:rsidR="00EC6B4E" w:rsidRPr="00BE20BD" w:rsidRDefault="00EC6B4E" w:rsidP="00EC6B4E">
            <w:pPr>
              <w:spacing w:line="240" w:lineRule="auto"/>
              <w:jc w:val="right"/>
              <w:rPr>
                <w:rFonts w:eastAsia="Times New Roman" w:cs="Arial"/>
                <w:color w:val="000000"/>
                <w:sz w:val="16"/>
                <w:szCs w:val="16"/>
                <w:lang w:val="en-US" w:eastAsia="de-CH"/>
              </w:rPr>
            </w:pPr>
          </w:p>
        </w:tc>
      </w:tr>
      <w:tr w:rsidR="00A93428" w:rsidRPr="00BE20BD" w14:paraId="62B1159B" w14:textId="77777777" w:rsidTr="00EC6B4E">
        <w:trPr>
          <w:trHeight w:val="255"/>
        </w:trPr>
        <w:tc>
          <w:tcPr>
            <w:tcW w:w="3056" w:type="dxa"/>
            <w:tcBorders>
              <w:top w:val="nil"/>
              <w:left w:val="nil"/>
              <w:bottom w:val="nil"/>
              <w:right w:val="nil"/>
            </w:tcBorders>
            <w:shd w:val="clear" w:color="000000" w:fill="FFFFFF"/>
            <w:noWrap/>
            <w:vAlign w:val="center"/>
          </w:tcPr>
          <w:p w14:paraId="44B2BAC2" w14:textId="370A9A3A" w:rsidR="00A93428" w:rsidRPr="00BE20BD" w:rsidRDefault="00A93428" w:rsidP="00EC6B4E">
            <w:pPr>
              <w:spacing w:line="240" w:lineRule="auto"/>
              <w:rPr>
                <w:rFonts w:eastAsia="Times New Roman" w:cs="Arial"/>
                <w:color w:val="000000"/>
                <w:sz w:val="12"/>
                <w:szCs w:val="12"/>
                <w:lang w:val="en-US" w:eastAsia="de-CH"/>
              </w:rPr>
            </w:pPr>
            <w:r w:rsidRPr="00BE20BD">
              <w:rPr>
                <w:rFonts w:eastAsia="Times New Roman" w:cs="Arial"/>
                <w:color w:val="000000"/>
                <w:sz w:val="12"/>
                <w:szCs w:val="12"/>
                <w:lang w:val="en-US" w:eastAsia="de-CH"/>
              </w:rPr>
              <w:t xml:space="preserve">    Market value margin (MVM)</w:t>
            </w:r>
          </w:p>
        </w:tc>
        <w:tc>
          <w:tcPr>
            <w:tcW w:w="216" w:type="dxa"/>
            <w:tcBorders>
              <w:top w:val="nil"/>
              <w:left w:val="nil"/>
              <w:bottom w:val="nil"/>
              <w:right w:val="nil"/>
            </w:tcBorders>
            <w:shd w:val="clear" w:color="000000" w:fill="FFFFFF"/>
            <w:noWrap/>
            <w:vAlign w:val="bottom"/>
          </w:tcPr>
          <w:p w14:paraId="17B37C5F" w14:textId="77777777" w:rsidR="00A93428" w:rsidRPr="00BE20BD" w:rsidRDefault="00A93428" w:rsidP="00EC6B4E">
            <w:pPr>
              <w:spacing w:line="240" w:lineRule="auto"/>
              <w:rPr>
                <w:rFonts w:eastAsia="Times New Roman" w:cs="Arial"/>
                <w:color w:val="000000"/>
                <w:sz w:val="16"/>
                <w:szCs w:val="16"/>
                <w:lang w:val="en-US" w:eastAsia="de-CH"/>
              </w:rPr>
            </w:pPr>
          </w:p>
        </w:tc>
        <w:tc>
          <w:tcPr>
            <w:tcW w:w="856" w:type="dxa"/>
            <w:tcBorders>
              <w:top w:val="nil"/>
              <w:left w:val="nil"/>
              <w:bottom w:val="nil"/>
              <w:right w:val="nil"/>
            </w:tcBorders>
            <w:shd w:val="clear" w:color="000000" w:fill="FFFFFF"/>
            <w:noWrap/>
            <w:vAlign w:val="bottom"/>
          </w:tcPr>
          <w:p w14:paraId="5BB6FE75" w14:textId="77777777" w:rsidR="00A93428" w:rsidRPr="00BE20BD" w:rsidRDefault="00A93428" w:rsidP="00EC6B4E">
            <w:pPr>
              <w:spacing w:line="240" w:lineRule="auto"/>
              <w:jc w:val="right"/>
              <w:rPr>
                <w:rFonts w:eastAsia="Times New Roman" w:cs="Arial"/>
                <w:color w:val="000000"/>
                <w:sz w:val="16"/>
                <w:szCs w:val="16"/>
                <w:lang w:val="en-US" w:eastAsia="de-CH"/>
              </w:rPr>
            </w:pPr>
          </w:p>
        </w:tc>
        <w:tc>
          <w:tcPr>
            <w:tcW w:w="576" w:type="dxa"/>
            <w:tcBorders>
              <w:top w:val="nil"/>
              <w:left w:val="nil"/>
              <w:bottom w:val="nil"/>
              <w:right w:val="nil"/>
            </w:tcBorders>
            <w:shd w:val="clear" w:color="000000" w:fill="FFFFFF"/>
            <w:noWrap/>
            <w:vAlign w:val="bottom"/>
          </w:tcPr>
          <w:p w14:paraId="164CC651" w14:textId="77777777" w:rsidR="00A93428" w:rsidRPr="00BE20BD" w:rsidRDefault="00A93428" w:rsidP="00EC6B4E">
            <w:pPr>
              <w:spacing w:line="240" w:lineRule="auto"/>
              <w:jc w:val="right"/>
              <w:rPr>
                <w:rFonts w:eastAsia="Times New Roman" w:cs="Arial"/>
                <w:color w:val="000000"/>
                <w:sz w:val="12"/>
                <w:szCs w:val="12"/>
                <w:lang w:val="en-US" w:eastAsia="de-CH"/>
              </w:rPr>
            </w:pPr>
          </w:p>
        </w:tc>
        <w:tc>
          <w:tcPr>
            <w:tcW w:w="176" w:type="dxa"/>
            <w:tcBorders>
              <w:top w:val="nil"/>
              <w:left w:val="nil"/>
              <w:bottom w:val="nil"/>
              <w:right w:val="nil"/>
            </w:tcBorders>
            <w:shd w:val="clear" w:color="000000" w:fill="FFFFFF"/>
            <w:noWrap/>
            <w:vAlign w:val="bottom"/>
          </w:tcPr>
          <w:p w14:paraId="1A60D5EA" w14:textId="77777777" w:rsidR="00A93428" w:rsidRPr="00BE20BD" w:rsidRDefault="00A93428" w:rsidP="00EC6B4E">
            <w:pPr>
              <w:spacing w:line="240" w:lineRule="auto"/>
              <w:rPr>
                <w:rFonts w:eastAsia="Times New Roman" w:cs="Arial"/>
                <w:color w:val="000000"/>
                <w:sz w:val="16"/>
                <w:szCs w:val="16"/>
                <w:lang w:val="en-US" w:eastAsia="de-CH"/>
              </w:rPr>
            </w:pPr>
          </w:p>
        </w:tc>
        <w:tc>
          <w:tcPr>
            <w:tcW w:w="676" w:type="dxa"/>
            <w:tcBorders>
              <w:top w:val="nil"/>
              <w:left w:val="nil"/>
              <w:bottom w:val="nil"/>
              <w:right w:val="nil"/>
            </w:tcBorders>
            <w:shd w:val="clear" w:color="000000" w:fill="FFFFFF"/>
            <w:noWrap/>
            <w:vAlign w:val="bottom"/>
          </w:tcPr>
          <w:p w14:paraId="0FFB263C" w14:textId="77777777" w:rsidR="00A93428" w:rsidRPr="00BE20BD" w:rsidRDefault="00A93428" w:rsidP="00EC6B4E">
            <w:pPr>
              <w:spacing w:line="240" w:lineRule="auto"/>
              <w:jc w:val="right"/>
              <w:rPr>
                <w:rFonts w:eastAsia="Times New Roman" w:cs="Arial"/>
                <w:color w:val="000000"/>
                <w:sz w:val="16"/>
                <w:szCs w:val="16"/>
                <w:lang w:val="en-US" w:eastAsia="de-CH"/>
              </w:rPr>
            </w:pPr>
          </w:p>
        </w:tc>
        <w:tc>
          <w:tcPr>
            <w:tcW w:w="596" w:type="dxa"/>
            <w:tcBorders>
              <w:top w:val="nil"/>
              <w:left w:val="nil"/>
              <w:bottom w:val="nil"/>
              <w:right w:val="nil"/>
            </w:tcBorders>
            <w:shd w:val="clear" w:color="000000" w:fill="FFFFFF"/>
            <w:noWrap/>
            <w:vAlign w:val="bottom"/>
          </w:tcPr>
          <w:p w14:paraId="30F6966D" w14:textId="77777777" w:rsidR="00A93428" w:rsidRPr="00BE20BD" w:rsidRDefault="00A93428" w:rsidP="00EC6B4E">
            <w:pPr>
              <w:spacing w:line="240" w:lineRule="auto"/>
              <w:jc w:val="right"/>
              <w:rPr>
                <w:rFonts w:eastAsia="Times New Roman" w:cs="Arial"/>
                <w:color w:val="000000"/>
                <w:sz w:val="12"/>
                <w:szCs w:val="12"/>
                <w:lang w:val="en-US" w:eastAsia="de-CH"/>
              </w:rPr>
            </w:pPr>
          </w:p>
        </w:tc>
        <w:tc>
          <w:tcPr>
            <w:tcW w:w="296" w:type="dxa"/>
            <w:tcBorders>
              <w:top w:val="nil"/>
              <w:left w:val="nil"/>
              <w:bottom w:val="nil"/>
              <w:right w:val="nil"/>
            </w:tcBorders>
            <w:shd w:val="clear" w:color="000000" w:fill="FFFFFF"/>
            <w:noWrap/>
            <w:vAlign w:val="bottom"/>
          </w:tcPr>
          <w:p w14:paraId="7EF5AA23" w14:textId="77777777" w:rsidR="00A93428" w:rsidRPr="00BE20BD" w:rsidRDefault="00A93428" w:rsidP="00EC6B4E">
            <w:pPr>
              <w:spacing w:line="240" w:lineRule="auto"/>
              <w:rPr>
                <w:rFonts w:eastAsia="Times New Roman" w:cs="Arial"/>
                <w:color w:val="000000"/>
                <w:sz w:val="16"/>
                <w:szCs w:val="16"/>
                <w:lang w:val="en-US" w:eastAsia="de-CH"/>
              </w:rPr>
            </w:pPr>
          </w:p>
        </w:tc>
        <w:tc>
          <w:tcPr>
            <w:tcW w:w="876" w:type="dxa"/>
            <w:tcBorders>
              <w:top w:val="nil"/>
              <w:left w:val="nil"/>
              <w:bottom w:val="nil"/>
              <w:right w:val="nil"/>
            </w:tcBorders>
            <w:shd w:val="clear" w:color="000000" w:fill="FFFFFF"/>
            <w:noWrap/>
            <w:vAlign w:val="bottom"/>
          </w:tcPr>
          <w:p w14:paraId="318CF90D" w14:textId="77777777" w:rsidR="00A93428" w:rsidRPr="00BE20BD" w:rsidRDefault="00A93428" w:rsidP="00EC6B4E">
            <w:pPr>
              <w:spacing w:line="240" w:lineRule="auto"/>
              <w:jc w:val="right"/>
              <w:rPr>
                <w:rFonts w:eastAsia="Times New Roman" w:cs="Arial"/>
                <w:color w:val="000000"/>
                <w:sz w:val="16"/>
                <w:szCs w:val="16"/>
                <w:lang w:val="en-US" w:eastAsia="de-CH"/>
              </w:rPr>
            </w:pPr>
          </w:p>
        </w:tc>
        <w:tc>
          <w:tcPr>
            <w:tcW w:w="696" w:type="dxa"/>
            <w:tcBorders>
              <w:top w:val="nil"/>
              <w:left w:val="nil"/>
              <w:bottom w:val="nil"/>
              <w:right w:val="nil"/>
            </w:tcBorders>
            <w:shd w:val="clear" w:color="000000" w:fill="FFFFFF"/>
            <w:noWrap/>
            <w:vAlign w:val="bottom"/>
          </w:tcPr>
          <w:p w14:paraId="083B36C7" w14:textId="77777777" w:rsidR="00A93428" w:rsidRPr="00BE20BD" w:rsidRDefault="00A93428" w:rsidP="00EC6B4E">
            <w:pPr>
              <w:spacing w:line="240" w:lineRule="auto"/>
              <w:jc w:val="right"/>
              <w:rPr>
                <w:rFonts w:eastAsia="Times New Roman" w:cs="Arial"/>
                <w:color w:val="000000"/>
                <w:sz w:val="16"/>
                <w:szCs w:val="16"/>
                <w:lang w:val="en-US" w:eastAsia="de-CH"/>
              </w:rPr>
            </w:pPr>
          </w:p>
        </w:tc>
      </w:tr>
      <w:tr w:rsidR="00EC6B4E" w:rsidRPr="00BE20BD" w14:paraId="2242D2D5" w14:textId="77777777" w:rsidTr="00EC6B4E">
        <w:trPr>
          <w:trHeight w:val="255"/>
        </w:trPr>
        <w:tc>
          <w:tcPr>
            <w:tcW w:w="3056" w:type="dxa"/>
            <w:tcBorders>
              <w:top w:val="nil"/>
              <w:left w:val="nil"/>
              <w:bottom w:val="nil"/>
              <w:right w:val="nil"/>
            </w:tcBorders>
            <w:shd w:val="clear" w:color="000000" w:fill="FFFFFF"/>
            <w:noWrap/>
            <w:vAlign w:val="center"/>
            <w:hideMark/>
          </w:tcPr>
          <w:p w14:paraId="376A721F" w14:textId="74803DDF" w:rsidR="00EC6B4E" w:rsidRPr="00BE20BD" w:rsidRDefault="00EC6B4E" w:rsidP="00EC6B4E">
            <w:pPr>
              <w:spacing w:line="240" w:lineRule="auto"/>
              <w:rPr>
                <w:rFonts w:eastAsia="Times New Roman" w:cs="Arial"/>
                <w:color w:val="000000"/>
                <w:sz w:val="12"/>
                <w:szCs w:val="12"/>
                <w:lang w:val="en-US" w:eastAsia="de-CH"/>
              </w:rPr>
            </w:pPr>
            <w:r w:rsidRPr="00BE20BD">
              <w:rPr>
                <w:rFonts w:eastAsia="Times New Roman" w:cs="Arial"/>
                <w:color w:val="000000"/>
                <w:sz w:val="12"/>
                <w:szCs w:val="12"/>
                <w:lang w:val="en-US" w:eastAsia="de-CH"/>
              </w:rPr>
              <w:t xml:space="preserve">    Market</w:t>
            </w:r>
            <w:r w:rsidR="002502C1" w:rsidRPr="00BE20BD">
              <w:rPr>
                <w:rFonts w:eastAsia="Times New Roman" w:cs="Arial"/>
                <w:color w:val="000000"/>
                <w:sz w:val="12"/>
                <w:szCs w:val="12"/>
                <w:lang w:val="en-US" w:eastAsia="de-CH"/>
              </w:rPr>
              <w:t xml:space="preserve"> </w:t>
            </w:r>
            <w:proofErr w:type="gramStart"/>
            <w:r w:rsidRPr="00BE20BD">
              <w:rPr>
                <w:rFonts w:eastAsia="Times New Roman" w:cs="Arial"/>
                <w:color w:val="000000"/>
                <w:sz w:val="12"/>
                <w:szCs w:val="12"/>
                <w:lang w:val="en-US" w:eastAsia="de-CH"/>
              </w:rPr>
              <w:t>con</w:t>
            </w:r>
            <w:r w:rsidR="009777F3" w:rsidRPr="00BE20BD">
              <w:rPr>
                <w:rFonts w:eastAsia="Times New Roman" w:cs="Arial"/>
                <w:color w:val="000000"/>
                <w:sz w:val="12"/>
                <w:szCs w:val="12"/>
                <w:lang w:val="en-US" w:eastAsia="de-CH"/>
              </w:rPr>
              <w:t>form</w:t>
            </w:r>
            <w:proofErr w:type="gramEnd"/>
            <w:r w:rsidRPr="00BE20BD">
              <w:rPr>
                <w:rFonts w:eastAsia="Times New Roman" w:cs="Arial"/>
                <w:color w:val="000000"/>
                <w:sz w:val="12"/>
                <w:szCs w:val="12"/>
                <w:lang w:val="en-US" w:eastAsia="de-CH"/>
              </w:rPr>
              <w:t xml:space="preserve"> value of other liabilities</w:t>
            </w:r>
          </w:p>
        </w:tc>
        <w:tc>
          <w:tcPr>
            <w:tcW w:w="216" w:type="dxa"/>
            <w:tcBorders>
              <w:top w:val="nil"/>
              <w:left w:val="nil"/>
              <w:bottom w:val="nil"/>
              <w:right w:val="nil"/>
            </w:tcBorders>
            <w:shd w:val="clear" w:color="000000" w:fill="FFFFFF"/>
            <w:noWrap/>
            <w:vAlign w:val="bottom"/>
            <w:hideMark/>
          </w:tcPr>
          <w:p w14:paraId="09A8CF54" w14:textId="77777777" w:rsidR="00EC6B4E" w:rsidRPr="00BE20BD" w:rsidRDefault="00EC6B4E" w:rsidP="00EC6B4E">
            <w:pPr>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856" w:type="dxa"/>
            <w:tcBorders>
              <w:top w:val="nil"/>
              <w:left w:val="nil"/>
              <w:bottom w:val="nil"/>
              <w:right w:val="nil"/>
            </w:tcBorders>
            <w:shd w:val="clear" w:color="000000" w:fill="FFFFFF"/>
            <w:noWrap/>
            <w:vAlign w:val="bottom"/>
          </w:tcPr>
          <w:p w14:paraId="2C26889B" w14:textId="0D3CCE70" w:rsidR="00EC6B4E" w:rsidRPr="00BE20BD" w:rsidRDefault="00EC6B4E" w:rsidP="00EC6B4E">
            <w:pPr>
              <w:spacing w:line="240" w:lineRule="auto"/>
              <w:jc w:val="right"/>
              <w:rPr>
                <w:rFonts w:eastAsia="Times New Roman" w:cs="Arial"/>
                <w:color w:val="000000"/>
                <w:sz w:val="16"/>
                <w:szCs w:val="16"/>
                <w:lang w:val="en-US" w:eastAsia="de-CH"/>
              </w:rPr>
            </w:pPr>
          </w:p>
        </w:tc>
        <w:tc>
          <w:tcPr>
            <w:tcW w:w="576" w:type="dxa"/>
            <w:tcBorders>
              <w:top w:val="nil"/>
              <w:left w:val="nil"/>
              <w:bottom w:val="nil"/>
              <w:right w:val="nil"/>
            </w:tcBorders>
            <w:shd w:val="clear" w:color="000000" w:fill="FFFFFF"/>
            <w:noWrap/>
            <w:vAlign w:val="bottom"/>
          </w:tcPr>
          <w:p w14:paraId="5D5379E6" w14:textId="0A4ED48D" w:rsidR="00EC6B4E" w:rsidRPr="00BE20BD" w:rsidRDefault="00EC6B4E" w:rsidP="00EC6B4E">
            <w:pPr>
              <w:spacing w:line="240" w:lineRule="auto"/>
              <w:jc w:val="right"/>
              <w:rPr>
                <w:rFonts w:eastAsia="Times New Roman" w:cs="Arial"/>
                <w:color w:val="000000"/>
                <w:sz w:val="12"/>
                <w:szCs w:val="12"/>
                <w:lang w:val="en-US" w:eastAsia="de-CH"/>
              </w:rPr>
            </w:pPr>
          </w:p>
        </w:tc>
        <w:tc>
          <w:tcPr>
            <w:tcW w:w="176" w:type="dxa"/>
            <w:tcBorders>
              <w:top w:val="nil"/>
              <w:left w:val="nil"/>
              <w:bottom w:val="nil"/>
              <w:right w:val="nil"/>
            </w:tcBorders>
            <w:shd w:val="clear" w:color="000000" w:fill="FFFFFF"/>
            <w:noWrap/>
            <w:vAlign w:val="bottom"/>
          </w:tcPr>
          <w:p w14:paraId="6678535B" w14:textId="1F11D616" w:rsidR="00EC6B4E" w:rsidRPr="00BE20BD" w:rsidRDefault="00EC6B4E" w:rsidP="00EC6B4E">
            <w:pPr>
              <w:spacing w:line="240" w:lineRule="auto"/>
              <w:rPr>
                <w:rFonts w:eastAsia="Times New Roman" w:cs="Arial"/>
                <w:color w:val="000000"/>
                <w:sz w:val="16"/>
                <w:szCs w:val="16"/>
                <w:lang w:val="en-US" w:eastAsia="de-CH"/>
              </w:rPr>
            </w:pPr>
          </w:p>
        </w:tc>
        <w:tc>
          <w:tcPr>
            <w:tcW w:w="676" w:type="dxa"/>
            <w:tcBorders>
              <w:top w:val="nil"/>
              <w:left w:val="nil"/>
              <w:bottom w:val="nil"/>
              <w:right w:val="nil"/>
            </w:tcBorders>
            <w:shd w:val="clear" w:color="000000" w:fill="FFFFFF"/>
            <w:noWrap/>
            <w:vAlign w:val="bottom"/>
          </w:tcPr>
          <w:p w14:paraId="3122ABFE" w14:textId="3A56629C" w:rsidR="00EC6B4E" w:rsidRPr="00BE20BD" w:rsidRDefault="00EC6B4E" w:rsidP="00EC6B4E">
            <w:pPr>
              <w:spacing w:line="240" w:lineRule="auto"/>
              <w:jc w:val="right"/>
              <w:rPr>
                <w:rFonts w:eastAsia="Times New Roman" w:cs="Arial"/>
                <w:color w:val="000000"/>
                <w:sz w:val="16"/>
                <w:szCs w:val="16"/>
                <w:lang w:val="en-US" w:eastAsia="de-CH"/>
              </w:rPr>
            </w:pPr>
          </w:p>
        </w:tc>
        <w:tc>
          <w:tcPr>
            <w:tcW w:w="596" w:type="dxa"/>
            <w:tcBorders>
              <w:top w:val="nil"/>
              <w:left w:val="nil"/>
              <w:bottom w:val="nil"/>
              <w:right w:val="nil"/>
            </w:tcBorders>
            <w:shd w:val="clear" w:color="000000" w:fill="FFFFFF"/>
            <w:noWrap/>
            <w:vAlign w:val="bottom"/>
          </w:tcPr>
          <w:p w14:paraId="1A2CF243" w14:textId="5BE34EE4" w:rsidR="00EC6B4E" w:rsidRPr="00BE20BD" w:rsidRDefault="00EC6B4E" w:rsidP="00EC6B4E">
            <w:pPr>
              <w:spacing w:line="240" w:lineRule="auto"/>
              <w:jc w:val="right"/>
              <w:rPr>
                <w:rFonts w:eastAsia="Times New Roman" w:cs="Arial"/>
                <w:color w:val="000000"/>
                <w:sz w:val="12"/>
                <w:szCs w:val="12"/>
                <w:lang w:val="en-US" w:eastAsia="de-CH"/>
              </w:rPr>
            </w:pPr>
          </w:p>
        </w:tc>
        <w:tc>
          <w:tcPr>
            <w:tcW w:w="296" w:type="dxa"/>
            <w:tcBorders>
              <w:top w:val="nil"/>
              <w:left w:val="nil"/>
              <w:bottom w:val="nil"/>
              <w:right w:val="nil"/>
            </w:tcBorders>
            <w:shd w:val="clear" w:color="000000" w:fill="FFFFFF"/>
            <w:noWrap/>
            <w:vAlign w:val="bottom"/>
          </w:tcPr>
          <w:p w14:paraId="4956B6A7" w14:textId="4FF09725" w:rsidR="00EC6B4E" w:rsidRPr="00BE20BD" w:rsidRDefault="00EC6B4E" w:rsidP="00EC6B4E">
            <w:pPr>
              <w:spacing w:line="240" w:lineRule="auto"/>
              <w:rPr>
                <w:rFonts w:eastAsia="Times New Roman" w:cs="Arial"/>
                <w:color w:val="000000"/>
                <w:sz w:val="16"/>
                <w:szCs w:val="16"/>
                <w:lang w:val="en-US" w:eastAsia="de-CH"/>
              </w:rPr>
            </w:pPr>
          </w:p>
        </w:tc>
        <w:tc>
          <w:tcPr>
            <w:tcW w:w="876" w:type="dxa"/>
            <w:tcBorders>
              <w:top w:val="nil"/>
              <w:left w:val="nil"/>
              <w:bottom w:val="nil"/>
              <w:right w:val="nil"/>
            </w:tcBorders>
            <w:shd w:val="clear" w:color="000000" w:fill="FFFFFF"/>
            <w:noWrap/>
            <w:vAlign w:val="bottom"/>
          </w:tcPr>
          <w:p w14:paraId="1EA9F4FE" w14:textId="25BC9D70" w:rsidR="00EC6B4E" w:rsidRPr="00BE20BD" w:rsidRDefault="00EC6B4E" w:rsidP="00EC6B4E">
            <w:pPr>
              <w:spacing w:line="240" w:lineRule="auto"/>
              <w:jc w:val="right"/>
              <w:rPr>
                <w:rFonts w:eastAsia="Times New Roman" w:cs="Arial"/>
                <w:color w:val="000000"/>
                <w:sz w:val="16"/>
                <w:szCs w:val="16"/>
                <w:lang w:val="en-US" w:eastAsia="de-CH"/>
              </w:rPr>
            </w:pPr>
          </w:p>
        </w:tc>
        <w:tc>
          <w:tcPr>
            <w:tcW w:w="696" w:type="dxa"/>
            <w:tcBorders>
              <w:top w:val="nil"/>
              <w:left w:val="nil"/>
              <w:bottom w:val="nil"/>
              <w:right w:val="nil"/>
            </w:tcBorders>
            <w:shd w:val="clear" w:color="000000" w:fill="FFFFFF"/>
            <w:noWrap/>
            <w:vAlign w:val="bottom"/>
          </w:tcPr>
          <w:p w14:paraId="79288352" w14:textId="16D5DE44" w:rsidR="00EC6B4E" w:rsidRPr="00BE20BD" w:rsidRDefault="00EC6B4E" w:rsidP="00EC6B4E">
            <w:pPr>
              <w:spacing w:line="240" w:lineRule="auto"/>
              <w:jc w:val="right"/>
              <w:rPr>
                <w:rFonts w:eastAsia="Times New Roman" w:cs="Arial"/>
                <w:color w:val="000000"/>
                <w:sz w:val="16"/>
                <w:szCs w:val="16"/>
                <w:lang w:val="en-US" w:eastAsia="de-CH"/>
              </w:rPr>
            </w:pPr>
          </w:p>
        </w:tc>
      </w:tr>
      <w:tr w:rsidR="00EC6B4E" w:rsidRPr="00BE20BD" w14:paraId="4FF086B5" w14:textId="77777777" w:rsidTr="00EC6B4E">
        <w:trPr>
          <w:trHeight w:val="255"/>
        </w:trPr>
        <w:tc>
          <w:tcPr>
            <w:tcW w:w="3056" w:type="dxa"/>
            <w:tcBorders>
              <w:top w:val="nil"/>
              <w:left w:val="nil"/>
              <w:bottom w:val="nil"/>
              <w:right w:val="nil"/>
            </w:tcBorders>
            <w:shd w:val="clear" w:color="000000" w:fill="F2F2F2"/>
            <w:noWrap/>
            <w:vAlign w:val="bottom"/>
            <w:hideMark/>
          </w:tcPr>
          <w:p w14:paraId="789EFA89" w14:textId="77777777" w:rsidR="00EC6B4E" w:rsidRPr="00BE20BD" w:rsidRDefault="00EC6B4E" w:rsidP="00EC6B4E">
            <w:pPr>
              <w:spacing w:line="240" w:lineRule="auto"/>
              <w:rPr>
                <w:rFonts w:eastAsia="Times New Roman" w:cs="Arial"/>
                <w:color w:val="000000"/>
                <w:sz w:val="16"/>
                <w:szCs w:val="16"/>
                <w:lang w:val="de-CH" w:eastAsia="de-CH"/>
              </w:rPr>
            </w:pPr>
            <w:proofErr w:type="spellStart"/>
            <w:r w:rsidRPr="00BE20BD">
              <w:rPr>
                <w:rFonts w:eastAsia="Times New Roman" w:cs="Arial"/>
                <w:color w:val="000000"/>
                <w:sz w:val="16"/>
                <w:szCs w:val="16"/>
                <w:lang w:val="de-CH" w:eastAsia="de-CH"/>
              </w:rPr>
              <w:t>Deductions</w:t>
            </w:r>
            <w:proofErr w:type="spellEnd"/>
          </w:p>
        </w:tc>
        <w:tc>
          <w:tcPr>
            <w:tcW w:w="216" w:type="dxa"/>
            <w:tcBorders>
              <w:top w:val="nil"/>
              <w:left w:val="nil"/>
              <w:bottom w:val="nil"/>
              <w:right w:val="nil"/>
            </w:tcBorders>
            <w:shd w:val="clear" w:color="000000" w:fill="FFFFFF"/>
            <w:noWrap/>
            <w:vAlign w:val="bottom"/>
            <w:hideMark/>
          </w:tcPr>
          <w:p w14:paraId="05FE4CB7" w14:textId="77777777" w:rsidR="00EC6B4E" w:rsidRPr="00BE20BD" w:rsidRDefault="00EC6B4E" w:rsidP="00EC6B4E">
            <w:pPr>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856" w:type="dxa"/>
            <w:tcBorders>
              <w:top w:val="nil"/>
              <w:left w:val="nil"/>
              <w:bottom w:val="nil"/>
              <w:right w:val="nil"/>
            </w:tcBorders>
            <w:shd w:val="clear" w:color="000000" w:fill="F2F2F2"/>
            <w:noWrap/>
            <w:vAlign w:val="bottom"/>
          </w:tcPr>
          <w:p w14:paraId="07D1AE2C" w14:textId="11AA1AB3" w:rsidR="00EC6B4E" w:rsidRPr="00BE20BD" w:rsidRDefault="00EC6B4E" w:rsidP="00EC6B4E">
            <w:pPr>
              <w:spacing w:line="240" w:lineRule="auto"/>
              <w:jc w:val="right"/>
              <w:rPr>
                <w:rFonts w:eastAsia="Times New Roman" w:cs="Arial"/>
                <w:color w:val="000000"/>
                <w:sz w:val="16"/>
                <w:szCs w:val="16"/>
                <w:lang w:val="de-CH" w:eastAsia="de-CH"/>
              </w:rPr>
            </w:pPr>
          </w:p>
        </w:tc>
        <w:tc>
          <w:tcPr>
            <w:tcW w:w="576" w:type="dxa"/>
            <w:tcBorders>
              <w:top w:val="nil"/>
              <w:left w:val="nil"/>
              <w:bottom w:val="nil"/>
              <w:right w:val="nil"/>
            </w:tcBorders>
            <w:shd w:val="clear" w:color="000000" w:fill="FFFFFF"/>
            <w:noWrap/>
            <w:vAlign w:val="bottom"/>
          </w:tcPr>
          <w:p w14:paraId="12138F7A" w14:textId="0FE9A6A1" w:rsidR="00EC6B4E" w:rsidRPr="00BE20BD" w:rsidRDefault="00EC6B4E" w:rsidP="00EC6B4E">
            <w:pPr>
              <w:spacing w:line="240" w:lineRule="auto"/>
              <w:rPr>
                <w:rFonts w:eastAsia="Times New Roman" w:cs="Arial"/>
                <w:color w:val="000000"/>
                <w:sz w:val="12"/>
                <w:szCs w:val="12"/>
                <w:lang w:val="de-CH" w:eastAsia="de-CH"/>
              </w:rPr>
            </w:pPr>
          </w:p>
        </w:tc>
        <w:tc>
          <w:tcPr>
            <w:tcW w:w="176" w:type="dxa"/>
            <w:tcBorders>
              <w:top w:val="nil"/>
              <w:left w:val="nil"/>
              <w:bottom w:val="nil"/>
              <w:right w:val="nil"/>
            </w:tcBorders>
            <w:shd w:val="clear" w:color="000000" w:fill="FFFFFF"/>
            <w:noWrap/>
            <w:vAlign w:val="bottom"/>
          </w:tcPr>
          <w:p w14:paraId="1373E55C" w14:textId="41B9CC91" w:rsidR="00EC6B4E" w:rsidRPr="00BE20BD" w:rsidRDefault="00EC6B4E" w:rsidP="00EC6B4E">
            <w:pPr>
              <w:spacing w:line="240" w:lineRule="auto"/>
              <w:rPr>
                <w:rFonts w:eastAsia="Times New Roman" w:cs="Arial"/>
                <w:color w:val="000000"/>
                <w:sz w:val="16"/>
                <w:szCs w:val="16"/>
                <w:lang w:val="de-CH" w:eastAsia="de-CH"/>
              </w:rPr>
            </w:pPr>
          </w:p>
        </w:tc>
        <w:tc>
          <w:tcPr>
            <w:tcW w:w="676" w:type="dxa"/>
            <w:tcBorders>
              <w:top w:val="nil"/>
              <w:left w:val="nil"/>
              <w:bottom w:val="nil"/>
              <w:right w:val="nil"/>
            </w:tcBorders>
            <w:shd w:val="clear" w:color="000000" w:fill="F2F2F2"/>
            <w:noWrap/>
            <w:vAlign w:val="bottom"/>
          </w:tcPr>
          <w:p w14:paraId="6032AA13" w14:textId="4BC43889" w:rsidR="00EC6B4E" w:rsidRPr="00BE20BD" w:rsidRDefault="00EC6B4E" w:rsidP="00EC6B4E">
            <w:pPr>
              <w:spacing w:line="240" w:lineRule="auto"/>
              <w:jc w:val="right"/>
              <w:rPr>
                <w:rFonts w:eastAsia="Times New Roman" w:cs="Arial"/>
                <w:color w:val="000000"/>
                <w:sz w:val="16"/>
                <w:szCs w:val="16"/>
                <w:lang w:val="de-CH" w:eastAsia="de-CH"/>
              </w:rPr>
            </w:pPr>
          </w:p>
        </w:tc>
        <w:tc>
          <w:tcPr>
            <w:tcW w:w="596" w:type="dxa"/>
            <w:tcBorders>
              <w:top w:val="nil"/>
              <w:left w:val="nil"/>
              <w:bottom w:val="nil"/>
              <w:right w:val="nil"/>
            </w:tcBorders>
            <w:shd w:val="clear" w:color="000000" w:fill="FFFFFF"/>
            <w:noWrap/>
            <w:vAlign w:val="bottom"/>
          </w:tcPr>
          <w:p w14:paraId="12B388D3" w14:textId="15FDFC49" w:rsidR="00EC6B4E" w:rsidRPr="00BE20BD" w:rsidRDefault="00EC6B4E" w:rsidP="00EC6B4E">
            <w:pPr>
              <w:spacing w:line="240" w:lineRule="auto"/>
              <w:rPr>
                <w:rFonts w:eastAsia="Times New Roman" w:cs="Arial"/>
                <w:color w:val="000000"/>
                <w:sz w:val="12"/>
                <w:szCs w:val="12"/>
                <w:lang w:val="de-CH" w:eastAsia="de-CH"/>
              </w:rPr>
            </w:pPr>
          </w:p>
        </w:tc>
        <w:tc>
          <w:tcPr>
            <w:tcW w:w="296" w:type="dxa"/>
            <w:tcBorders>
              <w:top w:val="nil"/>
              <w:left w:val="nil"/>
              <w:bottom w:val="nil"/>
              <w:right w:val="nil"/>
            </w:tcBorders>
            <w:shd w:val="clear" w:color="000000" w:fill="FFFFFF"/>
            <w:noWrap/>
            <w:vAlign w:val="bottom"/>
          </w:tcPr>
          <w:p w14:paraId="0C94CC0A" w14:textId="5D5B6351" w:rsidR="00EC6B4E" w:rsidRPr="00BE20BD" w:rsidRDefault="00EC6B4E" w:rsidP="00EC6B4E">
            <w:pPr>
              <w:spacing w:line="240" w:lineRule="auto"/>
              <w:rPr>
                <w:rFonts w:eastAsia="Times New Roman" w:cs="Arial"/>
                <w:color w:val="000000"/>
                <w:sz w:val="16"/>
                <w:szCs w:val="16"/>
                <w:lang w:val="de-CH" w:eastAsia="de-CH"/>
              </w:rPr>
            </w:pPr>
          </w:p>
        </w:tc>
        <w:tc>
          <w:tcPr>
            <w:tcW w:w="876" w:type="dxa"/>
            <w:tcBorders>
              <w:top w:val="nil"/>
              <w:left w:val="nil"/>
              <w:bottom w:val="nil"/>
              <w:right w:val="nil"/>
            </w:tcBorders>
            <w:shd w:val="clear" w:color="000000" w:fill="F2F2F2"/>
            <w:noWrap/>
            <w:vAlign w:val="bottom"/>
          </w:tcPr>
          <w:p w14:paraId="436456C0" w14:textId="4F752D65" w:rsidR="00EC6B4E" w:rsidRPr="00BE20BD" w:rsidRDefault="00EC6B4E" w:rsidP="00EC6B4E">
            <w:pPr>
              <w:spacing w:line="240" w:lineRule="auto"/>
              <w:jc w:val="right"/>
              <w:rPr>
                <w:rFonts w:eastAsia="Times New Roman" w:cs="Arial"/>
                <w:color w:val="000000"/>
                <w:sz w:val="16"/>
                <w:szCs w:val="16"/>
                <w:lang w:val="de-CH" w:eastAsia="de-CH"/>
              </w:rPr>
            </w:pPr>
          </w:p>
        </w:tc>
        <w:tc>
          <w:tcPr>
            <w:tcW w:w="696" w:type="dxa"/>
            <w:tcBorders>
              <w:top w:val="nil"/>
              <w:left w:val="nil"/>
              <w:bottom w:val="nil"/>
              <w:right w:val="nil"/>
            </w:tcBorders>
            <w:shd w:val="clear" w:color="000000" w:fill="F2F2F2"/>
            <w:noWrap/>
            <w:vAlign w:val="bottom"/>
          </w:tcPr>
          <w:p w14:paraId="7B60E9A6" w14:textId="70C84E6A" w:rsidR="00EC6B4E" w:rsidRPr="00BE20BD" w:rsidRDefault="00EC6B4E" w:rsidP="00EC6B4E">
            <w:pPr>
              <w:spacing w:line="240" w:lineRule="auto"/>
              <w:jc w:val="right"/>
              <w:rPr>
                <w:rFonts w:eastAsia="Times New Roman" w:cs="Arial"/>
                <w:color w:val="000000"/>
                <w:sz w:val="16"/>
                <w:szCs w:val="16"/>
                <w:lang w:val="de-CH" w:eastAsia="de-CH"/>
              </w:rPr>
            </w:pPr>
          </w:p>
        </w:tc>
      </w:tr>
      <w:tr w:rsidR="00EC6B4E" w:rsidRPr="00BE20BD" w14:paraId="743F1338" w14:textId="77777777" w:rsidTr="00EC6B4E">
        <w:trPr>
          <w:trHeight w:val="255"/>
        </w:trPr>
        <w:tc>
          <w:tcPr>
            <w:tcW w:w="3056" w:type="dxa"/>
            <w:tcBorders>
              <w:top w:val="nil"/>
              <w:left w:val="nil"/>
              <w:bottom w:val="single" w:sz="4" w:space="0" w:color="auto"/>
              <w:right w:val="nil"/>
            </w:tcBorders>
            <w:shd w:val="clear" w:color="000000" w:fill="F2F2F2"/>
            <w:noWrap/>
            <w:vAlign w:val="bottom"/>
            <w:hideMark/>
          </w:tcPr>
          <w:p w14:paraId="596C9BE7" w14:textId="013A689A" w:rsidR="00EC6B4E" w:rsidRPr="00BE20BD" w:rsidRDefault="000E6985" w:rsidP="00EC6B4E">
            <w:pPr>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RA</w:t>
            </w:r>
            <w:r w:rsidR="002502C1" w:rsidRPr="00BE20BD">
              <w:rPr>
                <w:rFonts w:eastAsia="Times New Roman" w:cs="Arial"/>
                <w:color w:val="000000"/>
                <w:sz w:val="16"/>
                <w:szCs w:val="16"/>
                <w:lang w:val="en-US" w:eastAsia="de-CH"/>
              </w:rPr>
              <w:t>K</w:t>
            </w:r>
            <w:r w:rsidR="002B3995" w:rsidRPr="00BE20BD">
              <w:rPr>
                <w:rStyle w:val="FootnoteReference"/>
                <w:rFonts w:eastAsia="Times New Roman" w:cs="Arial"/>
                <w:color w:val="000000"/>
                <w:sz w:val="16"/>
                <w:szCs w:val="16"/>
                <w:lang w:val="en-US" w:eastAsia="de-CH"/>
              </w:rPr>
              <w:footnoteReference w:id="1"/>
            </w:r>
            <w:r w:rsidR="002C158C" w:rsidRPr="00BE20BD">
              <w:rPr>
                <w:rFonts w:eastAsia="Times New Roman" w:cs="Arial"/>
                <w:color w:val="000000"/>
                <w:sz w:val="16"/>
                <w:szCs w:val="16"/>
                <w:lang w:val="en-US" w:eastAsia="de-CH"/>
              </w:rPr>
              <w:t xml:space="preserve"> </w:t>
            </w:r>
            <w:r w:rsidR="002B3995" w:rsidRPr="00BE20BD">
              <w:rPr>
                <w:rFonts w:eastAsia="Times New Roman" w:cs="Arial"/>
                <w:color w:val="000000"/>
                <w:sz w:val="16"/>
                <w:szCs w:val="16"/>
                <w:lang w:val="en-US" w:eastAsia="de-CH"/>
              </w:rPr>
              <w:t>(</w:t>
            </w:r>
            <w:r w:rsidR="001B6F3C" w:rsidRPr="00BE20BD">
              <w:rPr>
                <w:rFonts w:eastAsia="Times New Roman" w:cs="Arial"/>
                <w:color w:val="000000"/>
                <w:sz w:val="16"/>
                <w:szCs w:val="16"/>
                <w:lang w:val="en-US" w:eastAsia="de-CH"/>
              </w:rPr>
              <w:t>counted towards</w:t>
            </w:r>
            <w:r w:rsidR="006014F8" w:rsidRPr="00BE20BD">
              <w:rPr>
                <w:rFonts w:eastAsia="Times New Roman" w:cs="Arial"/>
                <w:color w:val="000000"/>
                <w:sz w:val="16"/>
                <w:szCs w:val="16"/>
                <w:lang w:val="en-US" w:eastAsia="de-CH"/>
              </w:rPr>
              <w:t xml:space="preserve"> RBC)</w:t>
            </w:r>
          </w:p>
        </w:tc>
        <w:tc>
          <w:tcPr>
            <w:tcW w:w="216" w:type="dxa"/>
            <w:tcBorders>
              <w:top w:val="nil"/>
              <w:left w:val="nil"/>
              <w:bottom w:val="single" w:sz="4" w:space="0" w:color="auto"/>
              <w:right w:val="nil"/>
            </w:tcBorders>
            <w:shd w:val="clear" w:color="000000" w:fill="FFFFFF"/>
            <w:noWrap/>
            <w:vAlign w:val="bottom"/>
            <w:hideMark/>
          </w:tcPr>
          <w:p w14:paraId="36A5D811" w14:textId="77777777" w:rsidR="00EC6B4E" w:rsidRPr="00BE20BD" w:rsidRDefault="00EC6B4E" w:rsidP="00EC6B4E">
            <w:pPr>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856" w:type="dxa"/>
            <w:tcBorders>
              <w:top w:val="nil"/>
              <w:left w:val="nil"/>
              <w:bottom w:val="single" w:sz="4" w:space="0" w:color="auto"/>
              <w:right w:val="nil"/>
            </w:tcBorders>
            <w:shd w:val="clear" w:color="000000" w:fill="F2F2F2"/>
            <w:noWrap/>
            <w:vAlign w:val="bottom"/>
          </w:tcPr>
          <w:p w14:paraId="135ED447" w14:textId="19F716DC" w:rsidR="00EC6B4E" w:rsidRPr="00BE20BD" w:rsidRDefault="00EC6B4E" w:rsidP="00EC6B4E">
            <w:pPr>
              <w:spacing w:line="240" w:lineRule="auto"/>
              <w:jc w:val="right"/>
              <w:rPr>
                <w:rFonts w:eastAsia="Times New Roman" w:cs="Arial"/>
                <w:color w:val="000000"/>
                <w:sz w:val="16"/>
                <w:szCs w:val="16"/>
                <w:lang w:val="en-US" w:eastAsia="de-CH"/>
              </w:rPr>
            </w:pPr>
          </w:p>
        </w:tc>
        <w:tc>
          <w:tcPr>
            <w:tcW w:w="576" w:type="dxa"/>
            <w:tcBorders>
              <w:top w:val="nil"/>
              <w:left w:val="nil"/>
              <w:bottom w:val="single" w:sz="4" w:space="0" w:color="auto"/>
              <w:right w:val="nil"/>
            </w:tcBorders>
            <w:shd w:val="clear" w:color="000000" w:fill="FFFFFF"/>
            <w:noWrap/>
            <w:vAlign w:val="bottom"/>
          </w:tcPr>
          <w:p w14:paraId="380261F0" w14:textId="437C7DE8" w:rsidR="00EC6B4E" w:rsidRPr="00BE20BD" w:rsidRDefault="00EC6B4E" w:rsidP="00EC6B4E">
            <w:pPr>
              <w:spacing w:line="240" w:lineRule="auto"/>
              <w:jc w:val="right"/>
              <w:rPr>
                <w:rFonts w:eastAsia="Times New Roman" w:cs="Arial"/>
                <w:color w:val="000000"/>
                <w:sz w:val="12"/>
                <w:szCs w:val="12"/>
                <w:lang w:val="en-US" w:eastAsia="de-CH"/>
              </w:rPr>
            </w:pPr>
          </w:p>
        </w:tc>
        <w:tc>
          <w:tcPr>
            <w:tcW w:w="176" w:type="dxa"/>
            <w:tcBorders>
              <w:top w:val="nil"/>
              <w:left w:val="nil"/>
              <w:bottom w:val="single" w:sz="4" w:space="0" w:color="auto"/>
              <w:right w:val="nil"/>
            </w:tcBorders>
            <w:shd w:val="clear" w:color="000000" w:fill="FFFFFF"/>
            <w:noWrap/>
            <w:vAlign w:val="bottom"/>
          </w:tcPr>
          <w:p w14:paraId="4E740C3A" w14:textId="7784FA1F" w:rsidR="00EC6B4E" w:rsidRPr="00BE20BD" w:rsidRDefault="00EC6B4E" w:rsidP="00EC6B4E">
            <w:pPr>
              <w:spacing w:line="240" w:lineRule="auto"/>
              <w:rPr>
                <w:rFonts w:eastAsia="Times New Roman" w:cs="Arial"/>
                <w:color w:val="000000"/>
                <w:sz w:val="16"/>
                <w:szCs w:val="16"/>
                <w:lang w:val="en-US" w:eastAsia="de-CH"/>
              </w:rPr>
            </w:pPr>
          </w:p>
        </w:tc>
        <w:tc>
          <w:tcPr>
            <w:tcW w:w="676" w:type="dxa"/>
            <w:tcBorders>
              <w:top w:val="nil"/>
              <w:left w:val="nil"/>
              <w:bottom w:val="single" w:sz="4" w:space="0" w:color="auto"/>
              <w:right w:val="nil"/>
            </w:tcBorders>
            <w:shd w:val="clear" w:color="000000" w:fill="F2F2F2"/>
            <w:noWrap/>
            <w:vAlign w:val="bottom"/>
          </w:tcPr>
          <w:p w14:paraId="5505F751" w14:textId="06F170E7" w:rsidR="00EC6B4E" w:rsidRPr="00BE20BD" w:rsidRDefault="00EC6B4E" w:rsidP="00EC6B4E">
            <w:pPr>
              <w:spacing w:line="240" w:lineRule="auto"/>
              <w:jc w:val="right"/>
              <w:rPr>
                <w:rFonts w:eastAsia="Times New Roman" w:cs="Arial"/>
                <w:color w:val="000000"/>
                <w:sz w:val="16"/>
                <w:szCs w:val="16"/>
                <w:lang w:val="en-US" w:eastAsia="de-CH"/>
              </w:rPr>
            </w:pPr>
          </w:p>
        </w:tc>
        <w:tc>
          <w:tcPr>
            <w:tcW w:w="596" w:type="dxa"/>
            <w:tcBorders>
              <w:top w:val="nil"/>
              <w:left w:val="nil"/>
              <w:bottom w:val="single" w:sz="4" w:space="0" w:color="auto"/>
              <w:right w:val="nil"/>
            </w:tcBorders>
            <w:shd w:val="clear" w:color="000000" w:fill="FFFFFF"/>
            <w:noWrap/>
            <w:vAlign w:val="bottom"/>
          </w:tcPr>
          <w:p w14:paraId="60EDCDFE" w14:textId="5F52CF8E" w:rsidR="00EC6B4E" w:rsidRPr="00BE20BD" w:rsidRDefault="00EC6B4E" w:rsidP="00EC6B4E">
            <w:pPr>
              <w:spacing w:line="240" w:lineRule="auto"/>
              <w:jc w:val="right"/>
              <w:rPr>
                <w:rFonts w:eastAsia="Times New Roman" w:cs="Arial"/>
                <w:color w:val="000000"/>
                <w:sz w:val="12"/>
                <w:szCs w:val="12"/>
                <w:lang w:val="en-US" w:eastAsia="de-CH"/>
              </w:rPr>
            </w:pPr>
          </w:p>
        </w:tc>
        <w:tc>
          <w:tcPr>
            <w:tcW w:w="296" w:type="dxa"/>
            <w:tcBorders>
              <w:top w:val="nil"/>
              <w:left w:val="nil"/>
              <w:bottom w:val="single" w:sz="4" w:space="0" w:color="auto"/>
              <w:right w:val="nil"/>
            </w:tcBorders>
            <w:shd w:val="clear" w:color="000000" w:fill="FFFFFF"/>
            <w:noWrap/>
            <w:vAlign w:val="bottom"/>
          </w:tcPr>
          <w:p w14:paraId="1E0474DF" w14:textId="6BB379C1" w:rsidR="00EC6B4E" w:rsidRPr="00BE20BD" w:rsidRDefault="00EC6B4E" w:rsidP="00EC6B4E">
            <w:pPr>
              <w:spacing w:line="240" w:lineRule="auto"/>
              <w:rPr>
                <w:rFonts w:eastAsia="Times New Roman" w:cs="Arial"/>
                <w:color w:val="000000"/>
                <w:sz w:val="16"/>
                <w:szCs w:val="16"/>
                <w:lang w:val="en-US" w:eastAsia="de-CH"/>
              </w:rPr>
            </w:pPr>
          </w:p>
        </w:tc>
        <w:tc>
          <w:tcPr>
            <w:tcW w:w="876" w:type="dxa"/>
            <w:tcBorders>
              <w:top w:val="nil"/>
              <w:left w:val="nil"/>
              <w:bottom w:val="single" w:sz="4" w:space="0" w:color="auto"/>
              <w:right w:val="nil"/>
            </w:tcBorders>
            <w:shd w:val="clear" w:color="000000" w:fill="F2F2F2"/>
            <w:noWrap/>
            <w:vAlign w:val="bottom"/>
          </w:tcPr>
          <w:p w14:paraId="2C04628F" w14:textId="3117736A" w:rsidR="00EC6B4E" w:rsidRPr="00BE20BD" w:rsidRDefault="00EC6B4E" w:rsidP="00EC6B4E">
            <w:pPr>
              <w:spacing w:line="240" w:lineRule="auto"/>
              <w:jc w:val="right"/>
              <w:rPr>
                <w:rFonts w:eastAsia="Times New Roman" w:cs="Arial"/>
                <w:color w:val="000000"/>
                <w:sz w:val="16"/>
                <w:szCs w:val="16"/>
                <w:lang w:val="en-US" w:eastAsia="de-CH"/>
              </w:rPr>
            </w:pPr>
          </w:p>
        </w:tc>
        <w:tc>
          <w:tcPr>
            <w:tcW w:w="696" w:type="dxa"/>
            <w:tcBorders>
              <w:top w:val="nil"/>
              <w:left w:val="nil"/>
              <w:bottom w:val="single" w:sz="4" w:space="0" w:color="auto"/>
              <w:right w:val="nil"/>
            </w:tcBorders>
            <w:shd w:val="clear" w:color="000000" w:fill="F2F2F2"/>
            <w:noWrap/>
            <w:vAlign w:val="bottom"/>
          </w:tcPr>
          <w:p w14:paraId="3F45CFBB" w14:textId="45CEFEF2" w:rsidR="00EC6B4E" w:rsidRPr="00BE20BD" w:rsidRDefault="00EC6B4E" w:rsidP="00EC6B4E">
            <w:pPr>
              <w:spacing w:line="240" w:lineRule="auto"/>
              <w:jc w:val="right"/>
              <w:rPr>
                <w:rFonts w:eastAsia="Times New Roman" w:cs="Arial"/>
                <w:color w:val="000000"/>
                <w:sz w:val="16"/>
                <w:szCs w:val="16"/>
                <w:lang w:val="en-US" w:eastAsia="de-CH"/>
              </w:rPr>
            </w:pPr>
          </w:p>
        </w:tc>
      </w:tr>
    </w:tbl>
    <w:p w14:paraId="48A5FDBB" w14:textId="77777777" w:rsidR="008B021F" w:rsidRPr="00BE20BD" w:rsidRDefault="008B021F" w:rsidP="00D60D73">
      <w:pPr>
        <w:pStyle w:val="FINMAStandardAbsatz"/>
        <w:spacing w:before="100" w:beforeAutospacing="1" w:after="100" w:afterAutospacing="1" w:line="240" w:lineRule="auto"/>
      </w:pPr>
    </w:p>
    <w:p w14:paraId="7A1B5BDA" w14:textId="78F78A08" w:rsidR="00D41EB0" w:rsidRPr="00BE20BD" w:rsidRDefault="00D41EB0" w:rsidP="00D60D73">
      <w:pPr>
        <w:pStyle w:val="Heading2"/>
      </w:pPr>
      <w:bookmarkStart w:id="36" w:name="_Toc148445945"/>
      <w:bookmarkStart w:id="37" w:name="_Toc534297740"/>
      <w:r w:rsidRPr="00BE20BD">
        <w:t>Assets</w:t>
      </w:r>
      <w:bookmarkEnd w:id="36"/>
      <w:r w:rsidRPr="00BE20BD">
        <w:t xml:space="preserve"> </w:t>
      </w:r>
      <w:bookmarkEnd w:id="37"/>
    </w:p>
    <w:p w14:paraId="06C713DA" w14:textId="2314071A" w:rsidR="00D41EB0" w:rsidRPr="00BE20BD" w:rsidRDefault="00D41EB0" w:rsidP="00D60D73">
      <w:pPr>
        <w:pStyle w:val="FINMAStandardAbsatz"/>
      </w:pPr>
      <w:r w:rsidRPr="00BE20BD">
        <w:t>Margin numbers 155 to 157, 164, 165 and 169</w:t>
      </w:r>
    </w:p>
    <w:p w14:paraId="2E638789" w14:textId="63677E9A" w:rsidR="003F0431" w:rsidRPr="00BE20BD" w:rsidRDefault="003F0431" w:rsidP="00D60D73">
      <w:pPr>
        <w:pStyle w:val="FINMAStandardAbsatz"/>
        <w:rPr>
          <w:noProof/>
        </w:rPr>
      </w:pPr>
      <w:r w:rsidRPr="00BE20BD">
        <w:t xml:space="preserve">Provide the asset side of the SST balance sheet on the reference date and for the previous year with explanations relating </w:t>
      </w:r>
      <w:proofErr w:type="gramStart"/>
      <w:r w:rsidRPr="00BE20BD">
        <w:t>in particular to</w:t>
      </w:r>
      <w:proofErr w:type="gramEnd"/>
      <w:r w:rsidRPr="00BE20BD">
        <w:t>:</w:t>
      </w:r>
    </w:p>
    <w:p w14:paraId="194BFBAC" w14:textId="6DBD75BD" w:rsidR="00535142" w:rsidRPr="00BE20BD" w:rsidRDefault="00535142" w:rsidP="00D60D73">
      <w:pPr>
        <w:pStyle w:val="FINMAAufzhlungEbene2"/>
        <w:rPr>
          <w:noProof/>
        </w:rPr>
      </w:pPr>
      <w:r w:rsidRPr="00BE20BD">
        <w:t xml:space="preserve">Brief description of the individual components </w:t>
      </w:r>
    </w:p>
    <w:p w14:paraId="3B535B73" w14:textId="08AF2698" w:rsidR="003F0431" w:rsidRPr="00BE20BD" w:rsidRDefault="003F0431" w:rsidP="00D60D73">
      <w:pPr>
        <w:pStyle w:val="FINMAAufzhlungEbene2"/>
        <w:rPr>
          <w:noProof/>
        </w:rPr>
      </w:pPr>
      <w:r w:rsidRPr="00BE20BD">
        <w:t>Methodological approaches and models for market</w:t>
      </w:r>
      <w:r w:rsidR="002502C1" w:rsidRPr="00BE20BD">
        <w:t xml:space="preserve"> </w:t>
      </w:r>
      <w:r w:rsidRPr="00BE20BD">
        <w:t>con</w:t>
      </w:r>
      <w:r w:rsidR="0001338C" w:rsidRPr="00BE20BD">
        <w:t>form</w:t>
      </w:r>
      <w:r w:rsidRPr="00BE20BD">
        <w:t xml:space="preserve"> </w:t>
      </w:r>
      <w:proofErr w:type="gramStart"/>
      <w:r w:rsidRPr="00BE20BD">
        <w:t>valuation</w:t>
      </w:r>
      <w:proofErr w:type="gramEnd"/>
    </w:p>
    <w:p w14:paraId="07E82BF7" w14:textId="292B7785" w:rsidR="003F0431" w:rsidRPr="00BE20BD" w:rsidRDefault="003F0431" w:rsidP="00D60D73">
      <w:pPr>
        <w:pStyle w:val="FINMAAufzhlungEbene2"/>
        <w:rPr>
          <w:noProof/>
        </w:rPr>
      </w:pPr>
      <w:r w:rsidRPr="00BE20BD">
        <w:t xml:space="preserve">A quantitative and qualitative description of the main </w:t>
      </w:r>
      <w:r w:rsidR="00B25E0E" w:rsidRPr="00BE20BD">
        <w:t xml:space="preserve">positions </w:t>
      </w:r>
      <w:r w:rsidRPr="00BE20BD">
        <w:t>in the SST balance sheet on the reference date</w:t>
      </w:r>
    </w:p>
    <w:p w14:paraId="33C216A2" w14:textId="22A9F45B" w:rsidR="003F0431" w:rsidRPr="00BE20BD" w:rsidRDefault="003F0431" w:rsidP="00D60D73">
      <w:pPr>
        <w:pStyle w:val="FINMAAufzhlungEbene2"/>
        <w:rPr>
          <w:noProof/>
        </w:rPr>
      </w:pPr>
      <w:r w:rsidRPr="00BE20BD">
        <w:t>Explain any significant impact of selected balance sheet positions on the risk situation, particularly the impact of any risk concentrations</w:t>
      </w:r>
    </w:p>
    <w:p w14:paraId="77B9984B" w14:textId="7B97C285" w:rsidR="00760F2E" w:rsidRPr="00BE20BD" w:rsidRDefault="00760F2E" w:rsidP="00D60D73">
      <w:pPr>
        <w:pStyle w:val="FINMAAufzhlungEbene2"/>
        <w:rPr>
          <w:noProof/>
        </w:rPr>
      </w:pPr>
      <w:r w:rsidRPr="00BE20BD">
        <w:t xml:space="preserve">Explain </w:t>
      </w:r>
      <w:r w:rsidR="00B25E0E" w:rsidRPr="00BE20BD">
        <w:t>ou</w:t>
      </w:r>
      <w:r w:rsidR="009F4B1E" w:rsidRPr="00BE20BD">
        <w:t>t</w:t>
      </w:r>
      <w:r w:rsidR="00B25E0E" w:rsidRPr="00BE20BD">
        <w:t xml:space="preserve">ward </w:t>
      </w:r>
      <w:r w:rsidRPr="00BE20BD">
        <w:t>reinsurance</w:t>
      </w:r>
    </w:p>
    <w:p w14:paraId="01440994" w14:textId="1470D8BA" w:rsidR="00CF1B91" w:rsidRPr="00BE20BD" w:rsidRDefault="00FA04F3" w:rsidP="00D60D73">
      <w:pPr>
        <w:pStyle w:val="Heading2"/>
      </w:pPr>
      <w:bookmarkStart w:id="38" w:name="_Toc148445946"/>
      <w:r w:rsidRPr="00BE20BD">
        <w:t>Liabilities</w:t>
      </w:r>
      <w:bookmarkEnd w:id="38"/>
      <w:r w:rsidRPr="00BE20BD">
        <w:t xml:space="preserve"> </w:t>
      </w:r>
    </w:p>
    <w:p w14:paraId="52B84850" w14:textId="52614830" w:rsidR="00CF1B91" w:rsidRPr="00BE20BD" w:rsidRDefault="00CF1B91" w:rsidP="00D60D73">
      <w:pPr>
        <w:pStyle w:val="FINMAStandardAbsatz"/>
      </w:pPr>
      <w:r w:rsidRPr="00BE20BD">
        <w:t>Margin numbers 155 to 157, 164 and 165</w:t>
      </w:r>
    </w:p>
    <w:p w14:paraId="02BB17B5" w14:textId="70917E9A" w:rsidR="00CF1B91" w:rsidRPr="00BE20BD" w:rsidRDefault="00C836F8" w:rsidP="00D60D73">
      <w:pPr>
        <w:pStyle w:val="Heading3"/>
      </w:pPr>
      <w:bookmarkStart w:id="39" w:name="_Toc534297742"/>
      <w:bookmarkStart w:id="40" w:name="_Toc148445947"/>
      <w:r w:rsidRPr="00BE20BD">
        <w:lastRenderedPageBreak/>
        <w:t>Insurance portfolio</w:t>
      </w:r>
      <w:bookmarkEnd w:id="39"/>
      <w:bookmarkEnd w:id="40"/>
    </w:p>
    <w:p w14:paraId="4380E952" w14:textId="6DF53E93" w:rsidR="00C836F8" w:rsidRPr="00BE20BD" w:rsidRDefault="00C836F8" w:rsidP="00D60D73">
      <w:pPr>
        <w:pStyle w:val="FINMAStandardAbsatz"/>
      </w:pPr>
      <w:r w:rsidRPr="00BE20BD">
        <w:t>Brief qualitative description of the insurance portfolio with a discussion of significant changes compared with the prior year</w:t>
      </w:r>
    </w:p>
    <w:p w14:paraId="5E892AC8" w14:textId="36889D06" w:rsidR="00CF1B91" w:rsidRPr="00BE20BD" w:rsidRDefault="00CF1B91" w:rsidP="00D60D73">
      <w:pPr>
        <w:pStyle w:val="FINMAStandardAbsatz"/>
      </w:pPr>
      <w:r w:rsidRPr="00BE20BD">
        <w:rPr>
          <w:b/>
        </w:rPr>
        <w:t>Relevant tables</w:t>
      </w:r>
      <w:r w:rsidRPr="00BE20BD">
        <w:t xml:space="preserve"> with the main </w:t>
      </w:r>
      <w:proofErr w:type="spellStart"/>
      <w:r w:rsidRPr="00BE20BD">
        <w:t>LoBs</w:t>
      </w:r>
      <w:proofErr w:type="spellEnd"/>
      <w:r w:rsidRPr="00BE20BD">
        <w:t xml:space="preserve"> / product lines and suitable indicators and benchmarks (</w:t>
      </w:r>
      <w:proofErr w:type="gramStart"/>
      <w:r w:rsidRPr="00BE20BD">
        <w:t>e.g.</w:t>
      </w:r>
      <w:proofErr w:type="gramEnd"/>
      <w:r w:rsidRPr="00BE20BD">
        <w:t xml:space="preserve"> premium income, size of portfolio, </w:t>
      </w:r>
      <w:r w:rsidR="00B25E0E" w:rsidRPr="00BE20BD">
        <w:t>[</w:t>
      </w:r>
      <w:r w:rsidRPr="00BE20BD">
        <w:t>market</w:t>
      </w:r>
      <w:r w:rsidR="002502C1" w:rsidRPr="00BE20BD">
        <w:t xml:space="preserve"> </w:t>
      </w:r>
      <w:r w:rsidRPr="00BE20BD">
        <w:t>con</w:t>
      </w:r>
      <w:r w:rsidR="00B176DB" w:rsidRPr="00BE20BD">
        <w:t>form</w:t>
      </w:r>
      <w:r w:rsidR="00B25E0E" w:rsidRPr="00BE20BD">
        <w:t>]</w:t>
      </w:r>
      <w:r w:rsidRPr="00BE20BD">
        <w:t xml:space="preserve"> provisions, loss ratios…) at least over the last </w:t>
      </w:r>
      <w:r w:rsidRPr="00BE20BD">
        <w:rPr>
          <w:b/>
        </w:rPr>
        <w:t>two years</w:t>
      </w:r>
      <w:r w:rsidRPr="00BE20BD">
        <w:t xml:space="preserve">. </w:t>
      </w:r>
    </w:p>
    <w:p w14:paraId="4F3B250E" w14:textId="7D74BBF7" w:rsidR="00CF1B91" w:rsidRPr="00BE20BD" w:rsidRDefault="00CF1B91" w:rsidP="00D60D73">
      <w:pPr>
        <w:pStyle w:val="FINMAStandardAbsatz"/>
        <w:rPr>
          <w:i/>
        </w:rPr>
      </w:pPr>
      <w:r w:rsidRPr="00BE20BD">
        <w:rPr>
          <w:i/>
        </w:rPr>
        <w:t xml:space="preserve">&lt;A clear </w:t>
      </w:r>
      <w:r w:rsidRPr="00BE20BD">
        <w:rPr>
          <w:b/>
          <w:i/>
        </w:rPr>
        <w:t>concordance between the tables and the breakdown of FINMA’s standard models</w:t>
      </w:r>
      <w:r w:rsidRPr="00BE20BD">
        <w:rPr>
          <w:i/>
        </w:rPr>
        <w:t xml:space="preserve"> is essential: </w:t>
      </w:r>
      <w:proofErr w:type="gramStart"/>
      <w:r w:rsidRPr="00BE20BD">
        <w:rPr>
          <w:i/>
        </w:rPr>
        <w:t>e.g.</w:t>
      </w:r>
      <w:proofErr w:type="gramEnd"/>
      <w:r w:rsidRPr="00BE20BD">
        <w:rPr>
          <w:i/>
        </w:rPr>
        <w:t xml:space="preserve"> the breakdown in the health </w:t>
      </w:r>
      <w:r w:rsidRPr="00BE20BD">
        <w:t>insurance</w:t>
      </w:r>
      <w:r w:rsidRPr="00BE20BD">
        <w:rPr>
          <w:i/>
        </w:rPr>
        <w:t xml:space="preserve"> segment should clearly correspond to the product groups in the health </w:t>
      </w:r>
      <w:r w:rsidRPr="00BE20BD">
        <w:t>insurance</w:t>
      </w:r>
      <w:r w:rsidRPr="00BE20BD">
        <w:rPr>
          <w:i/>
        </w:rPr>
        <w:t xml:space="preserve"> standard model, and in </w:t>
      </w:r>
      <w:r w:rsidR="00B25E0E" w:rsidRPr="00BE20BD">
        <w:rPr>
          <w:i/>
        </w:rPr>
        <w:t xml:space="preserve">non-life </w:t>
      </w:r>
      <w:r w:rsidRPr="00BE20BD">
        <w:rPr>
          <w:i/>
        </w:rPr>
        <w:t xml:space="preserve">insurance the breakdown of the </w:t>
      </w:r>
      <w:proofErr w:type="spellStart"/>
      <w:r w:rsidRPr="00BE20BD">
        <w:rPr>
          <w:i/>
        </w:rPr>
        <w:t>LoBs</w:t>
      </w:r>
      <w:proofErr w:type="spellEnd"/>
      <w:r w:rsidRPr="00BE20BD">
        <w:rPr>
          <w:i/>
        </w:rPr>
        <w:t xml:space="preserve"> should clearly correspond to the </w:t>
      </w:r>
      <w:r w:rsidR="00B25E0E" w:rsidRPr="00BE20BD">
        <w:rPr>
          <w:i/>
        </w:rPr>
        <w:t xml:space="preserve">non-life </w:t>
      </w:r>
      <w:r w:rsidRPr="00BE20BD">
        <w:rPr>
          <w:i/>
        </w:rPr>
        <w:t>insurance standard model.&gt;</w:t>
      </w:r>
    </w:p>
    <w:p w14:paraId="438F6E13" w14:textId="66FAF17D" w:rsidR="00F350E5" w:rsidRPr="00BE20BD" w:rsidRDefault="00F350E5" w:rsidP="00D60D73">
      <w:pPr>
        <w:pStyle w:val="Heading3"/>
      </w:pPr>
      <w:bookmarkStart w:id="41" w:name="_Toc534297743"/>
      <w:bookmarkStart w:id="42" w:name="_Toc148445948"/>
      <w:r w:rsidRPr="00BE20BD">
        <w:t>Best estimate of insurance liabilities</w:t>
      </w:r>
      <w:bookmarkEnd w:id="41"/>
      <w:r w:rsidRPr="00BE20BD">
        <w:t xml:space="preserve"> and other liabilities</w:t>
      </w:r>
      <w:bookmarkEnd w:id="42"/>
    </w:p>
    <w:p w14:paraId="1202AB03" w14:textId="791B3ED0" w:rsidR="003F0431" w:rsidRPr="00BE20BD" w:rsidRDefault="003F0431" w:rsidP="00D60D73">
      <w:pPr>
        <w:pStyle w:val="FINMAStandardAbsatz"/>
        <w:rPr>
          <w:noProof/>
        </w:rPr>
      </w:pPr>
      <w:r w:rsidRPr="00BE20BD">
        <w:t>Margin numbers 164 and 169</w:t>
      </w:r>
    </w:p>
    <w:p w14:paraId="56233F4D" w14:textId="01C11B7A" w:rsidR="00DC2BE9" w:rsidRPr="00BE20BD" w:rsidRDefault="00DC2BE9" w:rsidP="00D60D73">
      <w:pPr>
        <w:pStyle w:val="FINMAStandardAbsatz"/>
        <w:rPr>
          <w:noProof/>
        </w:rPr>
      </w:pPr>
      <w:r w:rsidRPr="00BE20BD">
        <w:t xml:space="preserve">Provide the liabilities side of the SST balance sheet on the reference date and for the previous year with explanations relating </w:t>
      </w:r>
      <w:proofErr w:type="gramStart"/>
      <w:r w:rsidRPr="00BE20BD">
        <w:t>in particular to</w:t>
      </w:r>
      <w:proofErr w:type="gramEnd"/>
      <w:r w:rsidRPr="00BE20BD">
        <w:t>:</w:t>
      </w:r>
    </w:p>
    <w:p w14:paraId="21405277" w14:textId="4515FC39" w:rsidR="00DC2BE9" w:rsidRPr="00BE20BD" w:rsidRDefault="00DC2BE9" w:rsidP="00D60D73">
      <w:pPr>
        <w:pStyle w:val="FINMAAufzhlungEbene2"/>
        <w:numPr>
          <w:ilvl w:val="0"/>
          <w:numId w:val="23"/>
        </w:numPr>
        <w:ind w:left="765" w:hanging="357"/>
        <w:rPr>
          <w:noProof/>
        </w:rPr>
      </w:pPr>
      <w:r w:rsidRPr="00BE20BD">
        <w:t>Brief description of the individual components, in particular</w:t>
      </w:r>
    </w:p>
    <w:p w14:paraId="4F01B7F2" w14:textId="7D164B42" w:rsidR="00DC2BE9" w:rsidRPr="00BE20BD" w:rsidRDefault="00DC2BE9" w:rsidP="00C044AA">
      <w:pPr>
        <w:pStyle w:val="FINMAAufzhlungEbene3"/>
        <w:rPr>
          <w:noProof/>
        </w:rPr>
      </w:pPr>
      <w:r w:rsidRPr="00BE20BD">
        <w:t xml:space="preserve">Best estimates of insurance liabilities </w:t>
      </w:r>
      <w:r w:rsidR="00C044AA" w:rsidRPr="00BE20BD">
        <w:t>(and the inflation assumptions applied as well as their materiality).</w:t>
      </w:r>
    </w:p>
    <w:p w14:paraId="7779F7F6" w14:textId="4B2E45AD" w:rsidR="00DC2BE9" w:rsidRPr="00BE20BD" w:rsidRDefault="00DC2BE9" w:rsidP="00D60D73">
      <w:pPr>
        <w:pStyle w:val="FINMAAufzhlungEbene3"/>
        <w:rPr>
          <w:noProof/>
        </w:rPr>
      </w:pPr>
      <w:r w:rsidRPr="00BE20BD">
        <w:t>Market</w:t>
      </w:r>
      <w:r w:rsidR="002502C1" w:rsidRPr="00BE20BD">
        <w:t xml:space="preserve"> </w:t>
      </w:r>
      <w:proofErr w:type="gramStart"/>
      <w:r w:rsidRPr="00BE20BD">
        <w:t>con</w:t>
      </w:r>
      <w:r w:rsidR="00D044ED" w:rsidRPr="00BE20BD">
        <w:t>form</w:t>
      </w:r>
      <w:proofErr w:type="gramEnd"/>
      <w:r w:rsidRPr="00BE20BD">
        <w:t xml:space="preserve"> values for other liabilities</w:t>
      </w:r>
    </w:p>
    <w:p w14:paraId="3BA8672A" w14:textId="6508CB0E" w:rsidR="00DC2BE9" w:rsidRPr="00BE20BD" w:rsidRDefault="00DC2BE9" w:rsidP="00D60D73">
      <w:pPr>
        <w:pStyle w:val="FINMAAufzhlungEbene2"/>
        <w:numPr>
          <w:ilvl w:val="0"/>
          <w:numId w:val="23"/>
        </w:numPr>
        <w:ind w:left="765" w:hanging="357"/>
        <w:rPr>
          <w:noProof/>
        </w:rPr>
      </w:pPr>
      <w:r w:rsidRPr="00BE20BD">
        <w:t>Methodological approaches and models for market</w:t>
      </w:r>
      <w:r w:rsidR="002502C1" w:rsidRPr="00BE20BD">
        <w:t xml:space="preserve"> </w:t>
      </w:r>
      <w:r w:rsidRPr="00BE20BD">
        <w:t>con</w:t>
      </w:r>
      <w:r w:rsidR="00D044ED" w:rsidRPr="00BE20BD">
        <w:t>form</w:t>
      </w:r>
      <w:r w:rsidRPr="00BE20BD">
        <w:t xml:space="preserve"> </w:t>
      </w:r>
      <w:proofErr w:type="gramStart"/>
      <w:r w:rsidRPr="00BE20BD">
        <w:t>valuation</w:t>
      </w:r>
      <w:proofErr w:type="gramEnd"/>
    </w:p>
    <w:p w14:paraId="468A781F" w14:textId="025BE53A" w:rsidR="00DC2BE9" w:rsidRPr="00BE20BD" w:rsidRDefault="00DC2BE9" w:rsidP="00D60D73">
      <w:pPr>
        <w:pStyle w:val="FINMAAufzhlungEbene2"/>
        <w:numPr>
          <w:ilvl w:val="0"/>
          <w:numId w:val="23"/>
        </w:numPr>
        <w:ind w:left="765" w:hanging="357"/>
        <w:rPr>
          <w:noProof/>
        </w:rPr>
      </w:pPr>
      <w:r w:rsidRPr="00BE20BD">
        <w:t xml:space="preserve">A quantitative and qualitative description of the main </w:t>
      </w:r>
      <w:r w:rsidR="00B25E0E" w:rsidRPr="00BE20BD">
        <w:t xml:space="preserve">positions </w:t>
      </w:r>
      <w:r w:rsidRPr="00BE20BD">
        <w:t>in the SST balance sheet on the reference date</w:t>
      </w:r>
    </w:p>
    <w:p w14:paraId="492F0A23" w14:textId="435B7E5D" w:rsidR="00DC2BE9" w:rsidRPr="00BE20BD" w:rsidRDefault="00DC2BE9" w:rsidP="00D60D73">
      <w:pPr>
        <w:pStyle w:val="FINMAAufzhlungEbene2"/>
        <w:numPr>
          <w:ilvl w:val="0"/>
          <w:numId w:val="23"/>
        </w:numPr>
        <w:ind w:left="765" w:hanging="357"/>
        <w:rPr>
          <w:noProof/>
        </w:rPr>
      </w:pPr>
      <w:r w:rsidRPr="00BE20BD">
        <w:t>Explain any significant impact of selected balance sheet positions on the risk situation, particularly the impact of any risk concentrations.</w:t>
      </w:r>
    </w:p>
    <w:p w14:paraId="64F21393" w14:textId="77777777" w:rsidR="00D13BD3" w:rsidRPr="00BE20BD" w:rsidRDefault="00D13BD3" w:rsidP="00D13BD3">
      <w:pPr>
        <w:pStyle w:val="Heading3"/>
      </w:pPr>
      <w:bookmarkStart w:id="43" w:name="_Toc148445949"/>
      <w:bookmarkStart w:id="44" w:name="_Toc534297745"/>
      <w:r w:rsidRPr="00BE20BD">
        <w:t>Market value margin</w:t>
      </w:r>
      <w:bookmarkEnd w:id="43"/>
    </w:p>
    <w:p w14:paraId="35E5EDC8" w14:textId="77777777" w:rsidR="00D13BD3" w:rsidRPr="00BE20BD" w:rsidRDefault="00D13BD3" w:rsidP="00D13BD3">
      <w:pPr>
        <w:pStyle w:val="FINMAStandardAbsatz"/>
      </w:pPr>
      <w:r w:rsidRPr="00BE20BD">
        <w:t xml:space="preserve">Discussion of how the market value margin has been determined and of the result including the recent past. </w:t>
      </w:r>
    </w:p>
    <w:p w14:paraId="50DFE367" w14:textId="77777777" w:rsidR="00D13BD3" w:rsidRPr="00BE20BD" w:rsidRDefault="00D13BD3" w:rsidP="00D13BD3">
      <w:pPr>
        <w:pStyle w:val="FINMAStandardAbsatz"/>
      </w:pPr>
      <w:r w:rsidRPr="00BE20BD">
        <w:t>Discuss the reasons for any changes.</w:t>
      </w:r>
    </w:p>
    <w:p w14:paraId="027DA823" w14:textId="0EBEDD38" w:rsidR="009D719C" w:rsidRPr="00BE20BD" w:rsidRDefault="004045D2" w:rsidP="00D60D73">
      <w:pPr>
        <w:pStyle w:val="Heading2"/>
      </w:pPr>
      <w:bookmarkStart w:id="45" w:name="_Toc148445950"/>
      <w:r w:rsidRPr="00BE20BD">
        <w:t>Transition from</w:t>
      </w:r>
      <w:r w:rsidR="009D719C" w:rsidRPr="00BE20BD">
        <w:t xml:space="preserve"> the audited balance sheet</w:t>
      </w:r>
      <w:bookmarkEnd w:id="45"/>
    </w:p>
    <w:p w14:paraId="1314066E" w14:textId="7C5FEDC7" w:rsidR="009D719C" w:rsidRPr="00BE20BD" w:rsidRDefault="009D719C" w:rsidP="00D60D73">
      <w:pPr>
        <w:pStyle w:val="FINMAStandardAbsatz"/>
        <w:rPr>
          <w:noProof/>
        </w:rPr>
      </w:pPr>
      <w:r w:rsidRPr="00BE20BD">
        <w:t>Margin numbers 164 and 169</w:t>
      </w:r>
    </w:p>
    <w:p w14:paraId="658918A7" w14:textId="295C0B8A" w:rsidR="009D719C" w:rsidRPr="00BE20BD" w:rsidRDefault="009D719C" w:rsidP="00D60D73">
      <w:pPr>
        <w:pStyle w:val="FINMAStandardAbsatz"/>
        <w:rPr>
          <w:noProof/>
        </w:rPr>
      </w:pPr>
      <w:r w:rsidRPr="00BE20BD">
        <w:t xml:space="preserve">Please draw up </w:t>
      </w:r>
      <w:r w:rsidRPr="00BE20BD">
        <w:rPr>
          <w:b/>
        </w:rPr>
        <w:t xml:space="preserve">a table </w:t>
      </w:r>
      <w:r w:rsidRPr="00BE20BD">
        <w:t xml:space="preserve">putting the positions in the SST balance sheet for the current year side-by-side with the line </w:t>
      </w:r>
      <w:r w:rsidR="004045D2" w:rsidRPr="00BE20BD">
        <w:t xml:space="preserve">positions </w:t>
      </w:r>
      <w:r w:rsidRPr="00BE20BD">
        <w:t>from the audited balance sheet. This table must</w:t>
      </w:r>
    </w:p>
    <w:p w14:paraId="5783A432" w14:textId="08D36D0A" w:rsidR="009D719C" w:rsidRPr="00BE20BD" w:rsidRDefault="009D719C" w:rsidP="00D60D73">
      <w:pPr>
        <w:pStyle w:val="FINMAAufzhlungEbene2"/>
        <w:numPr>
          <w:ilvl w:val="0"/>
          <w:numId w:val="23"/>
        </w:numPr>
        <w:ind w:left="765" w:hanging="357"/>
        <w:rPr>
          <w:noProof/>
        </w:rPr>
      </w:pPr>
      <w:r w:rsidRPr="00BE20BD">
        <w:t>reconcile the audited balance sheet with the SST balance sheet</w:t>
      </w:r>
    </w:p>
    <w:p w14:paraId="703EF0B9" w14:textId="65632E51" w:rsidR="009D719C" w:rsidRPr="00BE20BD" w:rsidRDefault="009D719C" w:rsidP="00D60D73">
      <w:pPr>
        <w:pStyle w:val="FINMAAufzhlungEbene2"/>
        <w:numPr>
          <w:ilvl w:val="0"/>
          <w:numId w:val="23"/>
        </w:numPr>
        <w:ind w:left="765" w:hanging="357"/>
        <w:rPr>
          <w:noProof/>
        </w:rPr>
      </w:pPr>
      <w:r w:rsidRPr="00BE20BD">
        <w:lastRenderedPageBreak/>
        <w:t>highlight off-balance-sheet positions in the audited accounts.</w:t>
      </w:r>
    </w:p>
    <w:p w14:paraId="39A5CBE3" w14:textId="77777777" w:rsidR="009D719C" w:rsidRPr="00BE20BD" w:rsidRDefault="009D719C" w:rsidP="00D60D73">
      <w:pPr>
        <w:pStyle w:val="FINMAStandardAbsatz"/>
        <w:rPr>
          <w:i/>
        </w:rPr>
      </w:pPr>
      <w:r w:rsidRPr="00BE20BD">
        <w:rPr>
          <w:i/>
        </w:rPr>
        <w:t xml:space="preserve">&lt;A clear </w:t>
      </w:r>
      <w:r w:rsidRPr="00BE20BD">
        <w:rPr>
          <w:b/>
          <w:i/>
        </w:rPr>
        <w:t>concordance between the tables and the breakdown of FINMA’s standard models</w:t>
      </w:r>
      <w:r w:rsidRPr="00BE20BD">
        <w:rPr>
          <w:i/>
        </w:rPr>
        <w:t xml:space="preserve"> is essential: </w:t>
      </w:r>
      <w:proofErr w:type="gramStart"/>
      <w:r w:rsidRPr="00BE20BD">
        <w:rPr>
          <w:i/>
        </w:rPr>
        <w:t>e.g.</w:t>
      </w:r>
      <w:proofErr w:type="gramEnd"/>
      <w:r w:rsidRPr="00BE20BD">
        <w:rPr>
          <w:i/>
        </w:rPr>
        <w:t xml:space="preserve"> the breakdown should clearly match the FDS or SST balance sheet. Finer granularity is possible, but it must be clear that the tables delivered are based on the format of the FDS or SST balance sheet.&gt;</w:t>
      </w:r>
    </w:p>
    <w:p w14:paraId="10663C45" w14:textId="4A75285B" w:rsidR="009D719C" w:rsidRPr="00BE20BD" w:rsidRDefault="009D719C" w:rsidP="00D60D73">
      <w:pPr>
        <w:pStyle w:val="FINMAStandardAbsatz"/>
        <w:rPr>
          <w:i/>
        </w:rPr>
      </w:pPr>
      <w:r w:rsidRPr="00BE20BD">
        <w:rPr>
          <w:i/>
        </w:rPr>
        <w:t>&lt;You are welcome to refer to any in-depth investigations of individual asset classes, reserve reviews and the results thereof. Please only submit such reports if explicitly requested to do so by FINMA or if they are part of the reporting requirements of the standard model being used.&gt;</w:t>
      </w:r>
    </w:p>
    <w:p w14:paraId="3D22CCA7" w14:textId="4B33742A" w:rsidR="009D719C" w:rsidRPr="00BE20BD" w:rsidRDefault="009D719C" w:rsidP="00D60D73">
      <w:pPr>
        <w:pStyle w:val="FINMAStandardAbsatz"/>
        <w:rPr>
          <w:i/>
        </w:rPr>
      </w:pPr>
      <w:r w:rsidRPr="00BE20BD">
        <w:rPr>
          <w:i/>
        </w:rPr>
        <w:t xml:space="preserve">&lt;Please include the documentation in the </w:t>
      </w:r>
      <w:r w:rsidRPr="00BE20BD">
        <w:t>reference list to further documents</w:t>
      </w:r>
      <w:r w:rsidRPr="00BE20BD">
        <w:rPr>
          <w:i/>
          <w:iCs/>
        </w:rPr>
        <w:t xml:space="preserve"> in the </w:t>
      </w:r>
      <w:r w:rsidR="00472B28" w:rsidRPr="00BE20BD">
        <w:rPr>
          <w:i/>
          <w:iCs/>
        </w:rPr>
        <w:t>Appendix</w:t>
      </w:r>
      <w:r w:rsidRPr="00BE20BD">
        <w:rPr>
          <w:i/>
          <w:iCs/>
        </w:rPr>
        <w:t>.</w:t>
      </w:r>
      <w:r w:rsidRPr="00BE20BD">
        <w:t>&gt;</w:t>
      </w:r>
    </w:p>
    <w:p w14:paraId="50F4328D" w14:textId="31C143C4" w:rsidR="006501B6" w:rsidRPr="00BE20BD" w:rsidRDefault="006501B6" w:rsidP="00D60D73">
      <w:pPr>
        <w:pStyle w:val="Heading2"/>
      </w:pPr>
      <w:bookmarkStart w:id="46" w:name="_Toc148445951"/>
      <w:r w:rsidRPr="00BE20BD">
        <w:t>Deductions</w:t>
      </w:r>
      <w:bookmarkEnd w:id="44"/>
      <w:bookmarkEnd w:id="46"/>
    </w:p>
    <w:p w14:paraId="7774BAF7" w14:textId="6859A2CB" w:rsidR="00602BC6" w:rsidRPr="00BE20BD" w:rsidRDefault="00602BC6" w:rsidP="00D60D73">
      <w:pPr>
        <w:pStyle w:val="FINMAStandardAbsatz"/>
      </w:pPr>
      <w:r w:rsidRPr="00BE20BD">
        <w:t>Margin numbers 155 to 157, 164 and 165</w:t>
      </w:r>
    </w:p>
    <w:p w14:paraId="2558FB07" w14:textId="1644B7EF" w:rsidR="002324F7" w:rsidRPr="00BE20BD" w:rsidRDefault="002324F7" w:rsidP="00D60D73">
      <w:pPr>
        <w:pStyle w:val="FINMAStandardAbsatz"/>
        <w:rPr>
          <w:b/>
        </w:rPr>
      </w:pPr>
      <w:r w:rsidRPr="00BE20BD">
        <w:t>Description of the deductions including an explanation of significant changes</w:t>
      </w:r>
    </w:p>
    <w:p w14:paraId="011FCA67" w14:textId="4F9D7959" w:rsidR="00DD33CB" w:rsidRPr="00BE20BD" w:rsidRDefault="00C836F8" w:rsidP="00D60D73">
      <w:pPr>
        <w:pStyle w:val="FINMAStandardAbsatz"/>
      </w:pPr>
      <w:r w:rsidRPr="00BE20BD">
        <w:rPr>
          <w:b/>
        </w:rPr>
        <w:t xml:space="preserve">Relevant tables </w:t>
      </w:r>
      <w:r w:rsidRPr="00BE20BD">
        <w:t>with the deduction line items at least for the current SST and the previous year</w:t>
      </w:r>
    </w:p>
    <w:p w14:paraId="6745392D" w14:textId="7255B478" w:rsidR="003F0431" w:rsidRPr="00BE20BD" w:rsidRDefault="003F0431" w:rsidP="00D60D73">
      <w:pPr>
        <w:pStyle w:val="FINMAStandardAbsatz"/>
        <w:spacing w:before="100" w:beforeAutospacing="1" w:after="100" w:afterAutospacing="1" w:line="240" w:lineRule="auto"/>
      </w:pPr>
      <w:r w:rsidRPr="00BE20BD">
        <w:t>Methodological approaches and models for market</w:t>
      </w:r>
      <w:r w:rsidR="002502C1" w:rsidRPr="00BE20BD">
        <w:t xml:space="preserve"> </w:t>
      </w:r>
      <w:r w:rsidRPr="00BE20BD">
        <w:t>con</w:t>
      </w:r>
      <w:r w:rsidR="00D044ED" w:rsidRPr="00BE20BD">
        <w:t>form</w:t>
      </w:r>
      <w:r w:rsidRPr="00BE20BD">
        <w:t xml:space="preserve"> valuation.</w:t>
      </w:r>
    </w:p>
    <w:p w14:paraId="48A4845B" w14:textId="632B05E4" w:rsidR="00707538" w:rsidRPr="00BE20BD" w:rsidRDefault="000E6985" w:rsidP="00D60D73">
      <w:pPr>
        <w:pStyle w:val="Heading2"/>
      </w:pPr>
      <w:bookmarkStart w:id="47" w:name="_Ref525134701"/>
      <w:bookmarkStart w:id="48" w:name="_Toc534297746"/>
      <w:bookmarkStart w:id="49" w:name="_Toc148445952"/>
      <w:r w:rsidRPr="00BE20BD">
        <w:t>R</w:t>
      </w:r>
      <w:r w:rsidR="00CF2C8D" w:rsidRPr="00BE20BD">
        <w:t>isk-absorbing capital instruments</w:t>
      </w:r>
      <w:bookmarkEnd w:id="47"/>
      <w:bookmarkEnd w:id="48"/>
      <w:bookmarkEnd w:id="49"/>
      <w:r w:rsidR="00CF2C8D" w:rsidRPr="00BE20BD">
        <w:t xml:space="preserve"> (RA</w:t>
      </w:r>
      <w:r w:rsidR="002502C1" w:rsidRPr="00BE20BD">
        <w:t>K</w:t>
      </w:r>
      <w:r w:rsidR="00CF2C8D" w:rsidRPr="00BE20BD">
        <w:t>)</w:t>
      </w:r>
    </w:p>
    <w:p w14:paraId="6772014D" w14:textId="5C9F1457" w:rsidR="00602BC6" w:rsidRPr="00BE20BD" w:rsidRDefault="00602BC6" w:rsidP="00D60D73">
      <w:pPr>
        <w:pStyle w:val="FINMAStandardAbsatz"/>
      </w:pPr>
      <w:r w:rsidRPr="00BE20BD">
        <w:t xml:space="preserve">Margin numbers 66 and 68, </w:t>
      </w:r>
      <w:r w:rsidR="00217E17" w:rsidRPr="00BE20BD">
        <w:t xml:space="preserve">and </w:t>
      </w:r>
      <w:r w:rsidR="00596C13" w:rsidRPr="00BE20BD">
        <w:t>177</w:t>
      </w:r>
    </w:p>
    <w:p w14:paraId="24C1A05C" w14:textId="7EBB2D10" w:rsidR="00917210" w:rsidRPr="00BE20BD" w:rsidRDefault="00917210" w:rsidP="00D60D73">
      <w:pPr>
        <w:pStyle w:val="FINMAStandardAbsatz"/>
      </w:pPr>
      <w:r w:rsidRPr="00BE20BD">
        <w:t xml:space="preserve">If the undertaking does not hold any </w:t>
      </w:r>
      <w:r w:rsidRPr="00BE20BD">
        <w:rPr>
          <w:i/>
        </w:rPr>
        <w:t xml:space="preserve">risk-absorbing capital instruments within the meaning of Art. </w:t>
      </w:r>
      <w:proofErr w:type="gramStart"/>
      <w:r w:rsidR="007A0444" w:rsidRPr="00BE20BD">
        <w:rPr>
          <w:i/>
        </w:rPr>
        <w:t xml:space="preserve">37 </w:t>
      </w:r>
      <w:r w:rsidRPr="00BE20BD">
        <w:rPr>
          <w:i/>
        </w:rPr>
        <w:t xml:space="preserve"> ISO</w:t>
      </w:r>
      <w:proofErr w:type="gramEnd"/>
      <w:r w:rsidRPr="00BE20BD">
        <w:t>, please confirm this explicitly in the interests of clarity:</w:t>
      </w:r>
    </w:p>
    <w:p w14:paraId="216967A6" w14:textId="3E272FA9" w:rsidR="0099416E" w:rsidRPr="00BE20BD" w:rsidRDefault="0099416E" w:rsidP="00D60D73">
      <w:pPr>
        <w:pStyle w:val="FINMAStandardAbsatz"/>
        <w:rPr>
          <w:i/>
        </w:rPr>
      </w:pPr>
      <w:r w:rsidRPr="00BE20BD">
        <w:rPr>
          <w:i/>
          <w:iCs/>
        </w:rPr>
        <w:t xml:space="preserve">“We do not hold any risk-absorbing capital instruments within the meaning of Art. </w:t>
      </w:r>
      <w:r w:rsidR="007A0444" w:rsidRPr="00BE20BD">
        <w:rPr>
          <w:i/>
          <w:iCs/>
        </w:rPr>
        <w:t>37</w:t>
      </w:r>
      <w:r w:rsidRPr="00BE20BD">
        <w:rPr>
          <w:i/>
          <w:iCs/>
        </w:rPr>
        <w:t xml:space="preserve"> ISO.”</w:t>
      </w:r>
      <w:r w:rsidRPr="00BE20BD">
        <w:t xml:space="preserve"> </w:t>
      </w:r>
    </w:p>
    <w:p w14:paraId="3C6A8032" w14:textId="4DE016BA" w:rsidR="002F2F0C" w:rsidRPr="00BE20BD" w:rsidRDefault="00052F76" w:rsidP="002F2F0C">
      <w:pPr>
        <w:pStyle w:val="FINMAStandardAbsatz"/>
      </w:pPr>
      <w:r w:rsidRPr="00BE20BD">
        <w:t xml:space="preserve">If risk-absorbing capital instruments are </w:t>
      </w:r>
      <w:proofErr w:type="gramStart"/>
      <w:r w:rsidRPr="00BE20BD">
        <w:t>held:</w:t>
      </w:r>
      <w:proofErr w:type="gramEnd"/>
      <w:r w:rsidRPr="00BE20BD">
        <w:t xml:space="preserve"> list of instruments and clear indication, which such instruments are </w:t>
      </w:r>
      <w:r w:rsidR="001B6F3C" w:rsidRPr="00BE20BD">
        <w:t xml:space="preserve">counted towards </w:t>
      </w:r>
      <w:r w:rsidRPr="00BE20BD">
        <w:t xml:space="preserve">core capital, </w:t>
      </w:r>
      <w:r w:rsidR="001B6F3C" w:rsidRPr="00BE20BD">
        <w:t xml:space="preserve">towards </w:t>
      </w:r>
      <w:r w:rsidRPr="00BE20BD">
        <w:t xml:space="preserve">supplementary capital, or considered in the target capital, and which are </w:t>
      </w:r>
      <w:r w:rsidR="001B6F3C" w:rsidRPr="00BE20BD">
        <w:t xml:space="preserve">counted </w:t>
      </w:r>
      <w:r w:rsidRPr="00BE20BD">
        <w:t>or considered. Confirmation and quantitative proof for each instrument that the eligibility restrictions under Art. 34 and 37 ISO are met. Brief description of the individual instruments and their valuation. Explanation of the significant changes compared with the previous year with suitable tabular depiction.</w:t>
      </w:r>
    </w:p>
    <w:p w14:paraId="0273F243" w14:textId="77FC6B91" w:rsidR="00D57712" w:rsidRPr="00BE20BD" w:rsidRDefault="00794567" w:rsidP="00BE20BD">
      <w:pPr>
        <w:pStyle w:val="FINMAStandardAbsatz"/>
        <w:rPr>
          <w:i/>
          <w:iCs/>
        </w:rPr>
      </w:pPr>
      <w:r w:rsidRPr="00BE20BD">
        <w:rPr>
          <w:i/>
          <w:iCs/>
        </w:rPr>
        <w:t>&lt;Please refer to the application(s) for approval of eligibility submitted to FINMA and set out the procedure used in the current SST if an application has been submitted but not yet approved.&gt;</w:t>
      </w:r>
    </w:p>
    <w:p w14:paraId="5CC30323" w14:textId="77777777" w:rsidR="006A3C4C" w:rsidRPr="00BE20BD" w:rsidRDefault="006A3C4C" w:rsidP="006A3C4C">
      <w:pPr>
        <w:spacing w:line="240" w:lineRule="auto"/>
        <w:rPr>
          <w:rFonts w:cs="Arial"/>
          <w:b/>
          <w:bCs/>
          <w:kern w:val="32"/>
          <w:sz w:val="24"/>
          <w:szCs w:val="24"/>
        </w:rPr>
      </w:pPr>
      <w:r w:rsidRPr="00BE20BD">
        <w:br w:type="page"/>
      </w:r>
    </w:p>
    <w:p w14:paraId="78FF00FF" w14:textId="6AE34E40" w:rsidR="003D1B5D" w:rsidRPr="00BE20BD" w:rsidRDefault="00F818E5" w:rsidP="00A0280B">
      <w:pPr>
        <w:pStyle w:val="StyleHeading1"/>
      </w:pPr>
      <w:bookmarkStart w:id="50" w:name="_Toc534297747"/>
      <w:bookmarkStart w:id="51" w:name="_Toc534297756"/>
      <w:bookmarkStart w:id="52" w:name="_Toc148445953"/>
      <w:bookmarkEnd w:id="50"/>
      <w:r w:rsidRPr="00BE20BD">
        <w:lastRenderedPageBreak/>
        <w:t>Target capital and its risk categories</w:t>
      </w:r>
      <w:bookmarkEnd w:id="51"/>
      <w:bookmarkEnd w:id="52"/>
    </w:p>
    <w:p w14:paraId="39C1464C" w14:textId="03339205" w:rsidR="0032524A" w:rsidRPr="00BE20BD" w:rsidRDefault="0032524A" w:rsidP="00A0280B">
      <w:pPr>
        <w:pStyle w:val="Heading2"/>
      </w:pPr>
      <w:bookmarkStart w:id="53" w:name="_Toc148445954"/>
      <w:r w:rsidRPr="00BE20BD">
        <w:t>Overview</w:t>
      </w:r>
      <w:bookmarkEnd w:id="53"/>
    </w:p>
    <w:tbl>
      <w:tblPr>
        <w:tblW w:w="7750" w:type="dxa"/>
        <w:tblCellMar>
          <w:left w:w="70" w:type="dxa"/>
          <w:right w:w="70" w:type="dxa"/>
        </w:tblCellMar>
        <w:tblLook w:val="04A0" w:firstRow="1" w:lastRow="0" w:firstColumn="1" w:lastColumn="0" w:noHBand="0" w:noVBand="1"/>
      </w:tblPr>
      <w:tblGrid>
        <w:gridCol w:w="2976"/>
        <w:gridCol w:w="216"/>
        <w:gridCol w:w="916"/>
        <w:gridCol w:w="576"/>
        <w:gridCol w:w="185"/>
        <w:gridCol w:w="567"/>
        <w:gridCol w:w="576"/>
        <w:gridCol w:w="256"/>
        <w:gridCol w:w="916"/>
        <w:gridCol w:w="567"/>
      </w:tblGrid>
      <w:tr w:rsidR="00ED2AA1" w:rsidRPr="00BE20BD" w14:paraId="1F0C54BA" w14:textId="77777777" w:rsidTr="00FD64DD">
        <w:trPr>
          <w:trHeight w:val="255"/>
        </w:trPr>
        <w:tc>
          <w:tcPr>
            <w:tcW w:w="2976" w:type="dxa"/>
            <w:tcBorders>
              <w:top w:val="nil"/>
              <w:left w:val="nil"/>
              <w:bottom w:val="nil"/>
              <w:right w:val="nil"/>
            </w:tcBorders>
            <w:shd w:val="clear" w:color="000000" w:fill="FFFFFF"/>
            <w:noWrap/>
            <w:vAlign w:val="bottom"/>
            <w:hideMark/>
          </w:tcPr>
          <w:p w14:paraId="7E12A4F6" w14:textId="77777777" w:rsidR="00ED2AA1" w:rsidRPr="00BE20BD" w:rsidRDefault="00ED2AA1" w:rsidP="00A0280B">
            <w:pPr>
              <w:keepNext/>
              <w:spacing w:line="240" w:lineRule="auto"/>
              <w:rPr>
                <w:rFonts w:eastAsia="Times New Roman" w:cs="Arial"/>
                <w:b/>
                <w:bCs/>
                <w:color w:val="000000"/>
                <w:sz w:val="16"/>
                <w:szCs w:val="16"/>
                <w:lang w:val="de-CH" w:eastAsia="de-CH"/>
              </w:rPr>
            </w:pPr>
            <w:r w:rsidRPr="00BE20BD">
              <w:rPr>
                <w:rFonts w:eastAsia="Times New Roman" w:cs="Arial"/>
                <w:b/>
                <w:bCs/>
                <w:color w:val="000000"/>
                <w:sz w:val="16"/>
                <w:szCs w:val="16"/>
                <w:lang w:val="de-CH" w:eastAsia="de-CH"/>
              </w:rPr>
              <w:t> </w:t>
            </w:r>
          </w:p>
        </w:tc>
        <w:tc>
          <w:tcPr>
            <w:tcW w:w="216" w:type="dxa"/>
            <w:tcBorders>
              <w:top w:val="nil"/>
              <w:left w:val="nil"/>
              <w:bottom w:val="nil"/>
              <w:right w:val="nil"/>
            </w:tcBorders>
            <w:shd w:val="clear" w:color="000000" w:fill="FFFFFF"/>
            <w:noWrap/>
            <w:vAlign w:val="bottom"/>
            <w:hideMark/>
          </w:tcPr>
          <w:p w14:paraId="2C4F7A90" w14:textId="77777777" w:rsidR="00ED2AA1" w:rsidRPr="00BE20BD" w:rsidRDefault="00ED2AA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916" w:type="dxa"/>
            <w:tcBorders>
              <w:top w:val="nil"/>
              <w:left w:val="nil"/>
              <w:bottom w:val="nil"/>
              <w:right w:val="nil"/>
            </w:tcBorders>
            <w:shd w:val="clear" w:color="000000" w:fill="D9D9D9"/>
            <w:noWrap/>
            <w:vAlign w:val="bottom"/>
            <w:hideMark/>
          </w:tcPr>
          <w:p w14:paraId="001DB045" w14:textId="5BB42DDA" w:rsidR="00ED2AA1" w:rsidRPr="00BE20BD" w:rsidRDefault="00ED2AA1" w:rsidP="00A0280B">
            <w:pPr>
              <w:keepNext/>
              <w:spacing w:line="240" w:lineRule="auto"/>
              <w:rPr>
                <w:rFonts w:eastAsia="Times New Roman" w:cs="Arial"/>
                <w:b/>
                <w:bCs/>
                <w:color w:val="000000"/>
                <w:sz w:val="16"/>
                <w:szCs w:val="16"/>
                <w:lang w:val="de-CH" w:eastAsia="de-CH"/>
              </w:rPr>
            </w:pPr>
            <w:r w:rsidRPr="00BE20BD">
              <w:rPr>
                <w:rFonts w:eastAsia="Times New Roman" w:cs="Arial"/>
                <w:b/>
                <w:bCs/>
                <w:color w:val="000000"/>
                <w:sz w:val="16"/>
                <w:szCs w:val="16"/>
                <w:lang w:val="de-CH" w:eastAsia="de-CH"/>
              </w:rPr>
              <w:t xml:space="preserve">SST </w:t>
            </w:r>
            <w:r w:rsidR="00596C13" w:rsidRPr="00BE20BD">
              <w:rPr>
                <w:rFonts w:eastAsia="Times New Roman" w:cs="Arial"/>
                <w:b/>
                <w:bCs/>
                <w:color w:val="000000"/>
                <w:sz w:val="16"/>
                <w:szCs w:val="16"/>
                <w:lang w:val="de-CH" w:eastAsia="de-CH"/>
              </w:rPr>
              <w:t>202</w:t>
            </w:r>
            <w:r w:rsidR="00EA28F4" w:rsidRPr="00BE20BD">
              <w:rPr>
                <w:rFonts w:eastAsia="Times New Roman" w:cs="Arial"/>
                <w:b/>
                <w:bCs/>
                <w:color w:val="000000"/>
                <w:sz w:val="16"/>
                <w:szCs w:val="16"/>
                <w:lang w:val="de-CH" w:eastAsia="de-CH"/>
              </w:rPr>
              <w:t>4</w:t>
            </w:r>
          </w:p>
        </w:tc>
        <w:tc>
          <w:tcPr>
            <w:tcW w:w="576" w:type="dxa"/>
            <w:tcBorders>
              <w:top w:val="nil"/>
              <w:left w:val="nil"/>
              <w:bottom w:val="nil"/>
              <w:right w:val="nil"/>
            </w:tcBorders>
            <w:shd w:val="clear" w:color="000000" w:fill="D9D9D9"/>
            <w:noWrap/>
            <w:vAlign w:val="bottom"/>
            <w:hideMark/>
          </w:tcPr>
          <w:p w14:paraId="0E000543" w14:textId="77777777" w:rsidR="00ED2AA1" w:rsidRPr="00BE20BD" w:rsidRDefault="00ED2AA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185" w:type="dxa"/>
            <w:tcBorders>
              <w:top w:val="nil"/>
              <w:left w:val="nil"/>
              <w:bottom w:val="nil"/>
              <w:right w:val="nil"/>
            </w:tcBorders>
            <w:shd w:val="clear" w:color="000000" w:fill="D9D9D9"/>
            <w:noWrap/>
            <w:vAlign w:val="bottom"/>
            <w:hideMark/>
          </w:tcPr>
          <w:p w14:paraId="31D685AD" w14:textId="77777777" w:rsidR="00ED2AA1" w:rsidRPr="00BE20BD" w:rsidRDefault="00ED2AA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567" w:type="dxa"/>
            <w:tcBorders>
              <w:top w:val="nil"/>
              <w:left w:val="nil"/>
              <w:bottom w:val="nil"/>
              <w:right w:val="nil"/>
            </w:tcBorders>
            <w:shd w:val="clear" w:color="000000" w:fill="D9D9D9"/>
            <w:noWrap/>
            <w:vAlign w:val="bottom"/>
            <w:hideMark/>
          </w:tcPr>
          <w:p w14:paraId="0DD317BF" w14:textId="77777777" w:rsidR="00ED2AA1" w:rsidRPr="00BE20BD" w:rsidRDefault="00ED2AA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576" w:type="dxa"/>
            <w:tcBorders>
              <w:top w:val="nil"/>
              <w:left w:val="nil"/>
              <w:bottom w:val="nil"/>
              <w:right w:val="nil"/>
            </w:tcBorders>
            <w:shd w:val="clear" w:color="000000" w:fill="D9D9D9"/>
            <w:noWrap/>
            <w:vAlign w:val="bottom"/>
            <w:hideMark/>
          </w:tcPr>
          <w:p w14:paraId="7642B487" w14:textId="77777777" w:rsidR="00ED2AA1" w:rsidRPr="00BE20BD" w:rsidRDefault="00ED2AA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256" w:type="dxa"/>
            <w:tcBorders>
              <w:top w:val="nil"/>
              <w:left w:val="nil"/>
              <w:bottom w:val="nil"/>
              <w:right w:val="nil"/>
            </w:tcBorders>
            <w:shd w:val="clear" w:color="000000" w:fill="FFFFFF"/>
            <w:noWrap/>
            <w:vAlign w:val="bottom"/>
            <w:hideMark/>
          </w:tcPr>
          <w:p w14:paraId="78149D72" w14:textId="77777777" w:rsidR="00ED2AA1" w:rsidRPr="00BE20BD" w:rsidRDefault="00ED2AA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916" w:type="dxa"/>
            <w:tcBorders>
              <w:top w:val="nil"/>
              <w:left w:val="nil"/>
              <w:bottom w:val="nil"/>
              <w:right w:val="nil"/>
            </w:tcBorders>
            <w:shd w:val="clear" w:color="000000" w:fill="D9D9D9"/>
            <w:noWrap/>
            <w:vAlign w:val="bottom"/>
            <w:hideMark/>
          </w:tcPr>
          <w:p w14:paraId="49E908BD" w14:textId="3943DB49" w:rsidR="00ED2AA1" w:rsidRPr="00BE20BD" w:rsidRDefault="00ED2AA1" w:rsidP="00A0280B">
            <w:pPr>
              <w:keepNext/>
              <w:spacing w:line="240" w:lineRule="auto"/>
              <w:rPr>
                <w:rFonts w:eastAsia="Times New Roman" w:cs="Arial"/>
                <w:b/>
                <w:bCs/>
                <w:color w:val="000000"/>
                <w:sz w:val="16"/>
                <w:szCs w:val="16"/>
                <w:lang w:val="de-CH" w:eastAsia="de-CH"/>
              </w:rPr>
            </w:pPr>
            <w:r w:rsidRPr="00BE20BD">
              <w:rPr>
                <w:rFonts w:eastAsia="Times New Roman" w:cs="Arial"/>
                <w:b/>
                <w:bCs/>
                <w:color w:val="000000"/>
                <w:sz w:val="16"/>
                <w:szCs w:val="16"/>
                <w:lang w:val="de-CH" w:eastAsia="de-CH"/>
              </w:rPr>
              <w:t xml:space="preserve">SST </w:t>
            </w:r>
            <w:r w:rsidR="00596C13" w:rsidRPr="00BE20BD">
              <w:rPr>
                <w:rFonts w:eastAsia="Times New Roman" w:cs="Arial"/>
                <w:b/>
                <w:bCs/>
                <w:color w:val="000000"/>
                <w:sz w:val="16"/>
                <w:szCs w:val="16"/>
                <w:lang w:val="de-CH" w:eastAsia="de-CH"/>
              </w:rPr>
              <w:t>202</w:t>
            </w:r>
            <w:r w:rsidR="00EA28F4" w:rsidRPr="00BE20BD">
              <w:rPr>
                <w:rFonts w:eastAsia="Times New Roman" w:cs="Arial"/>
                <w:b/>
                <w:bCs/>
                <w:color w:val="000000"/>
                <w:sz w:val="16"/>
                <w:szCs w:val="16"/>
                <w:lang w:val="de-CH" w:eastAsia="de-CH"/>
              </w:rPr>
              <w:t>3 (</w:t>
            </w:r>
            <w:proofErr w:type="spellStart"/>
            <w:r w:rsidR="00EA28F4" w:rsidRPr="00BE20BD">
              <w:rPr>
                <w:rFonts w:eastAsia="Times New Roman" w:cs="Arial"/>
                <w:b/>
                <w:bCs/>
                <w:color w:val="000000"/>
                <w:sz w:val="16"/>
                <w:szCs w:val="16"/>
                <w:lang w:val="de-CH" w:eastAsia="de-CH"/>
              </w:rPr>
              <w:t>restated</w:t>
            </w:r>
            <w:proofErr w:type="spellEnd"/>
            <w:r w:rsidR="00EA28F4" w:rsidRPr="00BE20BD">
              <w:rPr>
                <w:rFonts w:eastAsia="Times New Roman" w:cs="Arial"/>
                <w:b/>
                <w:bCs/>
                <w:color w:val="000000"/>
                <w:sz w:val="16"/>
                <w:szCs w:val="16"/>
                <w:lang w:val="de-CH" w:eastAsia="de-CH"/>
              </w:rPr>
              <w:t>)</w:t>
            </w:r>
          </w:p>
        </w:tc>
        <w:tc>
          <w:tcPr>
            <w:tcW w:w="566" w:type="dxa"/>
            <w:tcBorders>
              <w:top w:val="nil"/>
              <w:left w:val="nil"/>
              <w:bottom w:val="nil"/>
              <w:right w:val="nil"/>
            </w:tcBorders>
            <w:shd w:val="clear" w:color="000000" w:fill="D9D9D9"/>
            <w:noWrap/>
            <w:vAlign w:val="bottom"/>
            <w:hideMark/>
          </w:tcPr>
          <w:p w14:paraId="0C010AE9" w14:textId="77777777" w:rsidR="00ED2AA1" w:rsidRPr="00BE20BD" w:rsidRDefault="00ED2AA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r>
      <w:tr w:rsidR="00ED2AA1" w:rsidRPr="00BE20BD" w14:paraId="48B24689" w14:textId="77777777" w:rsidTr="00FD64DD">
        <w:trPr>
          <w:trHeight w:val="675"/>
        </w:trPr>
        <w:tc>
          <w:tcPr>
            <w:tcW w:w="2976" w:type="dxa"/>
            <w:tcBorders>
              <w:top w:val="nil"/>
              <w:left w:val="nil"/>
              <w:bottom w:val="single" w:sz="4" w:space="0" w:color="auto"/>
              <w:right w:val="nil"/>
            </w:tcBorders>
            <w:shd w:val="clear" w:color="000000" w:fill="FFFFFF"/>
            <w:vAlign w:val="bottom"/>
            <w:hideMark/>
          </w:tcPr>
          <w:p w14:paraId="371B335F" w14:textId="740ED87B" w:rsidR="00ED2AA1" w:rsidRPr="00BE20BD" w:rsidRDefault="00ED2AA1" w:rsidP="00A0280B">
            <w:pPr>
              <w:keepNext/>
              <w:spacing w:line="240" w:lineRule="auto"/>
              <w:rPr>
                <w:rFonts w:eastAsia="Times New Roman" w:cs="Arial"/>
                <w:color w:val="000000"/>
                <w:sz w:val="12"/>
                <w:szCs w:val="12"/>
                <w:lang w:val="en-US" w:eastAsia="de-CH"/>
              </w:rPr>
            </w:pPr>
            <w:r w:rsidRPr="00BE20BD">
              <w:rPr>
                <w:rFonts w:eastAsia="Times New Roman" w:cs="Arial"/>
                <w:color w:val="000000"/>
                <w:sz w:val="12"/>
                <w:szCs w:val="12"/>
                <w:lang w:val="en-US" w:eastAsia="de-CH"/>
              </w:rPr>
              <w:t xml:space="preserve">Sign convention: </w:t>
            </w:r>
            <w:r w:rsidRPr="00BE20BD">
              <w:rPr>
                <w:rFonts w:eastAsia="Times New Roman" w:cs="Arial"/>
                <w:color w:val="000000"/>
                <w:sz w:val="12"/>
                <w:szCs w:val="12"/>
                <w:lang w:val="en-US" w:eastAsia="de-CH"/>
              </w:rPr>
              <w:br/>
              <w:t xml:space="preserve">TC = sum of </w:t>
            </w:r>
            <w:proofErr w:type="gramStart"/>
            <w:r w:rsidRPr="00BE20BD">
              <w:rPr>
                <w:rFonts w:eastAsia="Times New Roman" w:cs="Arial"/>
                <w:color w:val="000000"/>
                <w:sz w:val="12"/>
                <w:szCs w:val="12"/>
                <w:lang w:val="en-US" w:eastAsia="de-CH"/>
              </w:rPr>
              <w:t>components;.</w:t>
            </w:r>
            <w:proofErr w:type="gramEnd"/>
          </w:p>
        </w:tc>
        <w:tc>
          <w:tcPr>
            <w:tcW w:w="216" w:type="dxa"/>
            <w:tcBorders>
              <w:top w:val="nil"/>
              <w:left w:val="nil"/>
              <w:bottom w:val="single" w:sz="4" w:space="0" w:color="auto"/>
              <w:right w:val="nil"/>
            </w:tcBorders>
            <w:shd w:val="clear" w:color="000000" w:fill="FFFFFF"/>
            <w:vAlign w:val="bottom"/>
            <w:hideMark/>
          </w:tcPr>
          <w:p w14:paraId="298E8826" w14:textId="77777777" w:rsidR="00ED2AA1" w:rsidRPr="00BE20BD" w:rsidRDefault="00ED2AA1" w:rsidP="00A0280B">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916" w:type="dxa"/>
            <w:tcBorders>
              <w:top w:val="nil"/>
              <w:left w:val="nil"/>
              <w:bottom w:val="single" w:sz="4" w:space="0" w:color="auto"/>
              <w:right w:val="nil"/>
            </w:tcBorders>
            <w:shd w:val="clear" w:color="000000" w:fill="F2F2F2"/>
            <w:vAlign w:val="bottom"/>
            <w:hideMark/>
          </w:tcPr>
          <w:p w14:paraId="5C09DBF7" w14:textId="7C1F709B" w:rsidR="00ED2AA1" w:rsidRPr="00BE20BD" w:rsidRDefault="0067227A" w:rsidP="00A0280B">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In &lt;SST currency&gt; millions</w:t>
            </w:r>
          </w:p>
        </w:tc>
        <w:tc>
          <w:tcPr>
            <w:tcW w:w="576" w:type="dxa"/>
            <w:tcBorders>
              <w:top w:val="nil"/>
              <w:left w:val="nil"/>
              <w:bottom w:val="single" w:sz="4" w:space="0" w:color="auto"/>
              <w:right w:val="nil"/>
            </w:tcBorders>
            <w:shd w:val="clear" w:color="000000" w:fill="FFFFFF"/>
            <w:vAlign w:val="bottom"/>
            <w:hideMark/>
          </w:tcPr>
          <w:p w14:paraId="01487B7C" w14:textId="77777777" w:rsidR="00ED2AA1" w:rsidRPr="00BE20BD" w:rsidRDefault="00ED2AA1" w:rsidP="00A0280B">
            <w:pPr>
              <w:keepNext/>
              <w:spacing w:line="240" w:lineRule="auto"/>
              <w:rPr>
                <w:rFonts w:eastAsia="Times New Roman" w:cs="Arial"/>
                <w:color w:val="000000"/>
                <w:sz w:val="12"/>
                <w:szCs w:val="12"/>
                <w:lang w:val="de-CH" w:eastAsia="de-CH"/>
              </w:rPr>
            </w:pPr>
            <w:r w:rsidRPr="00BE20BD">
              <w:rPr>
                <w:rFonts w:eastAsia="Times New Roman" w:cs="Arial"/>
                <w:color w:val="000000"/>
                <w:sz w:val="12"/>
                <w:szCs w:val="12"/>
                <w:lang w:val="de-CH" w:eastAsia="de-CH"/>
              </w:rPr>
              <w:t xml:space="preserve">Rel. diff. </w:t>
            </w:r>
            <w:proofErr w:type="spellStart"/>
            <w:r w:rsidRPr="00BE20BD">
              <w:rPr>
                <w:rFonts w:eastAsia="Times New Roman" w:cs="Arial"/>
                <w:color w:val="000000"/>
                <w:sz w:val="12"/>
                <w:szCs w:val="12"/>
                <w:lang w:val="de-CH" w:eastAsia="de-CH"/>
              </w:rPr>
              <w:t>prev</w:t>
            </w:r>
            <w:proofErr w:type="spellEnd"/>
            <w:r w:rsidRPr="00BE20BD">
              <w:rPr>
                <w:rFonts w:eastAsia="Times New Roman" w:cs="Arial"/>
                <w:color w:val="000000"/>
                <w:sz w:val="12"/>
                <w:szCs w:val="12"/>
                <w:lang w:val="de-CH" w:eastAsia="de-CH"/>
              </w:rPr>
              <w:t xml:space="preserve">. </w:t>
            </w:r>
            <w:proofErr w:type="spellStart"/>
            <w:r w:rsidRPr="00BE20BD">
              <w:rPr>
                <w:rFonts w:eastAsia="Times New Roman" w:cs="Arial"/>
                <w:color w:val="000000"/>
                <w:sz w:val="12"/>
                <w:szCs w:val="12"/>
                <w:lang w:val="de-CH" w:eastAsia="de-CH"/>
              </w:rPr>
              <w:t>year</w:t>
            </w:r>
            <w:proofErr w:type="spellEnd"/>
          </w:p>
        </w:tc>
        <w:tc>
          <w:tcPr>
            <w:tcW w:w="185" w:type="dxa"/>
            <w:tcBorders>
              <w:top w:val="nil"/>
              <w:left w:val="nil"/>
              <w:bottom w:val="single" w:sz="4" w:space="0" w:color="auto"/>
              <w:right w:val="nil"/>
            </w:tcBorders>
            <w:shd w:val="clear" w:color="000000" w:fill="FFFFFF"/>
            <w:vAlign w:val="bottom"/>
            <w:hideMark/>
          </w:tcPr>
          <w:p w14:paraId="54B5F4F9" w14:textId="77777777" w:rsidR="00ED2AA1" w:rsidRPr="00BE20BD" w:rsidRDefault="00ED2AA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567" w:type="dxa"/>
            <w:tcBorders>
              <w:top w:val="nil"/>
              <w:left w:val="nil"/>
              <w:bottom w:val="single" w:sz="4" w:space="0" w:color="auto"/>
              <w:right w:val="nil"/>
            </w:tcBorders>
            <w:shd w:val="clear" w:color="000000" w:fill="F2F2F2"/>
            <w:vAlign w:val="bottom"/>
            <w:hideMark/>
          </w:tcPr>
          <w:p w14:paraId="6383E5BF" w14:textId="37CF5EA0" w:rsidR="00ED2AA1" w:rsidRPr="00BE20BD" w:rsidRDefault="00ED2AA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xml:space="preserve">Share </w:t>
            </w:r>
            <w:r w:rsidR="00FD64DD" w:rsidRPr="00BE20BD">
              <w:rPr>
                <w:rFonts w:eastAsia="Times New Roman" w:cs="Arial"/>
                <w:color w:val="000000"/>
                <w:sz w:val="16"/>
                <w:szCs w:val="16"/>
                <w:lang w:val="de-CH" w:eastAsia="de-CH"/>
              </w:rPr>
              <w:t>TC</w:t>
            </w:r>
          </w:p>
        </w:tc>
        <w:tc>
          <w:tcPr>
            <w:tcW w:w="576" w:type="dxa"/>
            <w:tcBorders>
              <w:top w:val="nil"/>
              <w:left w:val="nil"/>
              <w:bottom w:val="single" w:sz="4" w:space="0" w:color="auto"/>
              <w:right w:val="nil"/>
            </w:tcBorders>
            <w:shd w:val="clear" w:color="000000" w:fill="FFFFFF"/>
            <w:vAlign w:val="bottom"/>
            <w:hideMark/>
          </w:tcPr>
          <w:p w14:paraId="5611CE44" w14:textId="77777777" w:rsidR="00ED2AA1" w:rsidRPr="00BE20BD" w:rsidRDefault="00ED2AA1" w:rsidP="00A0280B">
            <w:pPr>
              <w:keepNext/>
              <w:spacing w:line="240" w:lineRule="auto"/>
              <w:rPr>
                <w:rFonts w:eastAsia="Times New Roman" w:cs="Arial"/>
                <w:color w:val="000000"/>
                <w:sz w:val="12"/>
                <w:szCs w:val="12"/>
                <w:lang w:val="de-CH" w:eastAsia="de-CH"/>
              </w:rPr>
            </w:pPr>
            <w:r w:rsidRPr="00BE20BD">
              <w:rPr>
                <w:rFonts w:eastAsia="Times New Roman" w:cs="Arial"/>
                <w:color w:val="000000"/>
                <w:sz w:val="12"/>
                <w:szCs w:val="12"/>
                <w:lang w:val="de-CH" w:eastAsia="de-CH"/>
              </w:rPr>
              <w:t xml:space="preserve">Rel. diff. </w:t>
            </w:r>
            <w:proofErr w:type="spellStart"/>
            <w:r w:rsidRPr="00BE20BD">
              <w:rPr>
                <w:rFonts w:eastAsia="Times New Roman" w:cs="Arial"/>
                <w:color w:val="000000"/>
                <w:sz w:val="12"/>
                <w:szCs w:val="12"/>
                <w:lang w:val="de-CH" w:eastAsia="de-CH"/>
              </w:rPr>
              <w:t>prev</w:t>
            </w:r>
            <w:proofErr w:type="spellEnd"/>
            <w:r w:rsidRPr="00BE20BD">
              <w:rPr>
                <w:rFonts w:eastAsia="Times New Roman" w:cs="Arial"/>
                <w:color w:val="000000"/>
                <w:sz w:val="12"/>
                <w:szCs w:val="12"/>
                <w:lang w:val="de-CH" w:eastAsia="de-CH"/>
              </w:rPr>
              <w:t xml:space="preserve">. </w:t>
            </w:r>
            <w:proofErr w:type="spellStart"/>
            <w:r w:rsidRPr="00BE20BD">
              <w:rPr>
                <w:rFonts w:eastAsia="Times New Roman" w:cs="Arial"/>
                <w:color w:val="000000"/>
                <w:sz w:val="12"/>
                <w:szCs w:val="12"/>
                <w:lang w:val="de-CH" w:eastAsia="de-CH"/>
              </w:rPr>
              <w:t>year</w:t>
            </w:r>
            <w:proofErr w:type="spellEnd"/>
          </w:p>
        </w:tc>
        <w:tc>
          <w:tcPr>
            <w:tcW w:w="256" w:type="dxa"/>
            <w:tcBorders>
              <w:top w:val="nil"/>
              <w:left w:val="nil"/>
              <w:bottom w:val="single" w:sz="4" w:space="0" w:color="auto"/>
              <w:right w:val="nil"/>
            </w:tcBorders>
            <w:shd w:val="clear" w:color="000000" w:fill="FFFFFF"/>
            <w:noWrap/>
            <w:vAlign w:val="bottom"/>
            <w:hideMark/>
          </w:tcPr>
          <w:p w14:paraId="0422E68A" w14:textId="77777777" w:rsidR="00ED2AA1" w:rsidRPr="00BE20BD" w:rsidRDefault="00ED2AA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916" w:type="dxa"/>
            <w:tcBorders>
              <w:top w:val="nil"/>
              <w:left w:val="nil"/>
              <w:bottom w:val="single" w:sz="4" w:space="0" w:color="auto"/>
              <w:right w:val="nil"/>
            </w:tcBorders>
            <w:shd w:val="clear" w:color="000000" w:fill="F2F2F2"/>
            <w:vAlign w:val="bottom"/>
            <w:hideMark/>
          </w:tcPr>
          <w:p w14:paraId="49F2FBD2" w14:textId="116FBEE9" w:rsidR="00ED2AA1" w:rsidRPr="00BE20BD" w:rsidRDefault="0067227A" w:rsidP="00A0280B">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In &lt;</w:t>
            </w:r>
            <w:proofErr w:type="gramStart"/>
            <w:r w:rsidRPr="00BE20BD">
              <w:rPr>
                <w:rFonts w:eastAsia="Times New Roman" w:cs="Arial"/>
                <w:color w:val="000000"/>
                <w:sz w:val="16"/>
                <w:szCs w:val="16"/>
                <w:lang w:val="en-US" w:eastAsia="de-CH"/>
              </w:rPr>
              <w:t>SST  currency</w:t>
            </w:r>
            <w:proofErr w:type="gramEnd"/>
            <w:r w:rsidRPr="00BE20BD">
              <w:rPr>
                <w:rFonts w:eastAsia="Times New Roman" w:cs="Arial"/>
                <w:color w:val="000000"/>
                <w:sz w:val="16"/>
                <w:szCs w:val="16"/>
                <w:lang w:val="en-US" w:eastAsia="de-CH"/>
              </w:rPr>
              <w:t>&gt; millions</w:t>
            </w:r>
          </w:p>
        </w:tc>
        <w:tc>
          <w:tcPr>
            <w:tcW w:w="566" w:type="dxa"/>
            <w:tcBorders>
              <w:top w:val="nil"/>
              <w:left w:val="nil"/>
              <w:bottom w:val="single" w:sz="4" w:space="0" w:color="auto"/>
              <w:right w:val="nil"/>
            </w:tcBorders>
            <w:shd w:val="clear" w:color="000000" w:fill="F2F2F2"/>
            <w:vAlign w:val="bottom"/>
            <w:hideMark/>
          </w:tcPr>
          <w:p w14:paraId="09B39044" w14:textId="691A2F7D" w:rsidR="00ED2AA1" w:rsidRPr="00BE20BD" w:rsidRDefault="00ED2AA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xml:space="preserve">Share </w:t>
            </w:r>
            <w:r w:rsidR="00FD64DD" w:rsidRPr="00BE20BD">
              <w:rPr>
                <w:rFonts w:eastAsia="Times New Roman" w:cs="Arial"/>
                <w:color w:val="000000"/>
                <w:sz w:val="16"/>
                <w:szCs w:val="16"/>
                <w:lang w:val="de-CH" w:eastAsia="de-CH"/>
              </w:rPr>
              <w:t>TC</w:t>
            </w:r>
          </w:p>
        </w:tc>
      </w:tr>
      <w:tr w:rsidR="00ED2AA1" w:rsidRPr="00BE20BD" w14:paraId="068B5164" w14:textId="77777777" w:rsidTr="00FD64DD">
        <w:trPr>
          <w:trHeight w:val="255"/>
        </w:trPr>
        <w:tc>
          <w:tcPr>
            <w:tcW w:w="2976" w:type="dxa"/>
            <w:tcBorders>
              <w:top w:val="nil"/>
              <w:left w:val="nil"/>
              <w:bottom w:val="nil"/>
              <w:right w:val="nil"/>
            </w:tcBorders>
            <w:shd w:val="clear" w:color="000000" w:fill="FFFFFF"/>
            <w:noWrap/>
            <w:vAlign w:val="bottom"/>
            <w:hideMark/>
          </w:tcPr>
          <w:p w14:paraId="5077B902" w14:textId="77777777" w:rsidR="00ED2AA1" w:rsidRPr="00BE20BD" w:rsidRDefault="00ED2AA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216" w:type="dxa"/>
            <w:tcBorders>
              <w:top w:val="nil"/>
              <w:left w:val="nil"/>
              <w:bottom w:val="nil"/>
              <w:right w:val="nil"/>
            </w:tcBorders>
            <w:shd w:val="clear" w:color="000000" w:fill="FFFFFF"/>
            <w:noWrap/>
            <w:vAlign w:val="bottom"/>
            <w:hideMark/>
          </w:tcPr>
          <w:p w14:paraId="1C016575" w14:textId="77777777" w:rsidR="00ED2AA1" w:rsidRPr="00BE20BD" w:rsidRDefault="00ED2AA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916" w:type="dxa"/>
            <w:tcBorders>
              <w:top w:val="nil"/>
              <w:left w:val="nil"/>
              <w:bottom w:val="nil"/>
              <w:right w:val="nil"/>
            </w:tcBorders>
            <w:shd w:val="clear" w:color="000000" w:fill="FFFFFF"/>
            <w:noWrap/>
            <w:vAlign w:val="bottom"/>
          </w:tcPr>
          <w:p w14:paraId="7C9E0A46" w14:textId="1DD87667" w:rsidR="00ED2AA1" w:rsidRPr="00BE20BD" w:rsidRDefault="00ED2AA1" w:rsidP="00A0280B">
            <w:pPr>
              <w:keepNext/>
              <w:spacing w:line="240" w:lineRule="auto"/>
              <w:rPr>
                <w:rFonts w:eastAsia="Times New Roman" w:cs="Arial"/>
                <w:color w:val="000000"/>
                <w:sz w:val="16"/>
                <w:szCs w:val="16"/>
                <w:lang w:val="de-CH" w:eastAsia="de-CH"/>
              </w:rPr>
            </w:pPr>
          </w:p>
        </w:tc>
        <w:tc>
          <w:tcPr>
            <w:tcW w:w="576" w:type="dxa"/>
            <w:tcBorders>
              <w:top w:val="nil"/>
              <w:left w:val="nil"/>
              <w:bottom w:val="nil"/>
              <w:right w:val="nil"/>
            </w:tcBorders>
            <w:shd w:val="clear" w:color="000000" w:fill="FFFFFF"/>
            <w:noWrap/>
            <w:vAlign w:val="bottom"/>
          </w:tcPr>
          <w:p w14:paraId="55FD184A" w14:textId="55B863C6" w:rsidR="00ED2AA1" w:rsidRPr="00BE20BD" w:rsidRDefault="00ED2AA1" w:rsidP="00A0280B">
            <w:pPr>
              <w:keepNext/>
              <w:spacing w:line="240" w:lineRule="auto"/>
              <w:rPr>
                <w:rFonts w:eastAsia="Times New Roman" w:cs="Arial"/>
                <w:color w:val="000000"/>
                <w:sz w:val="12"/>
                <w:szCs w:val="12"/>
                <w:lang w:val="de-CH" w:eastAsia="de-CH"/>
              </w:rPr>
            </w:pPr>
          </w:p>
        </w:tc>
        <w:tc>
          <w:tcPr>
            <w:tcW w:w="185" w:type="dxa"/>
            <w:tcBorders>
              <w:top w:val="nil"/>
              <w:left w:val="nil"/>
              <w:bottom w:val="nil"/>
              <w:right w:val="nil"/>
            </w:tcBorders>
            <w:shd w:val="clear" w:color="000000" w:fill="FFFFFF"/>
            <w:noWrap/>
            <w:vAlign w:val="bottom"/>
            <w:hideMark/>
          </w:tcPr>
          <w:p w14:paraId="6999A845" w14:textId="77777777" w:rsidR="00ED2AA1" w:rsidRPr="00BE20BD" w:rsidRDefault="00ED2AA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567" w:type="dxa"/>
            <w:tcBorders>
              <w:top w:val="nil"/>
              <w:left w:val="nil"/>
              <w:bottom w:val="nil"/>
              <w:right w:val="nil"/>
            </w:tcBorders>
            <w:shd w:val="clear" w:color="000000" w:fill="FFFFFF"/>
            <w:noWrap/>
            <w:vAlign w:val="bottom"/>
            <w:hideMark/>
          </w:tcPr>
          <w:p w14:paraId="46D953A8" w14:textId="77777777" w:rsidR="00ED2AA1" w:rsidRPr="00BE20BD" w:rsidRDefault="00ED2AA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576" w:type="dxa"/>
            <w:tcBorders>
              <w:top w:val="nil"/>
              <w:left w:val="nil"/>
              <w:bottom w:val="nil"/>
              <w:right w:val="nil"/>
            </w:tcBorders>
            <w:shd w:val="clear" w:color="000000" w:fill="FFFFFF"/>
            <w:noWrap/>
            <w:vAlign w:val="bottom"/>
          </w:tcPr>
          <w:p w14:paraId="1A6B1FC9" w14:textId="35403778" w:rsidR="00ED2AA1" w:rsidRPr="00BE20BD" w:rsidRDefault="00ED2AA1" w:rsidP="00A0280B">
            <w:pPr>
              <w:keepNext/>
              <w:spacing w:line="240" w:lineRule="auto"/>
              <w:rPr>
                <w:rFonts w:eastAsia="Times New Roman" w:cs="Arial"/>
                <w:color w:val="000000"/>
                <w:sz w:val="12"/>
                <w:szCs w:val="12"/>
                <w:lang w:val="de-CH" w:eastAsia="de-CH"/>
              </w:rPr>
            </w:pPr>
          </w:p>
        </w:tc>
        <w:tc>
          <w:tcPr>
            <w:tcW w:w="256" w:type="dxa"/>
            <w:tcBorders>
              <w:top w:val="nil"/>
              <w:left w:val="nil"/>
              <w:bottom w:val="nil"/>
              <w:right w:val="nil"/>
            </w:tcBorders>
            <w:shd w:val="clear" w:color="000000" w:fill="FFFFFF"/>
            <w:noWrap/>
            <w:vAlign w:val="bottom"/>
            <w:hideMark/>
          </w:tcPr>
          <w:p w14:paraId="1AAF2E00" w14:textId="77777777" w:rsidR="00ED2AA1" w:rsidRPr="00BE20BD" w:rsidRDefault="00ED2AA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916" w:type="dxa"/>
            <w:tcBorders>
              <w:top w:val="nil"/>
              <w:left w:val="nil"/>
              <w:bottom w:val="nil"/>
              <w:right w:val="nil"/>
            </w:tcBorders>
            <w:shd w:val="clear" w:color="000000" w:fill="FFFFFF"/>
            <w:noWrap/>
            <w:vAlign w:val="bottom"/>
          </w:tcPr>
          <w:p w14:paraId="4D847085" w14:textId="6C958716" w:rsidR="00ED2AA1" w:rsidRPr="00BE20BD" w:rsidRDefault="00ED2AA1" w:rsidP="00A0280B">
            <w:pPr>
              <w:keepNext/>
              <w:spacing w:line="240" w:lineRule="auto"/>
              <w:rPr>
                <w:rFonts w:eastAsia="Times New Roman" w:cs="Arial"/>
                <w:color w:val="000000"/>
                <w:sz w:val="16"/>
                <w:szCs w:val="16"/>
                <w:lang w:val="de-CH" w:eastAsia="de-CH"/>
              </w:rPr>
            </w:pPr>
          </w:p>
        </w:tc>
        <w:tc>
          <w:tcPr>
            <w:tcW w:w="566" w:type="dxa"/>
            <w:tcBorders>
              <w:top w:val="nil"/>
              <w:left w:val="nil"/>
              <w:bottom w:val="nil"/>
              <w:right w:val="nil"/>
            </w:tcBorders>
            <w:shd w:val="clear" w:color="000000" w:fill="FFFFFF"/>
            <w:noWrap/>
            <w:vAlign w:val="bottom"/>
            <w:hideMark/>
          </w:tcPr>
          <w:p w14:paraId="6CDD72D5" w14:textId="77777777" w:rsidR="00ED2AA1" w:rsidRPr="00BE20BD" w:rsidRDefault="00ED2AA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r>
      <w:tr w:rsidR="00ED2AA1" w:rsidRPr="00BE20BD" w14:paraId="3ADEF292" w14:textId="77777777" w:rsidTr="00FD64DD">
        <w:trPr>
          <w:trHeight w:val="255"/>
        </w:trPr>
        <w:tc>
          <w:tcPr>
            <w:tcW w:w="2976" w:type="dxa"/>
            <w:tcBorders>
              <w:top w:val="nil"/>
              <w:left w:val="nil"/>
              <w:bottom w:val="nil"/>
              <w:right w:val="nil"/>
            </w:tcBorders>
            <w:shd w:val="clear" w:color="000000" w:fill="D9D9D9"/>
            <w:noWrap/>
            <w:vAlign w:val="bottom"/>
            <w:hideMark/>
          </w:tcPr>
          <w:p w14:paraId="29BE0E1F" w14:textId="77777777" w:rsidR="00ED2AA1" w:rsidRPr="00BE20BD" w:rsidRDefault="00ED2AA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xml:space="preserve">Target </w:t>
            </w:r>
            <w:proofErr w:type="spellStart"/>
            <w:r w:rsidRPr="00BE20BD">
              <w:rPr>
                <w:rFonts w:eastAsia="Times New Roman" w:cs="Arial"/>
                <w:color w:val="000000"/>
                <w:sz w:val="16"/>
                <w:szCs w:val="16"/>
                <w:lang w:val="de-CH" w:eastAsia="de-CH"/>
              </w:rPr>
              <w:t>capital</w:t>
            </w:r>
            <w:proofErr w:type="spellEnd"/>
            <w:r w:rsidRPr="00BE20BD">
              <w:rPr>
                <w:rFonts w:eastAsia="Times New Roman" w:cs="Arial"/>
                <w:color w:val="000000"/>
                <w:sz w:val="16"/>
                <w:szCs w:val="16"/>
                <w:lang w:val="de-CH" w:eastAsia="de-CH"/>
              </w:rPr>
              <w:t xml:space="preserve"> (TC)</w:t>
            </w:r>
          </w:p>
        </w:tc>
        <w:tc>
          <w:tcPr>
            <w:tcW w:w="216" w:type="dxa"/>
            <w:tcBorders>
              <w:top w:val="nil"/>
              <w:left w:val="nil"/>
              <w:bottom w:val="nil"/>
              <w:right w:val="nil"/>
            </w:tcBorders>
            <w:shd w:val="clear" w:color="000000" w:fill="FFFFFF"/>
            <w:noWrap/>
            <w:vAlign w:val="bottom"/>
            <w:hideMark/>
          </w:tcPr>
          <w:p w14:paraId="7B3075DA" w14:textId="77777777" w:rsidR="00ED2AA1" w:rsidRPr="00BE20BD" w:rsidRDefault="00ED2AA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916" w:type="dxa"/>
            <w:tcBorders>
              <w:top w:val="nil"/>
              <w:left w:val="nil"/>
              <w:bottom w:val="nil"/>
              <w:right w:val="nil"/>
            </w:tcBorders>
            <w:shd w:val="clear" w:color="000000" w:fill="D9D9D9"/>
            <w:noWrap/>
            <w:vAlign w:val="bottom"/>
          </w:tcPr>
          <w:p w14:paraId="0D262E0D" w14:textId="6B85CBD7" w:rsidR="00ED2AA1" w:rsidRPr="00BE20BD" w:rsidRDefault="00ED2AA1" w:rsidP="00A0280B">
            <w:pPr>
              <w:keepNext/>
              <w:spacing w:line="240" w:lineRule="auto"/>
              <w:jc w:val="right"/>
              <w:rPr>
                <w:rFonts w:eastAsia="Times New Roman" w:cs="Arial"/>
                <w:color w:val="000000"/>
                <w:sz w:val="16"/>
                <w:szCs w:val="16"/>
                <w:lang w:val="de-CH" w:eastAsia="de-CH"/>
              </w:rPr>
            </w:pPr>
          </w:p>
        </w:tc>
        <w:tc>
          <w:tcPr>
            <w:tcW w:w="576" w:type="dxa"/>
            <w:tcBorders>
              <w:top w:val="nil"/>
              <w:left w:val="nil"/>
              <w:bottom w:val="nil"/>
              <w:right w:val="nil"/>
            </w:tcBorders>
            <w:shd w:val="clear" w:color="000000" w:fill="FFFFFF"/>
            <w:noWrap/>
            <w:vAlign w:val="bottom"/>
          </w:tcPr>
          <w:p w14:paraId="0CC153F6" w14:textId="14430E3C" w:rsidR="00ED2AA1" w:rsidRPr="00BE20BD" w:rsidRDefault="00ED2AA1" w:rsidP="00A0280B">
            <w:pPr>
              <w:keepNext/>
              <w:spacing w:line="240" w:lineRule="auto"/>
              <w:jc w:val="right"/>
              <w:rPr>
                <w:rFonts w:eastAsia="Times New Roman" w:cs="Arial"/>
                <w:color w:val="000000"/>
                <w:sz w:val="12"/>
                <w:szCs w:val="12"/>
                <w:lang w:val="de-CH" w:eastAsia="de-CH"/>
              </w:rPr>
            </w:pPr>
          </w:p>
        </w:tc>
        <w:tc>
          <w:tcPr>
            <w:tcW w:w="185" w:type="dxa"/>
            <w:tcBorders>
              <w:top w:val="nil"/>
              <w:left w:val="nil"/>
              <w:bottom w:val="nil"/>
              <w:right w:val="nil"/>
            </w:tcBorders>
            <w:shd w:val="clear" w:color="000000" w:fill="FFFFFF"/>
            <w:noWrap/>
            <w:vAlign w:val="bottom"/>
            <w:hideMark/>
          </w:tcPr>
          <w:p w14:paraId="6FBEB06C" w14:textId="77777777" w:rsidR="00ED2AA1" w:rsidRPr="00BE20BD" w:rsidRDefault="00ED2AA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567" w:type="dxa"/>
            <w:tcBorders>
              <w:top w:val="nil"/>
              <w:left w:val="nil"/>
              <w:bottom w:val="nil"/>
              <w:right w:val="nil"/>
            </w:tcBorders>
            <w:shd w:val="clear" w:color="000000" w:fill="D9D9D9"/>
            <w:noWrap/>
            <w:vAlign w:val="bottom"/>
          </w:tcPr>
          <w:p w14:paraId="018317F3" w14:textId="503DABD3" w:rsidR="00ED2AA1" w:rsidRPr="00BE20BD" w:rsidRDefault="00ED2AA1" w:rsidP="00A0280B">
            <w:pPr>
              <w:keepNext/>
              <w:spacing w:line="240" w:lineRule="auto"/>
              <w:jc w:val="right"/>
              <w:rPr>
                <w:rFonts w:eastAsia="Times New Roman" w:cs="Arial"/>
                <w:color w:val="000000"/>
                <w:sz w:val="16"/>
                <w:szCs w:val="16"/>
                <w:lang w:val="de-CH" w:eastAsia="de-CH"/>
              </w:rPr>
            </w:pPr>
          </w:p>
        </w:tc>
        <w:tc>
          <w:tcPr>
            <w:tcW w:w="576" w:type="dxa"/>
            <w:tcBorders>
              <w:top w:val="nil"/>
              <w:left w:val="nil"/>
              <w:bottom w:val="nil"/>
              <w:right w:val="nil"/>
            </w:tcBorders>
            <w:shd w:val="clear" w:color="000000" w:fill="FFFFFF"/>
            <w:noWrap/>
            <w:vAlign w:val="bottom"/>
          </w:tcPr>
          <w:p w14:paraId="1D3A6A5F" w14:textId="7B9CC75D" w:rsidR="00ED2AA1" w:rsidRPr="00BE20BD" w:rsidRDefault="00ED2AA1" w:rsidP="00A0280B">
            <w:pPr>
              <w:keepNext/>
              <w:spacing w:line="240" w:lineRule="auto"/>
              <w:jc w:val="right"/>
              <w:rPr>
                <w:rFonts w:eastAsia="Times New Roman" w:cs="Arial"/>
                <w:color w:val="000000"/>
                <w:sz w:val="12"/>
                <w:szCs w:val="12"/>
                <w:lang w:val="de-CH" w:eastAsia="de-CH"/>
              </w:rPr>
            </w:pPr>
          </w:p>
        </w:tc>
        <w:tc>
          <w:tcPr>
            <w:tcW w:w="256" w:type="dxa"/>
            <w:tcBorders>
              <w:top w:val="nil"/>
              <w:left w:val="nil"/>
              <w:bottom w:val="nil"/>
              <w:right w:val="nil"/>
            </w:tcBorders>
            <w:shd w:val="clear" w:color="000000" w:fill="FFFFFF"/>
            <w:noWrap/>
            <w:vAlign w:val="bottom"/>
            <w:hideMark/>
          </w:tcPr>
          <w:p w14:paraId="650F6E9D" w14:textId="77777777" w:rsidR="00ED2AA1" w:rsidRPr="00BE20BD" w:rsidRDefault="00ED2AA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916" w:type="dxa"/>
            <w:tcBorders>
              <w:top w:val="nil"/>
              <w:left w:val="nil"/>
              <w:bottom w:val="nil"/>
              <w:right w:val="nil"/>
            </w:tcBorders>
            <w:shd w:val="clear" w:color="000000" w:fill="D9D9D9"/>
            <w:noWrap/>
            <w:vAlign w:val="bottom"/>
          </w:tcPr>
          <w:p w14:paraId="1C1379E8" w14:textId="3F6C4EE1" w:rsidR="00ED2AA1" w:rsidRPr="00BE20BD" w:rsidRDefault="00ED2AA1" w:rsidP="00A0280B">
            <w:pPr>
              <w:keepNext/>
              <w:spacing w:line="240" w:lineRule="auto"/>
              <w:jc w:val="right"/>
              <w:rPr>
                <w:rFonts w:eastAsia="Times New Roman" w:cs="Arial"/>
                <w:color w:val="000000"/>
                <w:sz w:val="16"/>
                <w:szCs w:val="16"/>
                <w:lang w:val="de-CH" w:eastAsia="de-CH"/>
              </w:rPr>
            </w:pPr>
          </w:p>
        </w:tc>
        <w:tc>
          <w:tcPr>
            <w:tcW w:w="566" w:type="dxa"/>
            <w:tcBorders>
              <w:top w:val="nil"/>
              <w:left w:val="nil"/>
              <w:bottom w:val="nil"/>
              <w:right w:val="nil"/>
            </w:tcBorders>
            <w:shd w:val="clear" w:color="000000" w:fill="D9D9D9"/>
            <w:noWrap/>
            <w:vAlign w:val="bottom"/>
          </w:tcPr>
          <w:p w14:paraId="323874A0" w14:textId="618DE88B" w:rsidR="00ED2AA1" w:rsidRPr="00BE20BD" w:rsidRDefault="00ED2AA1" w:rsidP="00A0280B">
            <w:pPr>
              <w:keepNext/>
              <w:spacing w:line="240" w:lineRule="auto"/>
              <w:jc w:val="right"/>
              <w:rPr>
                <w:rFonts w:eastAsia="Times New Roman" w:cs="Arial"/>
                <w:color w:val="000000"/>
                <w:sz w:val="16"/>
                <w:szCs w:val="16"/>
                <w:lang w:val="de-CH" w:eastAsia="de-CH"/>
              </w:rPr>
            </w:pPr>
          </w:p>
        </w:tc>
      </w:tr>
      <w:tr w:rsidR="00ED2AA1" w:rsidRPr="00BE20BD" w14:paraId="2129BF69" w14:textId="77777777" w:rsidTr="00FD64DD">
        <w:trPr>
          <w:trHeight w:val="255"/>
        </w:trPr>
        <w:tc>
          <w:tcPr>
            <w:tcW w:w="2976" w:type="dxa"/>
            <w:tcBorders>
              <w:top w:val="nil"/>
              <w:left w:val="nil"/>
              <w:bottom w:val="nil"/>
              <w:right w:val="nil"/>
            </w:tcBorders>
            <w:shd w:val="clear" w:color="000000" w:fill="F2F2F2"/>
            <w:noWrap/>
            <w:vAlign w:val="bottom"/>
            <w:hideMark/>
          </w:tcPr>
          <w:p w14:paraId="160C99B7" w14:textId="77777777" w:rsidR="00ED2AA1" w:rsidRPr="00BE20BD" w:rsidRDefault="00ED2AA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xml:space="preserve"> Market </w:t>
            </w:r>
            <w:proofErr w:type="spellStart"/>
            <w:r w:rsidRPr="00BE20BD">
              <w:rPr>
                <w:rFonts w:eastAsia="Times New Roman" w:cs="Arial"/>
                <w:color w:val="000000"/>
                <w:sz w:val="16"/>
                <w:szCs w:val="16"/>
                <w:lang w:val="de-CH" w:eastAsia="de-CH"/>
              </w:rPr>
              <w:t>risk</w:t>
            </w:r>
            <w:proofErr w:type="spellEnd"/>
          </w:p>
        </w:tc>
        <w:tc>
          <w:tcPr>
            <w:tcW w:w="216" w:type="dxa"/>
            <w:tcBorders>
              <w:top w:val="nil"/>
              <w:left w:val="nil"/>
              <w:bottom w:val="nil"/>
              <w:right w:val="nil"/>
            </w:tcBorders>
            <w:shd w:val="clear" w:color="000000" w:fill="FFFFFF"/>
            <w:noWrap/>
            <w:vAlign w:val="bottom"/>
            <w:hideMark/>
          </w:tcPr>
          <w:p w14:paraId="7C71D0AD" w14:textId="77777777" w:rsidR="00ED2AA1" w:rsidRPr="00BE20BD" w:rsidRDefault="00ED2AA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916" w:type="dxa"/>
            <w:tcBorders>
              <w:top w:val="nil"/>
              <w:left w:val="nil"/>
              <w:bottom w:val="nil"/>
              <w:right w:val="nil"/>
            </w:tcBorders>
            <w:shd w:val="clear" w:color="000000" w:fill="F2F2F2"/>
            <w:noWrap/>
            <w:vAlign w:val="bottom"/>
          </w:tcPr>
          <w:p w14:paraId="355F7CD3" w14:textId="57FDEC3D" w:rsidR="00ED2AA1" w:rsidRPr="00BE20BD" w:rsidRDefault="00ED2AA1" w:rsidP="00A0280B">
            <w:pPr>
              <w:keepNext/>
              <w:spacing w:line="240" w:lineRule="auto"/>
              <w:jc w:val="right"/>
              <w:rPr>
                <w:rFonts w:eastAsia="Times New Roman" w:cs="Arial"/>
                <w:color w:val="000000"/>
                <w:sz w:val="16"/>
                <w:szCs w:val="16"/>
                <w:lang w:val="de-CH" w:eastAsia="de-CH"/>
              </w:rPr>
            </w:pPr>
          </w:p>
        </w:tc>
        <w:tc>
          <w:tcPr>
            <w:tcW w:w="576" w:type="dxa"/>
            <w:tcBorders>
              <w:top w:val="nil"/>
              <w:left w:val="nil"/>
              <w:bottom w:val="nil"/>
              <w:right w:val="nil"/>
            </w:tcBorders>
            <w:shd w:val="clear" w:color="000000" w:fill="FFFFFF"/>
            <w:noWrap/>
            <w:vAlign w:val="bottom"/>
          </w:tcPr>
          <w:p w14:paraId="2B448DC9" w14:textId="06E9F237" w:rsidR="00ED2AA1" w:rsidRPr="00BE20BD" w:rsidRDefault="00ED2AA1" w:rsidP="00A0280B">
            <w:pPr>
              <w:keepNext/>
              <w:spacing w:line="240" w:lineRule="auto"/>
              <w:jc w:val="right"/>
              <w:rPr>
                <w:rFonts w:eastAsia="Times New Roman" w:cs="Arial"/>
                <w:color w:val="000000"/>
                <w:sz w:val="12"/>
                <w:szCs w:val="12"/>
                <w:lang w:val="de-CH" w:eastAsia="de-CH"/>
              </w:rPr>
            </w:pPr>
          </w:p>
        </w:tc>
        <w:tc>
          <w:tcPr>
            <w:tcW w:w="185" w:type="dxa"/>
            <w:tcBorders>
              <w:top w:val="nil"/>
              <w:left w:val="nil"/>
              <w:bottom w:val="nil"/>
              <w:right w:val="nil"/>
            </w:tcBorders>
            <w:shd w:val="clear" w:color="000000" w:fill="FFFFFF"/>
            <w:noWrap/>
            <w:vAlign w:val="bottom"/>
            <w:hideMark/>
          </w:tcPr>
          <w:p w14:paraId="0000176A" w14:textId="77777777" w:rsidR="00ED2AA1" w:rsidRPr="00BE20BD" w:rsidRDefault="00ED2AA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567" w:type="dxa"/>
            <w:tcBorders>
              <w:top w:val="nil"/>
              <w:left w:val="nil"/>
              <w:bottom w:val="nil"/>
              <w:right w:val="nil"/>
            </w:tcBorders>
            <w:shd w:val="clear" w:color="000000" w:fill="F2F2F2"/>
            <w:noWrap/>
            <w:vAlign w:val="bottom"/>
          </w:tcPr>
          <w:p w14:paraId="1E8EE440" w14:textId="68F58CA0" w:rsidR="00ED2AA1" w:rsidRPr="00BE20BD" w:rsidRDefault="00ED2AA1" w:rsidP="00A0280B">
            <w:pPr>
              <w:keepNext/>
              <w:spacing w:line="240" w:lineRule="auto"/>
              <w:jc w:val="right"/>
              <w:rPr>
                <w:rFonts w:eastAsia="Times New Roman" w:cs="Arial"/>
                <w:color w:val="000000"/>
                <w:sz w:val="16"/>
                <w:szCs w:val="16"/>
                <w:lang w:val="de-CH" w:eastAsia="de-CH"/>
              </w:rPr>
            </w:pPr>
          </w:p>
        </w:tc>
        <w:tc>
          <w:tcPr>
            <w:tcW w:w="576" w:type="dxa"/>
            <w:tcBorders>
              <w:top w:val="nil"/>
              <w:left w:val="nil"/>
              <w:bottom w:val="nil"/>
              <w:right w:val="nil"/>
            </w:tcBorders>
            <w:shd w:val="clear" w:color="000000" w:fill="FFFFFF"/>
            <w:noWrap/>
            <w:vAlign w:val="bottom"/>
          </w:tcPr>
          <w:p w14:paraId="6AD71B34" w14:textId="489933A5" w:rsidR="00ED2AA1" w:rsidRPr="00BE20BD" w:rsidRDefault="00ED2AA1" w:rsidP="00A0280B">
            <w:pPr>
              <w:keepNext/>
              <w:spacing w:line="240" w:lineRule="auto"/>
              <w:jc w:val="right"/>
              <w:rPr>
                <w:rFonts w:eastAsia="Times New Roman" w:cs="Arial"/>
                <w:color w:val="000000"/>
                <w:sz w:val="12"/>
                <w:szCs w:val="12"/>
                <w:lang w:val="de-CH" w:eastAsia="de-CH"/>
              </w:rPr>
            </w:pPr>
          </w:p>
        </w:tc>
        <w:tc>
          <w:tcPr>
            <w:tcW w:w="256" w:type="dxa"/>
            <w:tcBorders>
              <w:top w:val="nil"/>
              <w:left w:val="nil"/>
              <w:bottom w:val="nil"/>
              <w:right w:val="nil"/>
            </w:tcBorders>
            <w:shd w:val="clear" w:color="000000" w:fill="FFFFFF"/>
            <w:noWrap/>
            <w:vAlign w:val="bottom"/>
            <w:hideMark/>
          </w:tcPr>
          <w:p w14:paraId="593B8B1B" w14:textId="77777777" w:rsidR="00ED2AA1" w:rsidRPr="00BE20BD" w:rsidRDefault="00ED2AA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916" w:type="dxa"/>
            <w:tcBorders>
              <w:top w:val="nil"/>
              <w:left w:val="nil"/>
              <w:bottom w:val="nil"/>
              <w:right w:val="nil"/>
            </w:tcBorders>
            <w:shd w:val="clear" w:color="000000" w:fill="F2F2F2"/>
            <w:noWrap/>
            <w:vAlign w:val="bottom"/>
          </w:tcPr>
          <w:p w14:paraId="5C547654" w14:textId="391AD931" w:rsidR="00ED2AA1" w:rsidRPr="00BE20BD" w:rsidRDefault="00ED2AA1" w:rsidP="00A0280B">
            <w:pPr>
              <w:keepNext/>
              <w:spacing w:line="240" w:lineRule="auto"/>
              <w:jc w:val="right"/>
              <w:rPr>
                <w:rFonts w:eastAsia="Times New Roman" w:cs="Arial"/>
                <w:color w:val="000000"/>
                <w:sz w:val="16"/>
                <w:szCs w:val="16"/>
                <w:lang w:val="de-CH" w:eastAsia="de-CH"/>
              </w:rPr>
            </w:pPr>
          </w:p>
        </w:tc>
        <w:tc>
          <w:tcPr>
            <w:tcW w:w="566" w:type="dxa"/>
            <w:tcBorders>
              <w:top w:val="nil"/>
              <w:left w:val="nil"/>
              <w:bottom w:val="nil"/>
              <w:right w:val="nil"/>
            </w:tcBorders>
            <w:shd w:val="clear" w:color="000000" w:fill="F2F2F2"/>
            <w:noWrap/>
            <w:vAlign w:val="bottom"/>
          </w:tcPr>
          <w:p w14:paraId="2F4C6775" w14:textId="1C1EFC7B" w:rsidR="00ED2AA1" w:rsidRPr="00BE20BD" w:rsidRDefault="00ED2AA1" w:rsidP="00A0280B">
            <w:pPr>
              <w:keepNext/>
              <w:spacing w:line="240" w:lineRule="auto"/>
              <w:jc w:val="right"/>
              <w:rPr>
                <w:rFonts w:eastAsia="Times New Roman" w:cs="Arial"/>
                <w:color w:val="000000"/>
                <w:sz w:val="16"/>
                <w:szCs w:val="16"/>
                <w:lang w:val="de-CH" w:eastAsia="de-CH"/>
              </w:rPr>
            </w:pPr>
          </w:p>
        </w:tc>
      </w:tr>
      <w:tr w:rsidR="00ED2AA1" w:rsidRPr="00BE20BD" w14:paraId="2621F40F" w14:textId="77777777" w:rsidTr="00FD64DD">
        <w:trPr>
          <w:trHeight w:val="255"/>
        </w:trPr>
        <w:tc>
          <w:tcPr>
            <w:tcW w:w="2976" w:type="dxa"/>
            <w:tcBorders>
              <w:top w:val="nil"/>
              <w:left w:val="nil"/>
              <w:bottom w:val="nil"/>
              <w:right w:val="nil"/>
            </w:tcBorders>
            <w:shd w:val="clear" w:color="000000" w:fill="FFFFFF"/>
            <w:noWrap/>
            <w:vAlign w:val="bottom"/>
            <w:hideMark/>
          </w:tcPr>
          <w:p w14:paraId="59A0D2B2" w14:textId="77777777" w:rsidR="00ED2AA1" w:rsidRPr="00BE20BD" w:rsidRDefault="00ED2AA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xml:space="preserve"> </w:t>
            </w:r>
            <w:proofErr w:type="spellStart"/>
            <w:r w:rsidRPr="00BE20BD">
              <w:rPr>
                <w:rFonts w:eastAsia="Times New Roman" w:cs="Arial"/>
                <w:color w:val="000000"/>
                <w:sz w:val="16"/>
                <w:szCs w:val="16"/>
                <w:lang w:val="de-CH" w:eastAsia="de-CH"/>
              </w:rPr>
              <w:t>Credit</w:t>
            </w:r>
            <w:proofErr w:type="spellEnd"/>
            <w:r w:rsidRPr="00BE20BD">
              <w:rPr>
                <w:rFonts w:eastAsia="Times New Roman" w:cs="Arial"/>
                <w:color w:val="000000"/>
                <w:sz w:val="16"/>
                <w:szCs w:val="16"/>
                <w:lang w:val="de-CH" w:eastAsia="de-CH"/>
              </w:rPr>
              <w:t xml:space="preserve"> </w:t>
            </w:r>
            <w:proofErr w:type="spellStart"/>
            <w:r w:rsidRPr="00BE20BD">
              <w:rPr>
                <w:rFonts w:eastAsia="Times New Roman" w:cs="Arial"/>
                <w:color w:val="000000"/>
                <w:sz w:val="16"/>
                <w:szCs w:val="16"/>
                <w:lang w:val="de-CH" w:eastAsia="de-CH"/>
              </w:rPr>
              <w:t>risk</w:t>
            </w:r>
            <w:proofErr w:type="spellEnd"/>
          </w:p>
        </w:tc>
        <w:tc>
          <w:tcPr>
            <w:tcW w:w="216" w:type="dxa"/>
            <w:tcBorders>
              <w:top w:val="nil"/>
              <w:left w:val="nil"/>
              <w:bottom w:val="nil"/>
              <w:right w:val="nil"/>
            </w:tcBorders>
            <w:shd w:val="clear" w:color="000000" w:fill="FFFFFF"/>
            <w:noWrap/>
            <w:vAlign w:val="bottom"/>
            <w:hideMark/>
          </w:tcPr>
          <w:p w14:paraId="09BFCF4F" w14:textId="77777777" w:rsidR="00ED2AA1" w:rsidRPr="00BE20BD" w:rsidRDefault="00ED2AA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916" w:type="dxa"/>
            <w:tcBorders>
              <w:top w:val="nil"/>
              <w:left w:val="nil"/>
              <w:bottom w:val="nil"/>
              <w:right w:val="nil"/>
            </w:tcBorders>
            <w:shd w:val="clear" w:color="auto" w:fill="auto"/>
            <w:noWrap/>
            <w:vAlign w:val="bottom"/>
          </w:tcPr>
          <w:p w14:paraId="1E80B89B" w14:textId="5A12E43F" w:rsidR="00ED2AA1" w:rsidRPr="00BE20BD" w:rsidRDefault="00ED2AA1" w:rsidP="00A0280B">
            <w:pPr>
              <w:keepNext/>
              <w:spacing w:line="240" w:lineRule="auto"/>
              <w:jc w:val="right"/>
              <w:rPr>
                <w:rFonts w:eastAsia="Times New Roman" w:cs="Arial"/>
                <w:color w:val="000000"/>
                <w:sz w:val="16"/>
                <w:szCs w:val="16"/>
                <w:lang w:val="de-CH" w:eastAsia="de-CH"/>
              </w:rPr>
            </w:pPr>
          </w:p>
        </w:tc>
        <w:tc>
          <w:tcPr>
            <w:tcW w:w="576" w:type="dxa"/>
            <w:tcBorders>
              <w:top w:val="nil"/>
              <w:left w:val="nil"/>
              <w:bottom w:val="nil"/>
              <w:right w:val="nil"/>
            </w:tcBorders>
            <w:shd w:val="clear" w:color="000000" w:fill="FFFFFF"/>
            <w:noWrap/>
            <w:vAlign w:val="bottom"/>
          </w:tcPr>
          <w:p w14:paraId="4B36E0E8" w14:textId="435CCC35" w:rsidR="00ED2AA1" w:rsidRPr="00BE20BD" w:rsidRDefault="00ED2AA1" w:rsidP="00A0280B">
            <w:pPr>
              <w:keepNext/>
              <w:spacing w:line="240" w:lineRule="auto"/>
              <w:jc w:val="right"/>
              <w:rPr>
                <w:rFonts w:eastAsia="Times New Roman" w:cs="Arial"/>
                <w:color w:val="000000"/>
                <w:sz w:val="12"/>
                <w:szCs w:val="12"/>
                <w:lang w:val="de-CH" w:eastAsia="de-CH"/>
              </w:rPr>
            </w:pPr>
          </w:p>
        </w:tc>
        <w:tc>
          <w:tcPr>
            <w:tcW w:w="185" w:type="dxa"/>
            <w:tcBorders>
              <w:top w:val="nil"/>
              <w:left w:val="nil"/>
              <w:bottom w:val="nil"/>
              <w:right w:val="nil"/>
            </w:tcBorders>
            <w:shd w:val="clear" w:color="000000" w:fill="FFFFFF"/>
            <w:noWrap/>
            <w:vAlign w:val="bottom"/>
            <w:hideMark/>
          </w:tcPr>
          <w:p w14:paraId="135F12E1" w14:textId="77777777" w:rsidR="00ED2AA1" w:rsidRPr="00BE20BD" w:rsidRDefault="00ED2AA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567" w:type="dxa"/>
            <w:tcBorders>
              <w:top w:val="nil"/>
              <w:left w:val="nil"/>
              <w:bottom w:val="nil"/>
              <w:right w:val="nil"/>
            </w:tcBorders>
            <w:shd w:val="clear" w:color="auto" w:fill="auto"/>
            <w:noWrap/>
            <w:vAlign w:val="bottom"/>
          </w:tcPr>
          <w:p w14:paraId="4163F91C" w14:textId="2F20C133" w:rsidR="00ED2AA1" w:rsidRPr="00BE20BD" w:rsidRDefault="00ED2AA1" w:rsidP="00A0280B">
            <w:pPr>
              <w:keepNext/>
              <w:spacing w:line="240" w:lineRule="auto"/>
              <w:jc w:val="right"/>
              <w:rPr>
                <w:rFonts w:eastAsia="Times New Roman" w:cs="Arial"/>
                <w:color w:val="000000"/>
                <w:sz w:val="16"/>
                <w:szCs w:val="16"/>
                <w:lang w:val="de-CH" w:eastAsia="de-CH"/>
              </w:rPr>
            </w:pPr>
          </w:p>
        </w:tc>
        <w:tc>
          <w:tcPr>
            <w:tcW w:w="576" w:type="dxa"/>
            <w:tcBorders>
              <w:top w:val="nil"/>
              <w:left w:val="nil"/>
              <w:bottom w:val="nil"/>
              <w:right w:val="nil"/>
            </w:tcBorders>
            <w:shd w:val="clear" w:color="000000" w:fill="FFFFFF"/>
            <w:noWrap/>
            <w:vAlign w:val="bottom"/>
          </w:tcPr>
          <w:p w14:paraId="335889EE" w14:textId="385F1A55" w:rsidR="00ED2AA1" w:rsidRPr="00BE20BD" w:rsidRDefault="00ED2AA1" w:rsidP="00A0280B">
            <w:pPr>
              <w:keepNext/>
              <w:spacing w:line="240" w:lineRule="auto"/>
              <w:jc w:val="right"/>
              <w:rPr>
                <w:rFonts w:eastAsia="Times New Roman" w:cs="Arial"/>
                <w:color w:val="000000"/>
                <w:sz w:val="12"/>
                <w:szCs w:val="12"/>
                <w:lang w:val="de-CH" w:eastAsia="de-CH"/>
              </w:rPr>
            </w:pPr>
          </w:p>
        </w:tc>
        <w:tc>
          <w:tcPr>
            <w:tcW w:w="256" w:type="dxa"/>
            <w:tcBorders>
              <w:top w:val="nil"/>
              <w:left w:val="nil"/>
              <w:bottom w:val="nil"/>
              <w:right w:val="nil"/>
            </w:tcBorders>
            <w:shd w:val="clear" w:color="000000" w:fill="FFFFFF"/>
            <w:noWrap/>
            <w:vAlign w:val="bottom"/>
            <w:hideMark/>
          </w:tcPr>
          <w:p w14:paraId="66B0325F" w14:textId="77777777" w:rsidR="00ED2AA1" w:rsidRPr="00BE20BD" w:rsidRDefault="00ED2AA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916" w:type="dxa"/>
            <w:tcBorders>
              <w:top w:val="nil"/>
              <w:left w:val="nil"/>
              <w:bottom w:val="nil"/>
              <w:right w:val="nil"/>
            </w:tcBorders>
            <w:shd w:val="clear" w:color="auto" w:fill="auto"/>
            <w:noWrap/>
            <w:vAlign w:val="bottom"/>
          </w:tcPr>
          <w:p w14:paraId="10894839" w14:textId="560B0344" w:rsidR="00ED2AA1" w:rsidRPr="00BE20BD" w:rsidRDefault="00ED2AA1" w:rsidP="00A0280B">
            <w:pPr>
              <w:keepNext/>
              <w:spacing w:line="240" w:lineRule="auto"/>
              <w:jc w:val="right"/>
              <w:rPr>
                <w:rFonts w:eastAsia="Times New Roman" w:cs="Arial"/>
                <w:color w:val="000000"/>
                <w:sz w:val="16"/>
                <w:szCs w:val="16"/>
                <w:lang w:val="de-CH" w:eastAsia="de-CH"/>
              </w:rPr>
            </w:pPr>
          </w:p>
        </w:tc>
        <w:tc>
          <w:tcPr>
            <w:tcW w:w="566" w:type="dxa"/>
            <w:tcBorders>
              <w:top w:val="nil"/>
              <w:left w:val="nil"/>
              <w:bottom w:val="nil"/>
              <w:right w:val="nil"/>
            </w:tcBorders>
            <w:shd w:val="clear" w:color="auto" w:fill="auto"/>
            <w:noWrap/>
            <w:vAlign w:val="bottom"/>
          </w:tcPr>
          <w:p w14:paraId="7DA460C9" w14:textId="6BC8C84F" w:rsidR="00ED2AA1" w:rsidRPr="00BE20BD" w:rsidRDefault="00ED2AA1" w:rsidP="00A0280B">
            <w:pPr>
              <w:keepNext/>
              <w:spacing w:line="240" w:lineRule="auto"/>
              <w:jc w:val="right"/>
              <w:rPr>
                <w:rFonts w:eastAsia="Times New Roman" w:cs="Arial"/>
                <w:color w:val="000000"/>
                <w:sz w:val="16"/>
                <w:szCs w:val="16"/>
                <w:lang w:val="de-CH" w:eastAsia="de-CH"/>
              </w:rPr>
            </w:pPr>
          </w:p>
        </w:tc>
      </w:tr>
      <w:tr w:rsidR="00ED2AA1" w:rsidRPr="00BE20BD" w14:paraId="4E958DD4" w14:textId="77777777" w:rsidTr="00FD64DD">
        <w:trPr>
          <w:trHeight w:val="255"/>
        </w:trPr>
        <w:tc>
          <w:tcPr>
            <w:tcW w:w="2976" w:type="dxa"/>
            <w:tcBorders>
              <w:top w:val="nil"/>
              <w:left w:val="nil"/>
              <w:bottom w:val="nil"/>
              <w:right w:val="nil"/>
            </w:tcBorders>
            <w:shd w:val="clear" w:color="000000" w:fill="F2F2F2"/>
            <w:noWrap/>
            <w:vAlign w:val="bottom"/>
            <w:hideMark/>
          </w:tcPr>
          <w:p w14:paraId="7F9CB2CB" w14:textId="77777777" w:rsidR="00ED2AA1" w:rsidRPr="00BE20BD" w:rsidRDefault="00ED2AA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xml:space="preserve"> Insurance </w:t>
            </w:r>
            <w:proofErr w:type="spellStart"/>
            <w:r w:rsidRPr="00BE20BD">
              <w:rPr>
                <w:rFonts w:eastAsia="Times New Roman" w:cs="Arial"/>
                <w:color w:val="000000"/>
                <w:sz w:val="16"/>
                <w:szCs w:val="16"/>
                <w:lang w:val="de-CH" w:eastAsia="de-CH"/>
              </w:rPr>
              <w:t>risk</w:t>
            </w:r>
            <w:proofErr w:type="spellEnd"/>
          </w:p>
        </w:tc>
        <w:tc>
          <w:tcPr>
            <w:tcW w:w="216" w:type="dxa"/>
            <w:tcBorders>
              <w:top w:val="nil"/>
              <w:left w:val="nil"/>
              <w:bottom w:val="nil"/>
              <w:right w:val="nil"/>
            </w:tcBorders>
            <w:shd w:val="clear" w:color="000000" w:fill="FFFFFF"/>
            <w:noWrap/>
            <w:vAlign w:val="bottom"/>
            <w:hideMark/>
          </w:tcPr>
          <w:p w14:paraId="398423A9" w14:textId="77777777" w:rsidR="00ED2AA1" w:rsidRPr="00BE20BD" w:rsidRDefault="00ED2AA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916" w:type="dxa"/>
            <w:tcBorders>
              <w:top w:val="nil"/>
              <w:left w:val="nil"/>
              <w:bottom w:val="nil"/>
              <w:right w:val="nil"/>
            </w:tcBorders>
            <w:shd w:val="clear" w:color="000000" w:fill="F2F2F2"/>
            <w:noWrap/>
            <w:vAlign w:val="bottom"/>
          </w:tcPr>
          <w:p w14:paraId="1D58E56F" w14:textId="07BCFEE0" w:rsidR="00ED2AA1" w:rsidRPr="00BE20BD" w:rsidRDefault="00ED2AA1" w:rsidP="00A0280B">
            <w:pPr>
              <w:keepNext/>
              <w:spacing w:line="240" w:lineRule="auto"/>
              <w:jc w:val="right"/>
              <w:rPr>
                <w:rFonts w:eastAsia="Times New Roman" w:cs="Arial"/>
                <w:color w:val="000000"/>
                <w:sz w:val="16"/>
                <w:szCs w:val="16"/>
                <w:lang w:val="de-CH" w:eastAsia="de-CH"/>
              </w:rPr>
            </w:pPr>
          </w:p>
        </w:tc>
        <w:tc>
          <w:tcPr>
            <w:tcW w:w="576" w:type="dxa"/>
            <w:tcBorders>
              <w:top w:val="nil"/>
              <w:left w:val="nil"/>
              <w:bottom w:val="nil"/>
              <w:right w:val="nil"/>
            </w:tcBorders>
            <w:shd w:val="clear" w:color="000000" w:fill="FFFFFF"/>
            <w:noWrap/>
            <w:vAlign w:val="bottom"/>
          </w:tcPr>
          <w:p w14:paraId="7666A166" w14:textId="21CB1A4F" w:rsidR="00ED2AA1" w:rsidRPr="00BE20BD" w:rsidRDefault="00ED2AA1" w:rsidP="00A0280B">
            <w:pPr>
              <w:keepNext/>
              <w:spacing w:line="240" w:lineRule="auto"/>
              <w:jc w:val="right"/>
              <w:rPr>
                <w:rFonts w:eastAsia="Times New Roman" w:cs="Arial"/>
                <w:color w:val="000000"/>
                <w:sz w:val="12"/>
                <w:szCs w:val="12"/>
                <w:lang w:val="de-CH" w:eastAsia="de-CH"/>
              </w:rPr>
            </w:pPr>
          </w:p>
        </w:tc>
        <w:tc>
          <w:tcPr>
            <w:tcW w:w="185" w:type="dxa"/>
            <w:tcBorders>
              <w:top w:val="nil"/>
              <w:left w:val="nil"/>
              <w:bottom w:val="nil"/>
              <w:right w:val="nil"/>
            </w:tcBorders>
            <w:shd w:val="clear" w:color="000000" w:fill="FFFFFF"/>
            <w:noWrap/>
            <w:vAlign w:val="bottom"/>
            <w:hideMark/>
          </w:tcPr>
          <w:p w14:paraId="5A4AAA3C" w14:textId="77777777" w:rsidR="00ED2AA1" w:rsidRPr="00BE20BD" w:rsidRDefault="00ED2AA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567" w:type="dxa"/>
            <w:tcBorders>
              <w:top w:val="nil"/>
              <w:left w:val="nil"/>
              <w:bottom w:val="nil"/>
              <w:right w:val="nil"/>
            </w:tcBorders>
            <w:shd w:val="clear" w:color="000000" w:fill="F2F2F2"/>
            <w:noWrap/>
            <w:vAlign w:val="bottom"/>
          </w:tcPr>
          <w:p w14:paraId="7D719416" w14:textId="16A08AA9" w:rsidR="00ED2AA1" w:rsidRPr="00BE20BD" w:rsidRDefault="00ED2AA1" w:rsidP="00A0280B">
            <w:pPr>
              <w:keepNext/>
              <w:spacing w:line="240" w:lineRule="auto"/>
              <w:jc w:val="right"/>
              <w:rPr>
                <w:rFonts w:eastAsia="Times New Roman" w:cs="Arial"/>
                <w:color w:val="000000"/>
                <w:sz w:val="16"/>
                <w:szCs w:val="16"/>
                <w:lang w:val="de-CH" w:eastAsia="de-CH"/>
              </w:rPr>
            </w:pPr>
          </w:p>
        </w:tc>
        <w:tc>
          <w:tcPr>
            <w:tcW w:w="576" w:type="dxa"/>
            <w:tcBorders>
              <w:top w:val="nil"/>
              <w:left w:val="nil"/>
              <w:bottom w:val="nil"/>
              <w:right w:val="nil"/>
            </w:tcBorders>
            <w:shd w:val="clear" w:color="000000" w:fill="FFFFFF"/>
            <w:noWrap/>
            <w:vAlign w:val="bottom"/>
          </w:tcPr>
          <w:p w14:paraId="094B1D76" w14:textId="3381FD1B" w:rsidR="00ED2AA1" w:rsidRPr="00BE20BD" w:rsidRDefault="00ED2AA1" w:rsidP="00A0280B">
            <w:pPr>
              <w:keepNext/>
              <w:spacing w:line="240" w:lineRule="auto"/>
              <w:jc w:val="right"/>
              <w:rPr>
                <w:rFonts w:eastAsia="Times New Roman" w:cs="Arial"/>
                <w:color w:val="000000"/>
                <w:sz w:val="12"/>
                <w:szCs w:val="12"/>
                <w:lang w:val="de-CH" w:eastAsia="de-CH"/>
              </w:rPr>
            </w:pPr>
          </w:p>
        </w:tc>
        <w:tc>
          <w:tcPr>
            <w:tcW w:w="256" w:type="dxa"/>
            <w:tcBorders>
              <w:top w:val="nil"/>
              <w:left w:val="nil"/>
              <w:bottom w:val="nil"/>
              <w:right w:val="nil"/>
            </w:tcBorders>
            <w:shd w:val="clear" w:color="000000" w:fill="FFFFFF"/>
            <w:noWrap/>
            <w:vAlign w:val="bottom"/>
            <w:hideMark/>
          </w:tcPr>
          <w:p w14:paraId="21B5E8F3" w14:textId="77777777" w:rsidR="00ED2AA1" w:rsidRPr="00BE20BD" w:rsidRDefault="00ED2AA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916" w:type="dxa"/>
            <w:tcBorders>
              <w:top w:val="nil"/>
              <w:left w:val="nil"/>
              <w:bottom w:val="nil"/>
              <w:right w:val="nil"/>
            </w:tcBorders>
            <w:shd w:val="clear" w:color="000000" w:fill="F2F2F2"/>
            <w:noWrap/>
            <w:vAlign w:val="bottom"/>
          </w:tcPr>
          <w:p w14:paraId="5AB664C7" w14:textId="7F893911" w:rsidR="00ED2AA1" w:rsidRPr="00BE20BD" w:rsidRDefault="00ED2AA1" w:rsidP="00A0280B">
            <w:pPr>
              <w:keepNext/>
              <w:spacing w:line="240" w:lineRule="auto"/>
              <w:jc w:val="right"/>
              <w:rPr>
                <w:rFonts w:eastAsia="Times New Roman" w:cs="Arial"/>
                <w:color w:val="000000"/>
                <w:sz w:val="16"/>
                <w:szCs w:val="16"/>
                <w:lang w:val="de-CH" w:eastAsia="de-CH"/>
              </w:rPr>
            </w:pPr>
          </w:p>
        </w:tc>
        <w:tc>
          <w:tcPr>
            <w:tcW w:w="566" w:type="dxa"/>
            <w:tcBorders>
              <w:top w:val="nil"/>
              <w:left w:val="nil"/>
              <w:bottom w:val="nil"/>
              <w:right w:val="nil"/>
            </w:tcBorders>
            <w:shd w:val="clear" w:color="000000" w:fill="F2F2F2"/>
            <w:noWrap/>
            <w:vAlign w:val="bottom"/>
          </w:tcPr>
          <w:p w14:paraId="22451078" w14:textId="10B95F6F" w:rsidR="00ED2AA1" w:rsidRPr="00BE20BD" w:rsidRDefault="00ED2AA1" w:rsidP="00A0280B">
            <w:pPr>
              <w:keepNext/>
              <w:spacing w:line="240" w:lineRule="auto"/>
              <w:jc w:val="right"/>
              <w:rPr>
                <w:rFonts w:eastAsia="Times New Roman" w:cs="Arial"/>
                <w:color w:val="000000"/>
                <w:sz w:val="16"/>
                <w:szCs w:val="16"/>
                <w:lang w:val="de-CH" w:eastAsia="de-CH"/>
              </w:rPr>
            </w:pPr>
          </w:p>
        </w:tc>
      </w:tr>
      <w:tr w:rsidR="00ED2AA1" w:rsidRPr="00BE20BD" w14:paraId="63A7E773" w14:textId="77777777" w:rsidTr="00FD64DD">
        <w:trPr>
          <w:trHeight w:val="255"/>
        </w:trPr>
        <w:tc>
          <w:tcPr>
            <w:tcW w:w="2976" w:type="dxa"/>
            <w:tcBorders>
              <w:top w:val="nil"/>
              <w:left w:val="nil"/>
              <w:bottom w:val="nil"/>
              <w:right w:val="nil"/>
            </w:tcBorders>
            <w:shd w:val="clear" w:color="000000" w:fill="FFFFFF"/>
            <w:noWrap/>
            <w:vAlign w:val="bottom"/>
            <w:hideMark/>
          </w:tcPr>
          <w:p w14:paraId="5A6EEDBB" w14:textId="77777777" w:rsidR="00ED2AA1" w:rsidRPr="00BE20BD" w:rsidRDefault="00ED2AA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xml:space="preserve"> </w:t>
            </w:r>
            <w:proofErr w:type="spellStart"/>
            <w:r w:rsidRPr="00BE20BD">
              <w:rPr>
                <w:rFonts w:eastAsia="Times New Roman" w:cs="Arial"/>
                <w:color w:val="000000"/>
                <w:sz w:val="16"/>
                <w:szCs w:val="16"/>
                <w:lang w:val="de-CH" w:eastAsia="de-CH"/>
              </w:rPr>
              <w:t>Diversification</w:t>
            </w:r>
            <w:proofErr w:type="spellEnd"/>
            <w:r w:rsidRPr="00BE20BD">
              <w:rPr>
                <w:rFonts w:eastAsia="Times New Roman" w:cs="Arial"/>
                <w:color w:val="000000"/>
                <w:sz w:val="16"/>
                <w:szCs w:val="16"/>
                <w:lang w:val="de-CH" w:eastAsia="de-CH"/>
              </w:rPr>
              <w:t xml:space="preserve"> </w:t>
            </w:r>
            <w:proofErr w:type="spellStart"/>
            <w:r w:rsidRPr="00BE20BD">
              <w:rPr>
                <w:rFonts w:eastAsia="Times New Roman" w:cs="Arial"/>
                <w:color w:val="000000"/>
                <w:sz w:val="16"/>
                <w:szCs w:val="16"/>
                <w:lang w:val="de-CH" w:eastAsia="de-CH"/>
              </w:rPr>
              <w:t>effect</w:t>
            </w:r>
            <w:proofErr w:type="spellEnd"/>
          </w:p>
        </w:tc>
        <w:tc>
          <w:tcPr>
            <w:tcW w:w="216" w:type="dxa"/>
            <w:tcBorders>
              <w:top w:val="nil"/>
              <w:left w:val="nil"/>
              <w:bottom w:val="nil"/>
              <w:right w:val="nil"/>
            </w:tcBorders>
            <w:shd w:val="clear" w:color="000000" w:fill="FFFFFF"/>
            <w:noWrap/>
            <w:vAlign w:val="bottom"/>
            <w:hideMark/>
          </w:tcPr>
          <w:p w14:paraId="6CA31877" w14:textId="77777777" w:rsidR="00ED2AA1" w:rsidRPr="00BE20BD" w:rsidRDefault="00ED2AA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916" w:type="dxa"/>
            <w:tcBorders>
              <w:top w:val="nil"/>
              <w:left w:val="nil"/>
              <w:bottom w:val="nil"/>
              <w:right w:val="nil"/>
            </w:tcBorders>
            <w:shd w:val="clear" w:color="auto" w:fill="auto"/>
            <w:noWrap/>
            <w:vAlign w:val="bottom"/>
          </w:tcPr>
          <w:p w14:paraId="47EE7EE6" w14:textId="77DDA944" w:rsidR="00ED2AA1" w:rsidRPr="00BE20BD" w:rsidRDefault="00ED2AA1" w:rsidP="00A0280B">
            <w:pPr>
              <w:keepNext/>
              <w:spacing w:line="240" w:lineRule="auto"/>
              <w:jc w:val="right"/>
              <w:rPr>
                <w:rFonts w:eastAsia="Times New Roman" w:cs="Arial"/>
                <w:color w:val="000000"/>
                <w:sz w:val="16"/>
                <w:szCs w:val="16"/>
                <w:lang w:val="de-CH" w:eastAsia="de-CH"/>
              </w:rPr>
            </w:pPr>
          </w:p>
        </w:tc>
        <w:tc>
          <w:tcPr>
            <w:tcW w:w="576" w:type="dxa"/>
            <w:tcBorders>
              <w:top w:val="nil"/>
              <w:left w:val="nil"/>
              <w:bottom w:val="nil"/>
              <w:right w:val="nil"/>
            </w:tcBorders>
            <w:shd w:val="clear" w:color="000000" w:fill="FFFFFF"/>
            <w:noWrap/>
            <w:vAlign w:val="bottom"/>
          </w:tcPr>
          <w:p w14:paraId="2387062A" w14:textId="788A975C" w:rsidR="00ED2AA1" w:rsidRPr="00BE20BD" w:rsidRDefault="00ED2AA1" w:rsidP="00A0280B">
            <w:pPr>
              <w:keepNext/>
              <w:spacing w:line="240" w:lineRule="auto"/>
              <w:jc w:val="right"/>
              <w:rPr>
                <w:rFonts w:eastAsia="Times New Roman" w:cs="Arial"/>
                <w:color w:val="000000"/>
                <w:sz w:val="12"/>
                <w:szCs w:val="12"/>
                <w:lang w:val="de-CH" w:eastAsia="de-CH"/>
              </w:rPr>
            </w:pPr>
          </w:p>
        </w:tc>
        <w:tc>
          <w:tcPr>
            <w:tcW w:w="185" w:type="dxa"/>
            <w:tcBorders>
              <w:top w:val="nil"/>
              <w:left w:val="nil"/>
              <w:bottom w:val="nil"/>
              <w:right w:val="nil"/>
            </w:tcBorders>
            <w:shd w:val="clear" w:color="000000" w:fill="FFFFFF"/>
            <w:noWrap/>
            <w:vAlign w:val="bottom"/>
            <w:hideMark/>
          </w:tcPr>
          <w:p w14:paraId="0E042D1D" w14:textId="77777777" w:rsidR="00ED2AA1" w:rsidRPr="00BE20BD" w:rsidRDefault="00ED2AA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567" w:type="dxa"/>
            <w:tcBorders>
              <w:top w:val="nil"/>
              <w:left w:val="nil"/>
              <w:bottom w:val="nil"/>
              <w:right w:val="nil"/>
            </w:tcBorders>
            <w:shd w:val="clear" w:color="auto" w:fill="auto"/>
            <w:noWrap/>
            <w:vAlign w:val="bottom"/>
          </w:tcPr>
          <w:p w14:paraId="51435952" w14:textId="27F433A9" w:rsidR="00ED2AA1" w:rsidRPr="00BE20BD" w:rsidRDefault="00ED2AA1" w:rsidP="00A0280B">
            <w:pPr>
              <w:keepNext/>
              <w:spacing w:line="240" w:lineRule="auto"/>
              <w:jc w:val="right"/>
              <w:rPr>
                <w:rFonts w:eastAsia="Times New Roman" w:cs="Arial"/>
                <w:color w:val="000000"/>
                <w:sz w:val="16"/>
                <w:szCs w:val="16"/>
                <w:lang w:val="de-CH" w:eastAsia="de-CH"/>
              </w:rPr>
            </w:pPr>
          </w:p>
        </w:tc>
        <w:tc>
          <w:tcPr>
            <w:tcW w:w="576" w:type="dxa"/>
            <w:tcBorders>
              <w:top w:val="nil"/>
              <w:left w:val="nil"/>
              <w:bottom w:val="nil"/>
              <w:right w:val="nil"/>
            </w:tcBorders>
            <w:shd w:val="clear" w:color="000000" w:fill="FFFFFF"/>
            <w:noWrap/>
            <w:vAlign w:val="bottom"/>
          </w:tcPr>
          <w:p w14:paraId="1FC689F0" w14:textId="1CD7C090" w:rsidR="00ED2AA1" w:rsidRPr="00BE20BD" w:rsidRDefault="00ED2AA1" w:rsidP="00A0280B">
            <w:pPr>
              <w:keepNext/>
              <w:spacing w:line="240" w:lineRule="auto"/>
              <w:jc w:val="right"/>
              <w:rPr>
                <w:rFonts w:eastAsia="Times New Roman" w:cs="Arial"/>
                <w:color w:val="000000"/>
                <w:sz w:val="12"/>
                <w:szCs w:val="12"/>
                <w:lang w:val="de-CH" w:eastAsia="de-CH"/>
              </w:rPr>
            </w:pPr>
          </w:p>
        </w:tc>
        <w:tc>
          <w:tcPr>
            <w:tcW w:w="256" w:type="dxa"/>
            <w:tcBorders>
              <w:top w:val="nil"/>
              <w:left w:val="nil"/>
              <w:bottom w:val="nil"/>
              <w:right w:val="nil"/>
            </w:tcBorders>
            <w:shd w:val="clear" w:color="000000" w:fill="FFFFFF"/>
            <w:noWrap/>
            <w:vAlign w:val="bottom"/>
            <w:hideMark/>
          </w:tcPr>
          <w:p w14:paraId="1EA68C4A" w14:textId="77777777" w:rsidR="00ED2AA1" w:rsidRPr="00BE20BD" w:rsidRDefault="00ED2AA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916" w:type="dxa"/>
            <w:tcBorders>
              <w:top w:val="nil"/>
              <w:left w:val="nil"/>
              <w:bottom w:val="nil"/>
              <w:right w:val="nil"/>
            </w:tcBorders>
            <w:shd w:val="clear" w:color="auto" w:fill="auto"/>
            <w:noWrap/>
            <w:vAlign w:val="bottom"/>
          </w:tcPr>
          <w:p w14:paraId="7660AD06" w14:textId="4E5F3A8F" w:rsidR="00ED2AA1" w:rsidRPr="00BE20BD" w:rsidRDefault="00ED2AA1" w:rsidP="00A0280B">
            <w:pPr>
              <w:keepNext/>
              <w:spacing w:line="240" w:lineRule="auto"/>
              <w:jc w:val="right"/>
              <w:rPr>
                <w:rFonts w:eastAsia="Times New Roman" w:cs="Arial"/>
                <w:color w:val="000000"/>
                <w:sz w:val="16"/>
                <w:szCs w:val="16"/>
                <w:lang w:val="de-CH" w:eastAsia="de-CH"/>
              </w:rPr>
            </w:pPr>
          </w:p>
        </w:tc>
        <w:tc>
          <w:tcPr>
            <w:tcW w:w="566" w:type="dxa"/>
            <w:tcBorders>
              <w:top w:val="nil"/>
              <w:left w:val="nil"/>
              <w:bottom w:val="nil"/>
              <w:right w:val="nil"/>
            </w:tcBorders>
            <w:shd w:val="clear" w:color="auto" w:fill="auto"/>
            <w:noWrap/>
            <w:vAlign w:val="bottom"/>
          </w:tcPr>
          <w:p w14:paraId="75DABD95" w14:textId="328EEBFC" w:rsidR="00ED2AA1" w:rsidRPr="00BE20BD" w:rsidRDefault="00ED2AA1" w:rsidP="00A0280B">
            <w:pPr>
              <w:keepNext/>
              <w:spacing w:line="240" w:lineRule="auto"/>
              <w:jc w:val="right"/>
              <w:rPr>
                <w:rFonts w:eastAsia="Times New Roman" w:cs="Arial"/>
                <w:color w:val="000000"/>
                <w:sz w:val="16"/>
                <w:szCs w:val="16"/>
                <w:lang w:val="de-CH" w:eastAsia="de-CH"/>
              </w:rPr>
            </w:pPr>
          </w:p>
        </w:tc>
      </w:tr>
      <w:tr w:rsidR="00596C13" w:rsidRPr="00BE20BD" w14:paraId="3EFF48DC" w14:textId="77777777" w:rsidTr="00FD64DD">
        <w:trPr>
          <w:trHeight w:val="255"/>
        </w:trPr>
        <w:tc>
          <w:tcPr>
            <w:tcW w:w="2976" w:type="dxa"/>
            <w:tcBorders>
              <w:top w:val="nil"/>
              <w:left w:val="nil"/>
              <w:bottom w:val="nil"/>
              <w:right w:val="nil"/>
            </w:tcBorders>
            <w:shd w:val="clear" w:color="000000" w:fill="F2F2F2"/>
            <w:noWrap/>
            <w:vAlign w:val="bottom"/>
            <w:hideMark/>
          </w:tcPr>
          <w:p w14:paraId="3B671D64" w14:textId="38A7D270" w:rsidR="00596C13" w:rsidRPr="00BE20BD" w:rsidRDefault="00596C13" w:rsidP="00596C13">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xml:space="preserve"> Negative of </w:t>
            </w:r>
            <w:r w:rsidRPr="00BE20BD">
              <w:rPr>
                <w:rFonts w:eastAsia="Times New Roman" w:cs="Arial"/>
                <w:color w:val="000000"/>
                <w:sz w:val="16"/>
                <w:szCs w:val="16"/>
                <w:lang w:val="en-US" w:eastAsia="de-CH"/>
              </w:rPr>
              <w:br/>
              <w:t xml:space="preserve">  expected financial result </w:t>
            </w:r>
          </w:p>
        </w:tc>
        <w:tc>
          <w:tcPr>
            <w:tcW w:w="216" w:type="dxa"/>
            <w:tcBorders>
              <w:top w:val="nil"/>
              <w:left w:val="nil"/>
              <w:bottom w:val="nil"/>
              <w:right w:val="nil"/>
            </w:tcBorders>
            <w:shd w:val="clear" w:color="000000" w:fill="FFFFFF"/>
            <w:noWrap/>
            <w:vAlign w:val="bottom"/>
            <w:hideMark/>
          </w:tcPr>
          <w:p w14:paraId="7DDF4D68" w14:textId="77777777" w:rsidR="00596C13" w:rsidRPr="00BE20BD" w:rsidRDefault="00596C13" w:rsidP="00596C13">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916" w:type="dxa"/>
            <w:tcBorders>
              <w:top w:val="nil"/>
              <w:left w:val="nil"/>
              <w:bottom w:val="nil"/>
              <w:right w:val="nil"/>
            </w:tcBorders>
            <w:shd w:val="clear" w:color="000000" w:fill="F2F2F2"/>
            <w:noWrap/>
            <w:vAlign w:val="bottom"/>
          </w:tcPr>
          <w:p w14:paraId="7AA984F1" w14:textId="3DD573AA" w:rsidR="00596C13" w:rsidRPr="00BE20BD" w:rsidRDefault="00596C13" w:rsidP="00596C13">
            <w:pPr>
              <w:keepNext/>
              <w:spacing w:line="240" w:lineRule="auto"/>
              <w:jc w:val="right"/>
              <w:rPr>
                <w:rFonts w:eastAsia="Times New Roman" w:cs="Arial"/>
                <w:color w:val="000000"/>
                <w:sz w:val="16"/>
                <w:szCs w:val="16"/>
                <w:lang w:val="en-US" w:eastAsia="de-CH"/>
              </w:rPr>
            </w:pPr>
          </w:p>
        </w:tc>
        <w:tc>
          <w:tcPr>
            <w:tcW w:w="576" w:type="dxa"/>
            <w:tcBorders>
              <w:top w:val="nil"/>
              <w:left w:val="nil"/>
              <w:bottom w:val="nil"/>
              <w:right w:val="nil"/>
            </w:tcBorders>
            <w:shd w:val="clear" w:color="000000" w:fill="FFFFFF"/>
            <w:noWrap/>
            <w:vAlign w:val="bottom"/>
          </w:tcPr>
          <w:p w14:paraId="545DFC9F" w14:textId="0DB397DB" w:rsidR="00596C13" w:rsidRPr="00BE20BD" w:rsidRDefault="00596C13" w:rsidP="00596C13">
            <w:pPr>
              <w:keepNext/>
              <w:spacing w:line="240" w:lineRule="auto"/>
              <w:jc w:val="right"/>
              <w:rPr>
                <w:rFonts w:eastAsia="Times New Roman" w:cs="Arial"/>
                <w:color w:val="000000"/>
                <w:sz w:val="12"/>
                <w:szCs w:val="12"/>
                <w:lang w:val="en-US" w:eastAsia="de-CH"/>
              </w:rPr>
            </w:pPr>
          </w:p>
        </w:tc>
        <w:tc>
          <w:tcPr>
            <w:tcW w:w="185" w:type="dxa"/>
            <w:tcBorders>
              <w:top w:val="nil"/>
              <w:left w:val="nil"/>
              <w:bottom w:val="nil"/>
              <w:right w:val="nil"/>
            </w:tcBorders>
            <w:shd w:val="clear" w:color="000000" w:fill="FFFFFF"/>
            <w:noWrap/>
            <w:vAlign w:val="bottom"/>
            <w:hideMark/>
          </w:tcPr>
          <w:p w14:paraId="34B14F55" w14:textId="77777777" w:rsidR="00596C13" w:rsidRPr="00BE20BD" w:rsidRDefault="00596C13" w:rsidP="00596C13">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567" w:type="dxa"/>
            <w:tcBorders>
              <w:top w:val="nil"/>
              <w:left w:val="nil"/>
              <w:bottom w:val="nil"/>
              <w:right w:val="nil"/>
            </w:tcBorders>
            <w:shd w:val="clear" w:color="000000" w:fill="F2F2F2"/>
            <w:noWrap/>
            <w:vAlign w:val="bottom"/>
          </w:tcPr>
          <w:p w14:paraId="113D351E" w14:textId="5E6EB20F" w:rsidR="00596C13" w:rsidRPr="00BE20BD" w:rsidRDefault="00596C13" w:rsidP="00596C13">
            <w:pPr>
              <w:keepNext/>
              <w:spacing w:line="240" w:lineRule="auto"/>
              <w:jc w:val="right"/>
              <w:rPr>
                <w:rFonts w:eastAsia="Times New Roman" w:cs="Arial"/>
                <w:color w:val="000000"/>
                <w:sz w:val="16"/>
                <w:szCs w:val="16"/>
                <w:lang w:val="en-US" w:eastAsia="de-CH"/>
              </w:rPr>
            </w:pPr>
          </w:p>
        </w:tc>
        <w:tc>
          <w:tcPr>
            <w:tcW w:w="576" w:type="dxa"/>
            <w:tcBorders>
              <w:top w:val="nil"/>
              <w:left w:val="nil"/>
              <w:bottom w:val="nil"/>
              <w:right w:val="nil"/>
            </w:tcBorders>
            <w:shd w:val="clear" w:color="000000" w:fill="FFFFFF"/>
            <w:noWrap/>
            <w:vAlign w:val="bottom"/>
          </w:tcPr>
          <w:p w14:paraId="742B6D14" w14:textId="1C03204B" w:rsidR="00596C13" w:rsidRPr="00BE20BD" w:rsidRDefault="00596C13" w:rsidP="00596C13">
            <w:pPr>
              <w:keepNext/>
              <w:spacing w:line="240" w:lineRule="auto"/>
              <w:jc w:val="right"/>
              <w:rPr>
                <w:rFonts w:eastAsia="Times New Roman" w:cs="Arial"/>
                <w:color w:val="000000"/>
                <w:sz w:val="12"/>
                <w:szCs w:val="12"/>
                <w:lang w:val="en-US" w:eastAsia="de-CH"/>
              </w:rPr>
            </w:pPr>
          </w:p>
        </w:tc>
        <w:tc>
          <w:tcPr>
            <w:tcW w:w="256" w:type="dxa"/>
            <w:tcBorders>
              <w:top w:val="nil"/>
              <w:left w:val="nil"/>
              <w:bottom w:val="nil"/>
              <w:right w:val="nil"/>
            </w:tcBorders>
            <w:shd w:val="clear" w:color="000000" w:fill="FFFFFF"/>
            <w:noWrap/>
            <w:vAlign w:val="bottom"/>
            <w:hideMark/>
          </w:tcPr>
          <w:p w14:paraId="41048669" w14:textId="77777777" w:rsidR="00596C13" w:rsidRPr="00BE20BD" w:rsidRDefault="00596C13" w:rsidP="00596C13">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916" w:type="dxa"/>
            <w:tcBorders>
              <w:top w:val="nil"/>
              <w:left w:val="nil"/>
              <w:bottom w:val="nil"/>
              <w:right w:val="nil"/>
            </w:tcBorders>
            <w:shd w:val="clear" w:color="000000" w:fill="F2F2F2"/>
            <w:noWrap/>
            <w:vAlign w:val="bottom"/>
          </w:tcPr>
          <w:p w14:paraId="65A54495" w14:textId="365663AE" w:rsidR="00596C13" w:rsidRPr="00BE20BD" w:rsidRDefault="00596C13" w:rsidP="00596C13">
            <w:pPr>
              <w:keepNext/>
              <w:spacing w:line="240" w:lineRule="auto"/>
              <w:jc w:val="right"/>
              <w:rPr>
                <w:rFonts w:eastAsia="Times New Roman" w:cs="Arial"/>
                <w:color w:val="000000"/>
                <w:sz w:val="16"/>
                <w:szCs w:val="16"/>
                <w:lang w:val="en-US" w:eastAsia="de-CH"/>
              </w:rPr>
            </w:pPr>
          </w:p>
        </w:tc>
        <w:tc>
          <w:tcPr>
            <w:tcW w:w="566" w:type="dxa"/>
            <w:tcBorders>
              <w:top w:val="nil"/>
              <w:left w:val="nil"/>
              <w:bottom w:val="nil"/>
              <w:right w:val="nil"/>
            </w:tcBorders>
            <w:shd w:val="clear" w:color="000000" w:fill="F2F2F2"/>
            <w:noWrap/>
            <w:vAlign w:val="bottom"/>
          </w:tcPr>
          <w:p w14:paraId="1044EB30" w14:textId="2FFFE10A" w:rsidR="00596C13" w:rsidRPr="00BE20BD" w:rsidRDefault="00596C13" w:rsidP="00596C13">
            <w:pPr>
              <w:keepNext/>
              <w:spacing w:line="240" w:lineRule="auto"/>
              <w:jc w:val="right"/>
              <w:rPr>
                <w:rFonts w:eastAsia="Times New Roman" w:cs="Arial"/>
                <w:color w:val="000000"/>
                <w:sz w:val="16"/>
                <w:szCs w:val="16"/>
                <w:lang w:val="en-US" w:eastAsia="de-CH"/>
              </w:rPr>
            </w:pPr>
          </w:p>
        </w:tc>
      </w:tr>
      <w:tr w:rsidR="00596C13" w:rsidRPr="00BE20BD" w14:paraId="141E32F6" w14:textId="77777777" w:rsidTr="00FD64DD">
        <w:trPr>
          <w:trHeight w:val="255"/>
        </w:trPr>
        <w:tc>
          <w:tcPr>
            <w:tcW w:w="2976" w:type="dxa"/>
            <w:tcBorders>
              <w:top w:val="nil"/>
              <w:left w:val="nil"/>
              <w:bottom w:val="nil"/>
              <w:right w:val="nil"/>
            </w:tcBorders>
            <w:shd w:val="clear" w:color="auto" w:fill="auto"/>
            <w:noWrap/>
            <w:vAlign w:val="bottom"/>
            <w:hideMark/>
          </w:tcPr>
          <w:p w14:paraId="629AF124" w14:textId="1940D42D" w:rsidR="00596C13" w:rsidRPr="00BE20BD" w:rsidRDefault="00596C13" w:rsidP="00596C13">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xml:space="preserve"> Negative of </w:t>
            </w:r>
            <w:r w:rsidRPr="00BE20BD">
              <w:rPr>
                <w:rFonts w:eastAsia="Times New Roman" w:cs="Arial"/>
                <w:color w:val="000000"/>
                <w:sz w:val="16"/>
                <w:szCs w:val="16"/>
                <w:lang w:val="en-US" w:eastAsia="de-CH"/>
              </w:rPr>
              <w:br/>
              <w:t xml:space="preserve">  expected insurance result</w:t>
            </w:r>
          </w:p>
        </w:tc>
        <w:tc>
          <w:tcPr>
            <w:tcW w:w="216" w:type="dxa"/>
            <w:tcBorders>
              <w:top w:val="nil"/>
              <w:left w:val="nil"/>
              <w:bottom w:val="nil"/>
              <w:right w:val="nil"/>
            </w:tcBorders>
            <w:shd w:val="clear" w:color="000000" w:fill="FFFFFF"/>
            <w:noWrap/>
            <w:vAlign w:val="bottom"/>
            <w:hideMark/>
          </w:tcPr>
          <w:p w14:paraId="6D21EE62" w14:textId="77777777" w:rsidR="00596C13" w:rsidRPr="00BE20BD" w:rsidRDefault="00596C13" w:rsidP="00596C13">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916" w:type="dxa"/>
            <w:tcBorders>
              <w:top w:val="nil"/>
              <w:left w:val="nil"/>
              <w:bottom w:val="nil"/>
              <w:right w:val="nil"/>
            </w:tcBorders>
            <w:shd w:val="clear" w:color="auto" w:fill="auto"/>
            <w:noWrap/>
            <w:vAlign w:val="bottom"/>
          </w:tcPr>
          <w:p w14:paraId="49C30C8E" w14:textId="1A0AF84C" w:rsidR="00596C13" w:rsidRPr="00BE20BD" w:rsidRDefault="00596C13" w:rsidP="00596C13">
            <w:pPr>
              <w:keepNext/>
              <w:spacing w:line="240" w:lineRule="auto"/>
              <w:jc w:val="right"/>
              <w:rPr>
                <w:rFonts w:eastAsia="Times New Roman" w:cs="Arial"/>
                <w:color w:val="000000"/>
                <w:sz w:val="16"/>
                <w:szCs w:val="16"/>
                <w:lang w:val="en-US" w:eastAsia="de-CH"/>
              </w:rPr>
            </w:pPr>
          </w:p>
        </w:tc>
        <w:tc>
          <w:tcPr>
            <w:tcW w:w="576" w:type="dxa"/>
            <w:tcBorders>
              <w:top w:val="nil"/>
              <w:left w:val="nil"/>
              <w:bottom w:val="nil"/>
              <w:right w:val="nil"/>
            </w:tcBorders>
            <w:shd w:val="clear" w:color="000000" w:fill="FFFFFF"/>
            <w:noWrap/>
            <w:vAlign w:val="bottom"/>
          </w:tcPr>
          <w:p w14:paraId="5AC56D3D" w14:textId="40C3290F" w:rsidR="00596C13" w:rsidRPr="00BE20BD" w:rsidRDefault="00596C13" w:rsidP="00596C13">
            <w:pPr>
              <w:keepNext/>
              <w:spacing w:line="240" w:lineRule="auto"/>
              <w:jc w:val="right"/>
              <w:rPr>
                <w:rFonts w:eastAsia="Times New Roman" w:cs="Arial"/>
                <w:color w:val="000000"/>
                <w:sz w:val="12"/>
                <w:szCs w:val="12"/>
                <w:lang w:val="en-US" w:eastAsia="de-CH"/>
              </w:rPr>
            </w:pPr>
          </w:p>
        </w:tc>
        <w:tc>
          <w:tcPr>
            <w:tcW w:w="185" w:type="dxa"/>
            <w:tcBorders>
              <w:top w:val="nil"/>
              <w:left w:val="nil"/>
              <w:bottom w:val="nil"/>
              <w:right w:val="nil"/>
            </w:tcBorders>
            <w:shd w:val="clear" w:color="000000" w:fill="FFFFFF"/>
            <w:noWrap/>
            <w:vAlign w:val="bottom"/>
            <w:hideMark/>
          </w:tcPr>
          <w:p w14:paraId="62FCAC34" w14:textId="77777777" w:rsidR="00596C13" w:rsidRPr="00BE20BD" w:rsidRDefault="00596C13" w:rsidP="00596C13">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567" w:type="dxa"/>
            <w:tcBorders>
              <w:top w:val="nil"/>
              <w:left w:val="nil"/>
              <w:bottom w:val="nil"/>
              <w:right w:val="nil"/>
            </w:tcBorders>
            <w:shd w:val="clear" w:color="auto" w:fill="auto"/>
            <w:noWrap/>
            <w:vAlign w:val="bottom"/>
          </w:tcPr>
          <w:p w14:paraId="12672813" w14:textId="57B1D738" w:rsidR="00596C13" w:rsidRPr="00BE20BD" w:rsidRDefault="00596C13" w:rsidP="00596C13">
            <w:pPr>
              <w:keepNext/>
              <w:spacing w:line="240" w:lineRule="auto"/>
              <w:jc w:val="right"/>
              <w:rPr>
                <w:rFonts w:eastAsia="Times New Roman" w:cs="Arial"/>
                <w:color w:val="000000"/>
                <w:sz w:val="16"/>
                <w:szCs w:val="16"/>
                <w:lang w:val="en-US" w:eastAsia="de-CH"/>
              </w:rPr>
            </w:pPr>
          </w:p>
        </w:tc>
        <w:tc>
          <w:tcPr>
            <w:tcW w:w="576" w:type="dxa"/>
            <w:tcBorders>
              <w:top w:val="nil"/>
              <w:left w:val="nil"/>
              <w:bottom w:val="nil"/>
              <w:right w:val="nil"/>
            </w:tcBorders>
            <w:shd w:val="clear" w:color="000000" w:fill="FFFFFF"/>
            <w:noWrap/>
            <w:vAlign w:val="bottom"/>
          </w:tcPr>
          <w:p w14:paraId="1A792AEF" w14:textId="3EFA97C4" w:rsidR="00596C13" w:rsidRPr="00BE20BD" w:rsidRDefault="00596C13" w:rsidP="00596C13">
            <w:pPr>
              <w:keepNext/>
              <w:spacing w:line="240" w:lineRule="auto"/>
              <w:jc w:val="right"/>
              <w:rPr>
                <w:rFonts w:eastAsia="Times New Roman" w:cs="Arial"/>
                <w:color w:val="000000"/>
                <w:sz w:val="12"/>
                <w:szCs w:val="12"/>
                <w:lang w:val="en-US" w:eastAsia="de-CH"/>
              </w:rPr>
            </w:pPr>
          </w:p>
        </w:tc>
        <w:tc>
          <w:tcPr>
            <w:tcW w:w="256" w:type="dxa"/>
            <w:tcBorders>
              <w:top w:val="nil"/>
              <w:left w:val="nil"/>
              <w:bottom w:val="nil"/>
              <w:right w:val="nil"/>
            </w:tcBorders>
            <w:shd w:val="clear" w:color="000000" w:fill="FFFFFF"/>
            <w:noWrap/>
            <w:vAlign w:val="bottom"/>
            <w:hideMark/>
          </w:tcPr>
          <w:p w14:paraId="3570D7FC" w14:textId="77777777" w:rsidR="00596C13" w:rsidRPr="00BE20BD" w:rsidRDefault="00596C13" w:rsidP="00596C13">
            <w:pPr>
              <w:keepNext/>
              <w:spacing w:line="240" w:lineRule="auto"/>
              <w:rPr>
                <w:rFonts w:eastAsia="Times New Roman" w:cs="Arial"/>
                <w:color w:val="000000"/>
                <w:sz w:val="16"/>
                <w:szCs w:val="16"/>
                <w:lang w:val="en-US" w:eastAsia="de-CH"/>
              </w:rPr>
            </w:pPr>
            <w:r w:rsidRPr="00BE20BD">
              <w:rPr>
                <w:rFonts w:eastAsia="Times New Roman" w:cs="Arial"/>
                <w:color w:val="000000"/>
                <w:sz w:val="16"/>
                <w:szCs w:val="16"/>
                <w:lang w:val="en-US" w:eastAsia="de-CH"/>
              </w:rPr>
              <w:t> </w:t>
            </w:r>
          </w:p>
        </w:tc>
        <w:tc>
          <w:tcPr>
            <w:tcW w:w="916" w:type="dxa"/>
            <w:tcBorders>
              <w:top w:val="nil"/>
              <w:left w:val="nil"/>
              <w:bottom w:val="nil"/>
              <w:right w:val="nil"/>
            </w:tcBorders>
            <w:shd w:val="clear" w:color="auto" w:fill="auto"/>
            <w:noWrap/>
            <w:vAlign w:val="bottom"/>
          </w:tcPr>
          <w:p w14:paraId="451AAB20" w14:textId="2B3ADAFC" w:rsidR="00596C13" w:rsidRPr="00BE20BD" w:rsidRDefault="00596C13" w:rsidP="00596C13">
            <w:pPr>
              <w:keepNext/>
              <w:spacing w:line="240" w:lineRule="auto"/>
              <w:jc w:val="right"/>
              <w:rPr>
                <w:rFonts w:eastAsia="Times New Roman" w:cs="Arial"/>
                <w:color w:val="000000"/>
                <w:sz w:val="16"/>
                <w:szCs w:val="16"/>
                <w:lang w:val="en-US" w:eastAsia="de-CH"/>
              </w:rPr>
            </w:pPr>
          </w:p>
        </w:tc>
        <w:tc>
          <w:tcPr>
            <w:tcW w:w="566" w:type="dxa"/>
            <w:tcBorders>
              <w:top w:val="nil"/>
              <w:left w:val="nil"/>
              <w:bottom w:val="nil"/>
              <w:right w:val="nil"/>
            </w:tcBorders>
            <w:shd w:val="clear" w:color="auto" w:fill="auto"/>
            <w:noWrap/>
            <w:vAlign w:val="bottom"/>
          </w:tcPr>
          <w:p w14:paraId="2B23B687" w14:textId="066902D8" w:rsidR="00596C13" w:rsidRPr="00BE20BD" w:rsidRDefault="00596C13" w:rsidP="00596C13">
            <w:pPr>
              <w:keepNext/>
              <w:spacing w:line="240" w:lineRule="auto"/>
              <w:jc w:val="right"/>
              <w:rPr>
                <w:rFonts w:eastAsia="Times New Roman" w:cs="Arial"/>
                <w:color w:val="000000"/>
                <w:sz w:val="16"/>
                <w:szCs w:val="16"/>
                <w:lang w:val="en-US" w:eastAsia="de-CH"/>
              </w:rPr>
            </w:pPr>
          </w:p>
        </w:tc>
      </w:tr>
      <w:tr w:rsidR="00ED2AA1" w:rsidRPr="00BE20BD" w14:paraId="0C726556" w14:textId="77777777" w:rsidTr="00FD64DD">
        <w:trPr>
          <w:trHeight w:val="255"/>
        </w:trPr>
        <w:tc>
          <w:tcPr>
            <w:tcW w:w="2976" w:type="dxa"/>
            <w:tcBorders>
              <w:top w:val="nil"/>
              <w:left w:val="nil"/>
              <w:bottom w:val="nil"/>
              <w:right w:val="nil"/>
            </w:tcBorders>
            <w:shd w:val="clear" w:color="000000" w:fill="F2F2F2"/>
            <w:noWrap/>
            <w:vAlign w:val="bottom"/>
            <w:hideMark/>
          </w:tcPr>
          <w:p w14:paraId="6595B9A4" w14:textId="6588BB96" w:rsidR="00ED2AA1" w:rsidRPr="00BE20BD" w:rsidRDefault="00ED2AA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en-US" w:eastAsia="de-CH"/>
              </w:rPr>
              <w:t xml:space="preserve"> </w:t>
            </w:r>
            <w:r w:rsidRPr="00BE20BD">
              <w:rPr>
                <w:rFonts w:eastAsia="Times New Roman" w:cs="Arial"/>
                <w:color w:val="000000"/>
                <w:sz w:val="16"/>
                <w:szCs w:val="16"/>
                <w:lang w:val="de-CH" w:eastAsia="de-CH"/>
              </w:rPr>
              <w:t>Scenario</w:t>
            </w:r>
            <w:r w:rsidR="007A7580" w:rsidRPr="00BE20BD">
              <w:rPr>
                <w:rFonts w:eastAsia="Times New Roman" w:cs="Arial"/>
                <w:color w:val="000000"/>
                <w:sz w:val="16"/>
                <w:szCs w:val="16"/>
                <w:lang w:val="de-CH" w:eastAsia="de-CH"/>
              </w:rPr>
              <w:t>s</w:t>
            </w:r>
            <w:r w:rsidRPr="00BE20BD">
              <w:rPr>
                <w:rFonts w:eastAsia="Times New Roman" w:cs="Arial"/>
                <w:color w:val="000000"/>
                <w:sz w:val="16"/>
                <w:szCs w:val="16"/>
                <w:lang w:val="de-CH" w:eastAsia="de-CH"/>
              </w:rPr>
              <w:t xml:space="preserve"> </w:t>
            </w:r>
            <w:proofErr w:type="spellStart"/>
            <w:r w:rsidRPr="00BE20BD">
              <w:rPr>
                <w:rFonts w:eastAsia="Times New Roman" w:cs="Arial"/>
                <w:color w:val="000000"/>
                <w:sz w:val="16"/>
                <w:szCs w:val="16"/>
                <w:lang w:val="de-CH" w:eastAsia="de-CH"/>
              </w:rPr>
              <w:t>effect</w:t>
            </w:r>
            <w:proofErr w:type="spellEnd"/>
          </w:p>
        </w:tc>
        <w:tc>
          <w:tcPr>
            <w:tcW w:w="216" w:type="dxa"/>
            <w:tcBorders>
              <w:top w:val="nil"/>
              <w:left w:val="nil"/>
              <w:bottom w:val="nil"/>
              <w:right w:val="nil"/>
            </w:tcBorders>
            <w:shd w:val="clear" w:color="000000" w:fill="FFFFFF"/>
            <w:noWrap/>
            <w:vAlign w:val="bottom"/>
            <w:hideMark/>
          </w:tcPr>
          <w:p w14:paraId="3BFFC436" w14:textId="77777777" w:rsidR="00ED2AA1" w:rsidRPr="00BE20BD" w:rsidRDefault="00ED2AA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916" w:type="dxa"/>
            <w:tcBorders>
              <w:top w:val="nil"/>
              <w:left w:val="nil"/>
              <w:bottom w:val="nil"/>
              <w:right w:val="nil"/>
            </w:tcBorders>
            <w:shd w:val="clear" w:color="000000" w:fill="F2F2F2"/>
            <w:noWrap/>
            <w:vAlign w:val="bottom"/>
          </w:tcPr>
          <w:p w14:paraId="5E171A37" w14:textId="1B67BFBA" w:rsidR="00ED2AA1" w:rsidRPr="00BE20BD" w:rsidRDefault="00ED2AA1" w:rsidP="00A0280B">
            <w:pPr>
              <w:keepNext/>
              <w:spacing w:line="240" w:lineRule="auto"/>
              <w:jc w:val="right"/>
              <w:rPr>
                <w:rFonts w:eastAsia="Times New Roman" w:cs="Arial"/>
                <w:color w:val="000000"/>
                <w:sz w:val="16"/>
                <w:szCs w:val="16"/>
                <w:lang w:val="de-CH" w:eastAsia="de-CH"/>
              </w:rPr>
            </w:pPr>
          </w:p>
        </w:tc>
        <w:tc>
          <w:tcPr>
            <w:tcW w:w="576" w:type="dxa"/>
            <w:tcBorders>
              <w:top w:val="nil"/>
              <w:left w:val="nil"/>
              <w:bottom w:val="nil"/>
              <w:right w:val="nil"/>
            </w:tcBorders>
            <w:shd w:val="clear" w:color="000000" w:fill="FFFFFF"/>
            <w:noWrap/>
            <w:vAlign w:val="bottom"/>
          </w:tcPr>
          <w:p w14:paraId="37559E93" w14:textId="31E438E7" w:rsidR="00ED2AA1" w:rsidRPr="00BE20BD" w:rsidRDefault="00ED2AA1" w:rsidP="00A0280B">
            <w:pPr>
              <w:keepNext/>
              <w:spacing w:line="240" w:lineRule="auto"/>
              <w:jc w:val="right"/>
              <w:rPr>
                <w:rFonts w:eastAsia="Times New Roman" w:cs="Arial"/>
                <w:color w:val="000000"/>
                <w:sz w:val="12"/>
                <w:szCs w:val="12"/>
                <w:lang w:val="de-CH" w:eastAsia="de-CH"/>
              </w:rPr>
            </w:pPr>
          </w:p>
        </w:tc>
        <w:tc>
          <w:tcPr>
            <w:tcW w:w="185" w:type="dxa"/>
            <w:tcBorders>
              <w:top w:val="nil"/>
              <w:left w:val="nil"/>
              <w:bottom w:val="nil"/>
              <w:right w:val="nil"/>
            </w:tcBorders>
            <w:shd w:val="clear" w:color="000000" w:fill="FFFFFF"/>
            <w:noWrap/>
            <w:vAlign w:val="bottom"/>
            <w:hideMark/>
          </w:tcPr>
          <w:p w14:paraId="6AB14B23" w14:textId="77777777" w:rsidR="00ED2AA1" w:rsidRPr="00BE20BD" w:rsidRDefault="00ED2AA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567" w:type="dxa"/>
            <w:tcBorders>
              <w:top w:val="nil"/>
              <w:left w:val="nil"/>
              <w:bottom w:val="nil"/>
              <w:right w:val="nil"/>
            </w:tcBorders>
            <w:shd w:val="clear" w:color="000000" w:fill="F2F2F2"/>
            <w:noWrap/>
            <w:vAlign w:val="bottom"/>
          </w:tcPr>
          <w:p w14:paraId="2E9C6079" w14:textId="5C9A5D27" w:rsidR="00ED2AA1" w:rsidRPr="00BE20BD" w:rsidRDefault="00ED2AA1" w:rsidP="00A0280B">
            <w:pPr>
              <w:keepNext/>
              <w:spacing w:line="240" w:lineRule="auto"/>
              <w:jc w:val="right"/>
              <w:rPr>
                <w:rFonts w:eastAsia="Times New Roman" w:cs="Arial"/>
                <w:color w:val="000000"/>
                <w:sz w:val="16"/>
                <w:szCs w:val="16"/>
                <w:lang w:val="de-CH" w:eastAsia="de-CH"/>
              </w:rPr>
            </w:pPr>
          </w:p>
        </w:tc>
        <w:tc>
          <w:tcPr>
            <w:tcW w:w="576" w:type="dxa"/>
            <w:tcBorders>
              <w:top w:val="nil"/>
              <w:left w:val="nil"/>
              <w:bottom w:val="nil"/>
              <w:right w:val="nil"/>
            </w:tcBorders>
            <w:shd w:val="clear" w:color="000000" w:fill="FFFFFF"/>
            <w:noWrap/>
            <w:vAlign w:val="bottom"/>
          </w:tcPr>
          <w:p w14:paraId="402DC4DE" w14:textId="2E9D0EB9" w:rsidR="00ED2AA1" w:rsidRPr="00BE20BD" w:rsidRDefault="00ED2AA1" w:rsidP="00A0280B">
            <w:pPr>
              <w:keepNext/>
              <w:spacing w:line="240" w:lineRule="auto"/>
              <w:jc w:val="right"/>
              <w:rPr>
                <w:rFonts w:eastAsia="Times New Roman" w:cs="Arial"/>
                <w:color w:val="000000"/>
                <w:sz w:val="12"/>
                <w:szCs w:val="12"/>
                <w:lang w:val="de-CH" w:eastAsia="de-CH"/>
              </w:rPr>
            </w:pPr>
          </w:p>
        </w:tc>
        <w:tc>
          <w:tcPr>
            <w:tcW w:w="256" w:type="dxa"/>
            <w:tcBorders>
              <w:top w:val="nil"/>
              <w:left w:val="nil"/>
              <w:bottom w:val="nil"/>
              <w:right w:val="nil"/>
            </w:tcBorders>
            <w:shd w:val="clear" w:color="000000" w:fill="FFFFFF"/>
            <w:noWrap/>
            <w:vAlign w:val="bottom"/>
            <w:hideMark/>
          </w:tcPr>
          <w:p w14:paraId="36E65A5B" w14:textId="77777777" w:rsidR="00ED2AA1" w:rsidRPr="00BE20BD" w:rsidRDefault="00ED2AA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916" w:type="dxa"/>
            <w:tcBorders>
              <w:top w:val="nil"/>
              <w:left w:val="nil"/>
              <w:bottom w:val="nil"/>
              <w:right w:val="nil"/>
            </w:tcBorders>
            <w:shd w:val="clear" w:color="000000" w:fill="F2F2F2"/>
            <w:noWrap/>
            <w:vAlign w:val="bottom"/>
          </w:tcPr>
          <w:p w14:paraId="3E252981" w14:textId="0BEFC80C" w:rsidR="00ED2AA1" w:rsidRPr="00BE20BD" w:rsidRDefault="00ED2AA1" w:rsidP="00A0280B">
            <w:pPr>
              <w:keepNext/>
              <w:spacing w:line="240" w:lineRule="auto"/>
              <w:jc w:val="right"/>
              <w:rPr>
                <w:rFonts w:eastAsia="Times New Roman" w:cs="Arial"/>
                <w:color w:val="000000"/>
                <w:sz w:val="16"/>
                <w:szCs w:val="16"/>
                <w:lang w:val="de-CH" w:eastAsia="de-CH"/>
              </w:rPr>
            </w:pPr>
          </w:p>
        </w:tc>
        <w:tc>
          <w:tcPr>
            <w:tcW w:w="566" w:type="dxa"/>
            <w:tcBorders>
              <w:top w:val="nil"/>
              <w:left w:val="nil"/>
              <w:bottom w:val="nil"/>
              <w:right w:val="nil"/>
            </w:tcBorders>
            <w:shd w:val="clear" w:color="000000" w:fill="F2F2F2"/>
            <w:noWrap/>
            <w:vAlign w:val="bottom"/>
          </w:tcPr>
          <w:p w14:paraId="32B6088A" w14:textId="059ED384" w:rsidR="00ED2AA1" w:rsidRPr="00BE20BD" w:rsidRDefault="00ED2AA1" w:rsidP="00A0280B">
            <w:pPr>
              <w:keepNext/>
              <w:spacing w:line="240" w:lineRule="auto"/>
              <w:jc w:val="right"/>
              <w:rPr>
                <w:rFonts w:eastAsia="Times New Roman" w:cs="Arial"/>
                <w:color w:val="000000"/>
                <w:sz w:val="16"/>
                <w:szCs w:val="16"/>
                <w:lang w:val="de-CH" w:eastAsia="de-CH"/>
              </w:rPr>
            </w:pPr>
          </w:p>
        </w:tc>
      </w:tr>
      <w:tr w:rsidR="00ED2AA1" w:rsidRPr="00BE20BD" w14:paraId="3190524A" w14:textId="77777777" w:rsidTr="00FD64DD">
        <w:trPr>
          <w:trHeight w:val="255"/>
        </w:trPr>
        <w:tc>
          <w:tcPr>
            <w:tcW w:w="2976" w:type="dxa"/>
            <w:tcBorders>
              <w:top w:val="nil"/>
              <w:left w:val="nil"/>
              <w:bottom w:val="nil"/>
              <w:right w:val="nil"/>
            </w:tcBorders>
            <w:shd w:val="clear" w:color="auto" w:fill="auto"/>
            <w:noWrap/>
            <w:vAlign w:val="bottom"/>
            <w:hideMark/>
          </w:tcPr>
          <w:p w14:paraId="1BA6477F" w14:textId="77777777" w:rsidR="00ED2AA1" w:rsidRPr="00BE20BD" w:rsidRDefault="00ED2AA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xml:space="preserve"> Additional </w:t>
            </w:r>
            <w:proofErr w:type="spellStart"/>
            <w:r w:rsidRPr="00BE20BD">
              <w:rPr>
                <w:rFonts w:eastAsia="Times New Roman" w:cs="Arial"/>
                <w:color w:val="000000"/>
                <w:sz w:val="16"/>
                <w:szCs w:val="16"/>
                <w:lang w:val="de-CH" w:eastAsia="de-CH"/>
              </w:rPr>
              <w:t>effects</w:t>
            </w:r>
            <w:proofErr w:type="spellEnd"/>
          </w:p>
        </w:tc>
        <w:tc>
          <w:tcPr>
            <w:tcW w:w="216" w:type="dxa"/>
            <w:tcBorders>
              <w:top w:val="nil"/>
              <w:left w:val="nil"/>
              <w:bottom w:val="nil"/>
              <w:right w:val="nil"/>
            </w:tcBorders>
            <w:shd w:val="clear" w:color="000000" w:fill="FFFFFF"/>
            <w:noWrap/>
            <w:vAlign w:val="bottom"/>
            <w:hideMark/>
          </w:tcPr>
          <w:p w14:paraId="55118FE7" w14:textId="77777777" w:rsidR="00ED2AA1" w:rsidRPr="00BE20BD" w:rsidRDefault="00ED2AA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916" w:type="dxa"/>
            <w:tcBorders>
              <w:top w:val="nil"/>
              <w:left w:val="nil"/>
              <w:bottom w:val="nil"/>
              <w:right w:val="nil"/>
            </w:tcBorders>
            <w:shd w:val="clear" w:color="auto" w:fill="auto"/>
            <w:noWrap/>
            <w:vAlign w:val="bottom"/>
          </w:tcPr>
          <w:p w14:paraId="1DCA76AC" w14:textId="1B9A6198" w:rsidR="00ED2AA1" w:rsidRPr="00BE20BD" w:rsidRDefault="00ED2AA1" w:rsidP="00A0280B">
            <w:pPr>
              <w:keepNext/>
              <w:spacing w:line="240" w:lineRule="auto"/>
              <w:jc w:val="right"/>
              <w:rPr>
                <w:rFonts w:eastAsia="Times New Roman" w:cs="Arial"/>
                <w:color w:val="000000"/>
                <w:sz w:val="16"/>
                <w:szCs w:val="16"/>
                <w:lang w:val="de-CH" w:eastAsia="de-CH"/>
              </w:rPr>
            </w:pPr>
          </w:p>
        </w:tc>
        <w:tc>
          <w:tcPr>
            <w:tcW w:w="576" w:type="dxa"/>
            <w:tcBorders>
              <w:top w:val="nil"/>
              <w:left w:val="nil"/>
              <w:bottom w:val="nil"/>
              <w:right w:val="nil"/>
            </w:tcBorders>
            <w:shd w:val="clear" w:color="000000" w:fill="FFFFFF"/>
            <w:noWrap/>
            <w:vAlign w:val="bottom"/>
          </w:tcPr>
          <w:p w14:paraId="7B377195" w14:textId="7632F2D2" w:rsidR="00ED2AA1" w:rsidRPr="00BE20BD" w:rsidRDefault="00ED2AA1" w:rsidP="00A0280B">
            <w:pPr>
              <w:keepNext/>
              <w:spacing w:line="240" w:lineRule="auto"/>
              <w:rPr>
                <w:rFonts w:eastAsia="Times New Roman" w:cs="Arial"/>
                <w:color w:val="000000"/>
                <w:sz w:val="12"/>
                <w:szCs w:val="12"/>
                <w:lang w:val="de-CH" w:eastAsia="de-CH"/>
              </w:rPr>
            </w:pPr>
          </w:p>
        </w:tc>
        <w:tc>
          <w:tcPr>
            <w:tcW w:w="185" w:type="dxa"/>
            <w:tcBorders>
              <w:top w:val="nil"/>
              <w:left w:val="nil"/>
              <w:bottom w:val="nil"/>
              <w:right w:val="nil"/>
            </w:tcBorders>
            <w:shd w:val="clear" w:color="000000" w:fill="FFFFFF"/>
            <w:noWrap/>
            <w:vAlign w:val="bottom"/>
            <w:hideMark/>
          </w:tcPr>
          <w:p w14:paraId="190D5DD0" w14:textId="77777777" w:rsidR="00ED2AA1" w:rsidRPr="00BE20BD" w:rsidRDefault="00ED2AA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567" w:type="dxa"/>
            <w:tcBorders>
              <w:top w:val="nil"/>
              <w:left w:val="nil"/>
              <w:bottom w:val="nil"/>
              <w:right w:val="nil"/>
            </w:tcBorders>
            <w:shd w:val="clear" w:color="auto" w:fill="auto"/>
            <w:noWrap/>
            <w:vAlign w:val="bottom"/>
          </w:tcPr>
          <w:p w14:paraId="30D4B1A1" w14:textId="28F48AE5" w:rsidR="00ED2AA1" w:rsidRPr="00BE20BD" w:rsidRDefault="00ED2AA1" w:rsidP="00A0280B">
            <w:pPr>
              <w:keepNext/>
              <w:spacing w:line="240" w:lineRule="auto"/>
              <w:jc w:val="right"/>
              <w:rPr>
                <w:rFonts w:eastAsia="Times New Roman" w:cs="Arial"/>
                <w:color w:val="000000"/>
                <w:sz w:val="16"/>
                <w:szCs w:val="16"/>
                <w:lang w:val="de-CH" w:eastAsia="de-CH"/>
              </w:rPr>
            </w:pPr>
          </w:p>
        </w:tc>
        <w:tc>
          <w:tcPr>
            <w:tcW w:w="576" w:type="dxa"/>
            <w:tcBorders>
              <w:top w:val="nil"/>
              <w:left w:val="nil"/>
              <w:bottom w:val="nil"/>
              <w:right w:val="nil"/>
            </w:tcBorders>
            <w:shd w:val="clear" w:color="000000" w:fill="FFFFFF"/>
            <w:noWrap/>
            <w:vAlign w:val="bottom"/>
          </w:tcPr>
          <w:p w14:paraId="6AAF48C0" w14:textId="5A4AA4D9" w:rsidR="00ED2AA1" w:rsidRPr="00BE20BD" w:rsidRDefault="00ED2AA1" w:rsidP="00A0280B">
            <w:pPr>
              <w:keepNext/>
              <w:spacing w:line="240" w:lineRule="auto"/>
              <w:rPr>
                <w:rFonts w:eastAsia="Times New Roman" w:cs="Arial"/>
                <w:color w:val="000000"/>
                <w:sz w:val="12"/>
                <w:szCs w:val="12"/>
                <w:lang w:val="de-CH" w:eastAsia="de-CH"/>
              </w:rPr>
            </w:pPr>
          </w:p>
        </w:tc>
        <w:tc>
          <w:tcPr>
            <w:tcW w:w="256" w:type="dxa"/>
            <w:tcBorders>
              <w:top w:val="nil"/>
              <w:left w:val="nil"/>
              <w:bottom w:val="nil"/>
              <w:right w:val="nil"/>
            </w:tcBorders>
            <w:shd w:val="clear" w:color="000000" w:fill="FFFFFF"/>
            <w:noWrap/>
            <w:vAlign w:val="bottom"/>
            <w:hideMark/>
          </w:tcPr>
          <w:p w14:paraId="6186D0BB" w14:textId="77777777" w:rsidR="00ED2AA1" w:rsidRPr="00BE20BD" w:rsidRDefault="00ED2AA1" w:rsidP="00A0280B">
            <w:pPr>
              <w:keepNext/>
              <w:spacing w:line="240" w:lineRule="auto"/>
              <w:rPr>
                <w:rFonts w:eastAsia="Times New Roman" w:cs="Arial"/>
                <w:color w:val="000000"/>
                <w:sz w:val="16"/>
                <w:szCs w:val="16"/>
                <w:lang w:val="de-CH" w:eastAsia="de-CH"/>
              </w:rPr>
            </w:pPr>
            <w:r w:rsidRPr="00BE20BD">
              <w:rPr>
                <w:rFonts w:eastAsia="Times New Roman" w:cs="Arial"/>
                <w:color w:val="000000"/>
                <w:sz w:val="16"/>
                <w:szCs w:val="16"/>
                <w:lang w:val="de-CH" w:eastAsia="de-CH"/>
              </w:rPr>
              <w:t> </w:t>
            </w:r>
          </w:p>
        </w:tc>
        <w:tc>
          <w:tcPr>
            <w:tcW w:w="916" w:type="dxa"/>
            <w:tcBorders>
              <w:top w:val="nil"/>
              <w:left w:val="nil"/>
              <w:bottom w:val="nil"/>
              <w:right w:val="nil"/>
            </w:tcBorders>
            <w:shd w:val="clear" w:color="auto" w:fill="auto"/>
            <w:noWrap/>
            <w:vAlign w:val="bottom"/>
          </w:tcPr>
          <w:p w14:paraId="0C026DC1" w14:textId="08DA2750" w:rsidR="00ED2AA1" w:rsidRPr="00BE20BD" w:rsidRDefault="00ED2AA1" w:rsidP="00A0280B">
            <w:pPr>
              <w:keepNext/>
              <w:spacing w:line="240" w:lineRule="auto"/>
              <w:jc w:val="right"/>
              <w:rPr>
                <w:rFonts w:eastAsia="Times New Roman" w:cs="Arial"/>
                <w:color w:val="000000"/>
                <w:sz w:val="16"/>
                <w:szCs w:val="16"/>
                <w:lang w:val="de-CH" w:eastAsia="de-CH"/>
              </w:rPr>
            </w:pPr>
          </w:p>
        </w:tc>
        <w:tc>
          <w:tcPr>
            <w:tcW w:w="566" w:type="dxa"/>
            <w:tcBorders>
              <w:top w:val="nil"/>
              <w:left w:val="nil"/>
              <w:bottom w:val="nil"/>
              <w:right w:val="nil"/>
            </w:tcBorders>
            <w:shd w:val="clear" w:color="auto" w:fill="auto"/>
            <w:noWrap/>
            <w:vAlign w:val="bottom"/>
          </w:tcPr>
          <w:p w14:paraId="54393418" w14:textId="39252786" w:rsidR="00ED2AA1" w:rsidRPr="00BE20BD" w:rsidRDefault="00ED2AA1" w:rsidP="00A0280B">
            <w:pPr>
              <w:keepNext/>
              <w:spacing w:line="240" w:lineRule="auto"/>
              <w:jc w:val="right"/>
              <w:rPr>
                <w:rFonts w:eastAsia="Times New Roman" w:cs="Arial"/>
                <w:color w:val="000000"/>
                <w:sz w:val="16"/>
                <w:szCs w:val="16"/>
                <w:lang w:val="de-CH" w:eastAsia="de-CH"/>
              </w:rPr>
            </w:pPr>
          </w:p>
        </w:tc>
      </w:tr>
    </w:tbl>
    <w:p w14:paraId="168A4B56" w14:textId="77777777" w:rsidR="00ED2AA1" w:rsidRPr="00BE20BD" w:rsidRDefault="00ED2AA1" w:rsidP="00ED2AA1">
      <w:pPr>
        <w:pStyle w:val="FINMAStandardAbsatz"/>
      </w:pPr>
    </w:p>
    <w:p w14:paraId="682DD2CF" w14:textId="0C593B84" w:rsidR="00B0082B" w:rsidRPr="00BE20BD" w:rsidRDefault="00B0082B" w:rsidP="00D60D73">
      <w:pPr>
        <w:pStyle w:val="Heading2"/>
      </w:pPr>
      <w:bookmarkStart w:id="54" w:name="_Toc534297757"/>
      <w:bookmarkStart w:id="55" w:name="_Toc148445955"/>
      <w:r w:rsidRPr="00BE20BD">
        <w:t>Market risk</w:t>
      </w:r>
      <w:bookmarkEnd w:id="54"/>
      <w:bookmarkEnd w:id="55"/>
    </w:p>
    <w:p w14:paraId="35DF65BE" w14:textId="2364F82B" w:rsidR="00351D81" w:rsidRPr="00BE20BD" w:rsidRDefault="00345C8A" w:rsidP="00D60D73">
      <w:pPr>
        <w:pStyle w:val="FINMAStandardAbsatz"/>
      </w:pPr>
      <w:r w:rsidRPr="00BE20BD">
        <w:rPr>
          <w:i/>
        </w:rPr>
        <w:t xml:space="preserve">&lt;Usually </w:t>
      </w:r>
      <w:r w:rsidR="00917578" w:rsidRPr="00BE20BD">
        <w:rPr>
          <w:i/>
        </w:rPr>
        <w:t>captured</w:t>
      </w:r>
      <w:r w:rsidRPr="00BE20BD">
        <w:rPr>
          <w:i/>
        </w:rPr>
        <w:t xml:space="preserve"> in the standard model for market risk&gt;</w:t>
      </w:r>
      <w:r w:rsidRPr="00BE20BD">
        <w:t xml:space="preserve"> </w:t>
      </w:r>
    </w:p>
    <w:p w14:paraId="0B77BD85" w14:textId="7C1B141C" w:rsidR="00B0082B" w:rsidRPr="00BE20BD" w:rsidRDefault="00B0082B" w:rsidP="00D60D73">
      <w:pPr>
        <w:pStyle w:val="FINMAStandardAbsatz"/>
      </w:pPr>
      <w:r w:rsidRPr="00BE20BD">
        <w:t>Description of the main changes in the risk structure and analysis of any risk concentrations. Description of the dependency of market risk on the market risk drivers and explanation of the main drivers.</w:t>
      </w:r>
    </w:p>
    <w:p w14:paraId="66483B12" w14:textId="77777777" w:rsidR="005F2842" w:rsidRPr="00BE20BD" w:rsidRDefault="005F2842" w:rsidP="00D60D73">
      <w:pPr>
        <w:pStyle w:val="Heading2"/>
      </w:pPr>
      <w:bookmarkStart w:id="56" w:name="_Toc534297758"/>
      <w:bookmarkStart w:id="57" w:name="_Toc148445956"/>
      <w:r w:rsidRPr="00BE20BD">
        <w:t>Credit risk</w:t>
      </w:r>
      <w:bookmarkEnd w:id="56"/>
      <w:bookmarkEnd w:id="57"/>
    </w:p>
    <w:p w14:paraId="330F06C2" w14:textId="73913C32" w:rsidR="00351D81" w:rsidRPr="00BE20BD" w:rsidRDefault="00345C8A" w:rsidP="00D60D73">
      <w:pPr>
        <w:pStyle w:val="FINMAStandardAbsatz"/>
      </w:pPr>
      <w:r w:rsidRPr="00BE20BD">
        <w:rPr>
          <w:i/>
        </w:rPr>
        <w:t xml:space="preserve">&lt;Usually </w:t>
      </w:r>
      <w:r w:rsidR="00917578" w:rsidRPr="00BE20BD">
        <w:rPr>
          <w:i/>
        </w:rPr>
        <w:t>captured</w:t>
      </w:r>
      <w:r w:rsidRPr="00BE20BD">
        <w:rPr>
          <w:i/>
        </w:rPr>
        <w:t xml:space="preserve"> in the standard model for credit risk&gt;</w:t>
      </w:r>
      <w:r w:rsidRPr="00BE20BD">
        <w:t xml:space="preserve"> </w:t>
      </w:r>
    </w:p>
    <w:p w14:paraId="7C0F0EEE" w14:textId="23833585" w:rsidR="005F2842" w:rsidRPr="00BE20BD" w:rsidRDefault="005F2842" w:rsidP="00D60D73">
      <w:pPr>
        <w:pStyle w:val="FINMAStandardAbsatz"/>
      </w:pPr>
      <w:r w:rsidRPr="00BE20BD">
        <w:t>Description of the main changes in the risk structure and analysis of any risk concentrations. Description of the input data for the one-factor model and the other credit risk instruments, presentation of the results and their key drivers.</w:t>
      </w:r>
    </w:p>
    <w:p w14:paraId="2EDC9EF9" w14:textId="40CB61AF" w:rsidR="003D1B5D" w:rsidRPr="00BE20BD" w:rsidRDefault="00B0082B" w:rsidP="00D60D73">
      <w:pPr>
        <w:pStyle w:val="Heading2"/>
      </w:pPr>
      <w:bookmarkStart w:id="58" w:name="_Toc534297759"/>
      <w:bookmarkStart w:id="59" w:name="_Toc148445957"/>
      <w:r w:rsidRPr="00BE20BD">
        <w:t>Insurance risk</w:t>
      </w:r>
      <w:bookmarkEnd w:id="58"/>
      <w:bookmarkEnd w:id="59"/>
    </w:p>
    <w:p w14:paraId="58C2E967" w14:textId="617C074B" w:rsidR="00DE407E" w:rsidRPr="00BE20BD" w:rsidRDefault="00FD1237" w:rsidP="00D60D73">
      <w:pPr>
        <w:pStyle w:val="FINMAStandardAbsatz"/>
      </w:pPr>
      <w:r w:rsidRPr="00BE20BD">
        <w:t>Description of the main changes in the risk structure and analysis of any risk concentrations.</w:t>
      </w:r>
    </w:p>
    <w:p w14:paraId="454822DE" w14:textId="395A4D21" w:rsidR="00D762D2" w:rsidRPr="00BE20BD" w:rsidRDefault="00D762D2" w:rsidP="00D60D73">
      <w:pPr>
        <w:pStyle w:val="Heading3"/>
      </w:pPr>
      <w:bookmarkStart w:id="60" w:name="_Toc534297760"/>
      <w:bookmarkStart w:id="61" w:name="_Toc148445958"/>
      <w:r w:rsidRPr="00BE20BD">
        <w:t>Insurance risk of life insurance</w:t>
      </w:r>
      <w:bookmarkEnd w:id="60"/>
      <w:bookmarkEnd w:id="61"/>
    </w:p>
    <w:p w14:paraId="604461EA" w14:textId="25BF3B4F" w:rsidR="00351D81" w:rsidRPr="00BE20BD" w:rsidRDefault="00345C8A" w:rsidP="00D60D73">
      <w:pPr>
        <w:pStyle w:val="FINMAStandardAbsatz"/>
      </w:pPr>
      <w:r w:rsidRPr="00BE20BD">
        <w:rPr>
          <w:i/>
        </w:rPr>
        <w:t xml:space="preserve">&lt;Usually </w:t>
      </w:r>
      <w:r w:rsidR="00917578" w:rsidRPr="00BE20BD">
        <w:rPr>
          <w:i/>
        </w:rPr>
        <w:t>captured</w:t>
      </w:r>
      <w:r w:rsidRPr="00BE20BD">
        <w:rPr>
          <w:i/>
        </w:rPr>
        <w:t xml:space="preserve"> in the standard model for life insurance&gt;</w:t>
      </w:r>
      <w:r w:rsidRPr="00BE20BD">
        <w:t xml:space="preserve"> </w:t>
      </w:r>
    </w:p>
    <w:p w14:paraId="7B6E6AEC" w14:textId="0FFC5098" w:rsidR="00D762D2" w:rsidRPr="00BE20BD" w:rsidRDefault="00D762D2" w:rsidP="00D60D73">
      <w:pPr>
        <w:pStyle w:val="FINMAStandardAbsatz"/>
      </w:pPr>
      <w:r w:rsidRPr="00BE20BD">
        <w:lastRenderedPageBreak/>
        <w:t xml:space="preserve">Changes due to the risk </w:t>
      </w:r>
      <w:proofErr w:type="gramStart"/>
      <w:r w:rsidRPr="00BE20BD">
        <w:t>drivers</w:t>
      </w:r>
      <w:proofErr w:type="gramEnd"/>
      <w:r w:rsidRPr="00BE20BD">
        <w:t xml:space="preserve"> mortality, longevity, disability, costs, </w:t>
      </w:r>
      <w:r w:rsidR="00280A7F" w:rsidRPr="00BE20BD">
        <w:t>lapses</w:t>
      </w:r>
      <w:r w:rsidRPr="00BE20BD">
        <w:t>, catastrophe risk. Explanation of the impact of the risk drivers individually and in aggregate.</w:t>
      </w:r>
    </w:p>
    <w:p w14:paraId="57C81AD4" w14:textId="011C9B50" w:rsidR="00535C9D" w:rsidRPr="00BE20BD" w:rsidRDefault="007A7580" w:rsidP="004859FA">
      <w:pPr>
        <w:rPr>
          <w:rFonts w:eastAsiaTheme="minorHAnsi" w:cs="Arial"/>
          <w:sz w:val="20"/>
          <w:lang w:val="en-US" w:eastAsia="en-US"/>
        </w:rPr>
      </w:pPr>
      <w:r w:rsidRPr="00BE20BD">
        <w:rPr>
          <w:rFonts w:cs="Arial"/>
          <w:sz w:val="20"/>
          <w:lang w:val="en-US"/>
        </w:rPr>
        <w:t xml:space="preserve">Explanations on the data provided in the submitted templates, in particular </w:t>
      </w:r>
      <w:proofErr w:type="gramStart"/>
      <w:r w:rsidRPr="00BE20BD">
        <w:rPr>
          <w:rFonts w:cs="Arial"/>
          <w:sz w:val="20"/>
          <w:lang w:val="en-US"/>
        </w:rPr>
        <w:t>with regard to</w:t>
      </w:r>
      <w:proofErr w:type="gramEnd"/>
      <w:r w:rsidRPr="00BE20BD">
        <w:rPr>
          <w:rFonts w:cs="Arial"/>
          <w:sz w:val="20"/>
          <w:lang w:val="en-US"/>
        </w:rPr>
        <w:t xml:space="preserve"> special assumptions, deviations from the previous year, etc.</w:t>
      </w:r>
    </w:p>
    <w:p w14:paraId="60CB8B20" w14:textId="74A0855D" w:rsidR="003D1B5D" w:rsidRPr="00BE20BD" w:rsidRDefault="00732221" w:rsidP="00D60D73">
      <w:pPr>
        <w:pStyle w:val="Heading3"/>
      </w:pPr>
      <w:bookmarkStart w:id="62" w:name="_Toc534297761"/>
      <w:bookmarkStart w:id="63" w:name="_Toc148445959"/>
      <w:r w:rsidRPr="00BE20BD">
        <w:t xml:space="preserve">Insurance risk of </w:t>
      </w:r>
      <w:r w:rsidR="00280A7F" w:rsidRPr="00BE20BD">
        <w:t xml:space="preserve">non-life </w:t>
      </w:r>
      <w:r w:rsidRPr="00BE20BD">
        <w:t>insurance</w:t>
      </w:r>
      <w:bookmarkEnd w:id="62"/>
      <w:bookmarkEnd w:id="63"/>
    </w:p>
    <w:p w14:paraId="2A9DA49D" w14:textId="345303F7" w:rsidR="00351D81" w:rsidRPr="00BE20BD" w:rsidRDefault="00345C8A" w:rsidP="00D60D73">
      <w:pPr>
        <w:pStyle w:val="FINMAStandardAbsatz"/>
      </w:pPr>
      <w:r w:rsidRPr="00BE20BD">
        <w:rPr>
          <w:i/>
        </w:rPr>
        <w:t xml:space="preserve">&lt;Usually </w:t>
      </w:r>
      <w:r w:rsidR="00917578" w:rsidRPr="00BE20BD">
        <w:rPr>
          <w:i/>
        </w:rPr>
        <w:t>captured</w:t>
      </w:r>
      <w:r w:rsidRPr="00BE20BD">
        <w:rPr>
          <w:i/>
        </w:rPr>
        <w:t xml:space="preserve"> in the standard model for non-life insurance&gt;</w:t>
      </w:r>
      <w:r w:rsidRPr="00BE20BD">
        <w:t xml:space="preserve"> </w:t>
      </w:r>
    </w:p>
    <w:p w14:paraId="14A238E4" w14:textId="3DBD84D5" w:rsidR="00DE407E" w:rsidRPr="00BE20BD" w:rsidRDefault="00EA6543" w:rsidP="00D60D73">
      <w:pPr>
        <w:pStyle w:val="FINMAStandardAbsatz"/>
      </w:pPr>
      <w:r w:rsidRPr="00BE20BD">
        <w:t>PY risk, CY risk, URR risk and their aggregates.</w:t>
      </w:r>
    </w:p>
    <w:p w14:paraId="72F0D0C7" w14:textId="4D292C02" w:rsidR="00EE7E88" w:rsidRPr="00BE20BD" w:rsidRDefault="00EE7E88" w:rsidP="00D60D73">
      <w:pPr>
        <w:pStyle w:val="FINMAStandardAbsatz"/>
        <w:rPr>
          <w:i/>
        </w:rPr>
      </w:pPr>
      <w:r w:rsidRPr="00BE20BD">
        <w:rPr>
          <w:i/>
        </w:rPr>
        <w:t>&lt;</w:t>
      </w:r>
      <w:r w:rsidRPr="00BE20BD">
        <w:rPr>
          <w:i/>
          <w:u w:val="single"/>
        </w:rPr>
        <w:t>Please note</w:t>
      </w:r>
      <w:r w:rsidRPr="00BE20BD">
        <w:rPr>
          <w:i/>
        </w:rPr>
        <w:t xml:space="preserve">: The URR risk in the FDS is currently included in the position “Other </w:t>
      </w:r>
      <w:proofErr w:type="gramStart"/>
      <w:r w:rsidR="00280A7F" w:rsidRPr="00BE20BD">
        <w:rPr>
          <w:i/>
        </w:rPr>
        <w:t xml:space="preserve">insurance  </w:t>
      </w:r>
      <w:r w:rsidRPr="00BE20BD">
        <w:rPr>
          <w:i/>
        </w:rPr>
        <w:t>risks</w:t>
      </w:r>
      <w:proofErr w:type="gramEnd"/>
      <w:r w:rsidRPr="00BE20BD">
        <w:rPr>
          <w:i/>
        </w:rPr>
        <w:t xml:space="preserve"> from the non-life business (centred)”.&gt;</w:t>
      </w:r>
    </w:p>
    <w:p w14:paraId="6D3D912A" w14:textId="6B602B86" w:rsidR="00EA6543" w:rsidRPr="00BE20BD" w:rsidRDefault="00EA6543" w:rsidP="00D60D73">
      <w:pPr>
        <w:pStyle w:val="FINMAStandardAbsatz"/>
      </w:pPr>
      <w:r w:rsidRPr="00BE20BD">
        <w:t>Analysis of the components of CY risk.</w:t>
      </w:r>
    </w:p>
    <w:p w14:paraId="41785CE6" w14:textId="695803D0" w:rsidR="00A71F65" w:rsidRPr="00BE20BD" w:rsidRDefault="007A7580" w:rsidP="004859FA">
      <w:pPr>
        <w:rPr>
          <w:rFonts w:cs="Arial"/>
          <w:sz w:val="20"/>
          <w:lang w:val="en-US"/>
        </w:rPr>
      </w:pPr>
      <w:r w:rsidRPr="00BE20BD">
        <w:rPr>
          <w:rFonts w:cs="Arial"/>
          <w:sz w:val="20"/>
          <w:lang w:val="en-US"/>
        </w:rPr>
        <w:t xml:space="preserve">Explanations on the data provided in the submitted templates, in particular </w:t>
      </w:r>
      <w:proofErr w:type="gramStart"/>
      <w:r w:rsidRPr="00BE20BD">
        <w:rPr>
          <w:rFonts w:cs="Arial"/>
          <w:sz w:val="20"/>
          <w:lang w:val="en-US"/>
        </w:rPr>
        <w:t>with regard to</w:t>
      </w:r>
      <w:proofErr w:type="gramEnd"/>
      <w:r w:rsidRPr="00BE20BD">
        <w:rPr>
          <w:rFonts w:cs="Arial"/>
          <w:sz w:val="20"/>
          <w:lang w:val="en-US"/>
        </w:rPr>
        <w:t xml:space="preserve"> special assumptions, deviations from the previous year, etc.</w:t>
      </w:r>
    </w:p>
    <w:p w14:paraId="52D8CFC7" w14:textId="2AFC46FC" w:rsidR="00C044AA" w:rsidRPr="00BE20BD" w:rsidRDefault="00C044AA" w:rsidP="00C044AA">
      <w:pPr>
        <w:pStyle w:val="FINMAStandardAbsatz"/>
        <w:rPr>
          <w:rFonts w:eastAsiaTheme="minorHAnsi" w:cs="Arial"/>
          <w:lang w:val="en-US" w:eastAsia="en-US"/>
        </w:rPr>
      </w:pPr>
      <w:r w:rsidRPr="00BE20BD">
        <w:rPr>
          <w:rFonts w:eastAsiaTheme="minorHAnsi" w:cs="Arial"/>
          <w:lang w:val="en-US" w:eastAsia="en-US"/>
        </w:rPr>
        <w:t>Explanation of inflation assumptions</w:t>
      </w:r>
      <w:r w:rsidR="002F2F0C" w:rsidRPr="00BE20BD">
        <w:rPr>
          <w:rFonts w:eastAsiaTheme="minorHAnsi" w:cs="Arial"/>
          <w:lang w:val="en-US" w:eastAsia="en-US"/>
        </w:rPr>
        <w:t xml:space="preserve"> for best estimates of reserves and new claims</w:t>
      </w:r>
      <w:r w:rsidRPr="00BE20BD">
        <w:rPr>
          <w:rFonts w:eastAsiaTheme="minorHAnsi" w:cs="Arial"/>
          <w:lang w:val="en-US" w:eastAsia="en-US"/>
        </w:rPr>
        <w:t xml:space="preserve">, in particular approach (calculation on cash flow basis or flat adjustment factor, etc.) per </w:t>
      </w:r>
      <w:proofErr w:type="spellStart"/>
      <w:r w:rsidRPr="00BE20BD">
        <w:rPr>
          <w:rFonts w:eastAsiaTheme="minorHAnsi" w:cs="Arial"/>
          <w:lang w:val="en-US" w:eastAsia="en-US"/>
        </w:rPr>
        <w:t>L</w:t>
      </w:r>
      <w:r w:rsidR="001E7CBE">
        <w:rPr>
          <w:rFonts w:eastAsiaTheme="minorHAnsi" w:cs="Arial"/>
          <w:lang w:val="en-US" w:eastAsia="en-US"/>
        </w:rPr>
        <w:t>o</w:t>
      </w:r>
      <w:r w:rsidRPr="00BE20BD">
        <w:rPr>
          <w:rFonts w:eastAsiaTheme="minorHAnsi" w:cs="Arial"/>
          <w:lang w:val="en-US" w:eastAsia="en-US"/>
        </w:rPr>
        <w:t>B</w:t>
      </w:r>
      <w:proofErr w:type="spellEnd"/>
      <w:r w:rsidRPr="00BE20BD">
        <w:rPr>
          <w:rFonts w:eastAsiaTheme="minorHAnsi" w:cs="Arial"/>
          <w:lang w:val="en-US" w:eastAsia="en-US"/>
        </w:rPr>
        <w:t>, size of expected inflation with justification, etc.</w:t>
      </w:r>
    </w:p>
    <w:p w14:paraId="2340458D" w14:textId="77777777" w:rsidR="00117F7C" w:rsidRPr="00BE20BD" w:rsidRDefault="00117F7C" w:rsidP="00D60D73">
      <w:pPr>
        <w:pStyle w:val="Heading3"/>
      </w:pPr>
      <w:bookmarkStart w:id="64" w:name="_Toc534297762"/>
      <w:bookmarkStart w:id="65" w:name="_Toc148445960"/>
      <w:r w:rsidRPr="00BE20BD">
        <w:t>Insurance risk of health insurance</w:t>
      </w:r>
      <w:bookmarkEnd w:id="64"/>
      <w:bookmarkEnd w:id="65"/>
    </w:p>
    <w:p w14:paraId="0E563035" w14:textId="6FCBF265" w:rsidR="00351D81" w:rsidRPr="00BE20BD" w:rsidRDefault="00345C8A" w:rsidP="00D60D73">
      <w:pPr>
        <w:pStyle w:val="FINMAStandardAbsatz"/>
      </w:pPr>
      <w:r w:rsidRPr="00BE20BD">
        <w:rPr>
          <w:i/>
        </w:rPr>
        <w:t xml:space="preserve">&lt;Usually </w:t>
      </w:r>
      <w:r w:rsidR="00917578" w:rsidRPr="00BE20BD">
        <w:rPr>
          <w:i/>
        </w:rPr>
        <w:t>captured</w:t>
      </w:r>
      <w:r w:rsidRPr="00BE20BD">
        <w:rPr>
          <w:i/>
        </w:rPr>
        <w:t xml:space="preserve"> in the standard model for health insurance&gt;</w:t>
      </w:r>
      <w:r w:rsidRPr="00BE20BD">
        <w:t xml:space="preserve"> </w:t>
      </w:r>
    </w:p>
    <w:p w14:paraId="73B8FCD9" w14:textId="580494CB" w:rsidR="00117F7C" w:rsidRPr="00BE20BD" w:rsidRDefault="00117F7C" w:rsidP="00D60D73">
      <w:pPr>
        <w:pStyle w:val="FINMAStandardAbsatz"/>
      </w:pPr>
      <w:r w:rsidRPr="00BE20BD">
        <w:t xml:space="preserve">Insurance risk of long-term </w:t>
      </w:r>
      <w:r w:rsidR="00280A7F" w:rsidRPr="00BE20BD">
        <w:t>liabilities (</w:t>
      </w:r>
      <w:proofErr w:type="spellStart"/>
      <w:r w:rsidR="00280A7F" w:rsidRPr="00BE20BD">
        <w:rPr>
          <w:i/>
        </w:rPr>
        <w:t>Langzeitverplichtungen</w:t>
      </w:r>
      <w:proofErr w:type="spellEnd"/>
      <w:r w:rsidR="00280A7F" w:rsidRPr="00BE20BD">
        <w:rPr>
          <w:i/>
        </w:rPr>
        <w:t xml:space="preserve"> / engagements </w:t>
      </w:r>
      <w:proofErr w:type="spellStart"/>
      <w:r w:rsidR="00280A7F" w:rsidRPr="00BE20BD">
        <w:rPr>
          <w:i/>
        </w:rPr>
        <w:t>viagers</w:t>
      </w:r>
      <w:proofErr w:type="spellEnd"/>
      <w:r w:rsidR="00280A7F" w:rsidRPr="00BE20BD">
        <w:t xml:space="preserve">) </w:t>
      </w:r>
      <w:r w:rsidRPr="00BE20BD">
        <w:t xml:space="preserve">and insurance risk of collective daily allowances. Analysis of the main drivers of the risk arising from long-term </w:t>
      </w:r>
      <w:r w:rsidR="00280A7F" w:rsidRPr="00BE20BD">
        <w:t>liabilities</w:t>
      </w:r>
      <w:r w:rsidRPr="00BE20BD">
        <w:t>. Discussion of the highest-impact product groups.</w:t>
      </w:r>
    </w:p>
    <w:p w14:paraId="2D8678B0" w14:textId="42518975" w:rsidR="00A71F65" w:rsidRPr="00BE20BD" w:rsidRDefault="007A7580" w:rsidP="004859FA">
      <w:pPr>
        <w:rPr>
          <w:rFonts w:eastAsiaTheme="minorHAnsi" w:cs="Arial"/>
          <w:sz w:val="20"/>
          <w:lang w:val="en-US" w:eastAsia="en-US"/>
        </w:rPr>
      </w:pPr>
      <w:r w:rsidRPr="00BE20BD">
        <w:rPr>
          <w:rFonts w:cs="Arial"/>
          <w:sz w:val="20"/>
          <w:lang w:val="en-US"/>
        </w:rPr>
        <w:t xml:space="preserve">Explanations on the data provided in the submitted templates, in particular </w:t>
      </w:r>
      <w:proofErr w:type="gramStart"/>
      <w:r w:rsidRPr="00BE20BD">
        <w:rPr>
          <w:rFonts w:cs="Arial"/>
          <w:sz w:val="20"/>
          <w:lang w:val="en-US"/>
        </w:rPr>
        <w:t>with regard to</w:t>
      </w:r>
      <w:proofErr w:type="gramEnd"/>
      <w:r w:rsidRPr="00BE20BD">
        <w:rPr>
          <w:rFonts w:cs="Arial"/>
          <w:sz w:val="20"/>
          <w:lang w:val="en-US"/>
        </w:rPr>
        <w:t xml:space="preserve"> special assumptions, deviations from the previous year, etc.</w:t>
      </w:r>
    </w:p>
    <w:p w14:paraId="482A0BD9" w14:textId="63653EFA" w:rsidR="00B8723E" w:rsidRPr="00BE20BD" w:rsidRDefault="003C7137" w:rsidP="00D60D73">
      <w:pPr>
        <w:pStyle w:val="Heading3"/>
      </w:pPr>
      <w:bookmarkStart w:id="66" w:name="_Toc534297763"/>
      <w:bookmarkStart w:id="67" w:name="_Toc148445961"/>
      <w:r w:rsidRPr="00BE20BD">
        <w:t>Insurance risk of reinsurance</w:t>
      </w:r>
      <w:bookmarkEnd w:id="66"/>
      <w:bookmarkEnd w:id="67"/>
    </w:p>
    <w:p w14:paraId="04B1712A" w14:textId="7E1EFA75" w:rsidR="00351D81" w:rsidRPr="00BE20BD" w:rsidRDefault="00345C8A" w:rsidP="00D60D73">
      <w:pPr>
        <w:pStyle w:val="FINMAStandardAbsatz"/>
      </w:pPr>
      <w:r w:rsidRPr="00BE20BD">
        <w:rPr>
          <w:i/>
        </w:rPr>
        <w:t xml:space="preserve">&lt;Usually </w:t>
      </w:r>
      <w:r w:rsidR="00917578" w:rsidRPr="00BE20BD">
        <w:rPr>
          <w:i/>
        </w:rPr>
        <w:t>captured</w:t>
      </w:r>
      <w:r w:rsidRPr="00BE20BD">
        <w:rPr>
          <w:i/>
        </w:rPr>
        <w:t xml:space="preserve"> in the </w:t>
      </w:r>
      <w:proofErr w:type="spellStart"/>
      <w:r w:rsidRPr="00BE20BD">
        <w:rPr>
          <w:i/>
        </w:rPr>
        <w:t>StandRe</w:t>
      </w:r>
      <w:proofErr w:type="spellEnd"/>
      <w:r w:rsidRPr="00BE20BD">
        <w:rPr>
          <w:i/>
        </w:rPr>
        <w:t xml:space="preserve"> standard model&gt;</w:t>
      </w:r>
      <w:r w:rsidRPr="00BE20BD">
        <w:t xml:space="preserve"> </w:t>
      </w:r>
    </w:p>
    <w:p w14:paraId="10155D60" w14:textId="243B7112" w:rsidR="00B8723E" w:rsidRPr="00BE20BD" w:rsidRDefault="00386847" w:rsidP="00D60D73">
      <w:pPr>
        <w:pStyle w:val="FINMAStandardAbsatz"/>
      </w:pPr>
      <w:r w:rsidRPr="00BE20BD">
        <w:t xml:space="preserve">AER, IE2, AEP, IE1, NE and their </w:t>
      </w:r>
      <w:r w:rsidR="00C11380" w:rsidRPr="00BE20BD">
        <w:t>aggregation</w:t>
      </w:r>
      <w:r w:rsidRPr="00BE20BD">
        <w:t>.</w:t>
      </w:r>
    </w:p>
    <w:p w14:paraId="6545B32D" w14:textId="15F2BB8C" w:rsidR="007A7580" w:rsidRPr="00BE20BD" w:rsidRDefault="007A7580" w:rsidP="007A7580">
      <w:pPr>
        <w:rPr>
          <w:rFonts w:cs="Arial"/>
          <w:sz w:val="20"/>
          <w:lang w:val="en-US"/>
        </w:rPr>
      </w:pPr>
      <w:r w:rsidRPr="00BE20BD">
        <w:rPr>
          <w:rFonts w:cs="Arial"/>
          <w:sz w:val="20"/>
          <w:lang w:val="en-US"/>
        </w:rPr>
        <w:t xml:space="preserve">Explanations on the data provided in the submitted templates, in particular </w:t>
      </w:r>
      <w:proofErr w:type="gramStart"/>
      <w:r w:rsidRPr="00BE20BD">
        <w:rPr>
          <w:rFonts w:cs="Arial"/>
          <w:sz w:val="20"/>
          <w:lang w:val="en-US"/>
        </w:rPr>
        <w:t>with regard to</w:t>
      </w:r>
      <w:proofErr w:type="gramEnd"/>
      <w:r w:rsidRPr="00BE20BD">
        <w:rPr>
          <w:rFonts w:cs="Arial"/>
          <w:sz w:val="20"/>
          <w:lang w:val="en-US"/>
        </w:rPr>
        <w:t xml:space="preserve"> special assumptions, deviations from the previous year, etc.</w:t>
      </w:r>
    </w:p>
    <w:p w14:paraId="1C11A98D" w14:textId="77777777" w:rsidR="00D13BD3" w:rsidRPr="00BE20BD" w:rsidRDefault="00D13BD3" w:rsidP="007A7580">
      <w:pPr>
        <w:rPr>
          <w:rFonts w:cs="Arial"/>
          <w:sz w:val="20"/>
          <w:lang w:val="en-US"/>
        </w:rPr>
      </w:pPr>
    </w:p>
    <w:p w14:paraId="1F5B5148" w14:textId="4CEF3A44" w:rsidR="00C044AA" w:rsidRPr="00BE20BD" w:rsidRDefault="00C044AA" w:rsidP="00C044AA">
      <w:pPr>
        <w:rPr>
          <w:rFonts w:eastAsiaTheme="minorHAnsi" w:cs="Arial"/>
          <w:sz w:val="20"/>
          <w:lang w:val="en-US" w:eastAsia="en-US"/>
        </w:rPr>
      </w:pPr>
      <w:r w:rsidRPr="00BE20BD">
        <w:rPr>
          <w:rFonts w:eastAsiaTheme="minorHAnsi" w:cs="Arial"/>
          <w:sz w:val="20"/>
          <w:lang w:val="en-US" w:eastAsia="en-US"/>
        </w:rPr>
        <w:t>Explanation of inflation assumptions</w:t>
      </w:r>
      <w:r w:rsidR="002F2F0C" w:rsidRPr="00BE20BD">
        <w:t xml:space="preserve"> </w:t>
      </w:r>
      <w:r w:rsidR="002F2F0C" w:rsidRPr="00BE20BD">
        <w:rPr>
          <w:rFonts w:eastAsiaTheme="minorHAnsi" w:cs="Arial"/>
          <w:sz w:val="20"/>
          <w:lang w:val="en-US" w:eastAsia="en-US"/>
        </w:rPr>
        <w:t>for best estimates of reserves and new claims</w:t>
      </w:r>
      <w:r w:rsidRPr="00BE20BD">
        <w:rPr>
          <w:rFonts w:eastAsiaTheme="minorHAnsi" w:cs="Arial"/>
          <w:sz w:val="20"/>
          <w:lang w:val="en-US" w:eastAsia="en-US"/>
        </w:rPr>
        <w:t xml:space="preserve">, in particular approach (calculation on cash flow basis or flat adjustment factor, etc.) per </w:t>
      </w:r>
      <w:proofErr w:type="spellStart"/>
      <w:r w:rsidRPr="00BE20BD">
        <w:rPr>
          <w:rFonts w:eastAsiaTheme="minorHAnsi" w:cs="Arial"/>
          <w:sz w:val="20"/>
          <w:lang w:val="en-US" w:eastAsia="en-US"/>
        </w:rPr>
        <w:t>StandRe</w:t>
      </w:r>
      <w:proofErr w:type="spellEnd"/>
      <w:r w:rsidRPr="00BE20BD">
        <w:rPr>
          <w:rFonts w:eastAsiaTheme="minorHAnsi" w:cs="Arial"/>
          <w:sz w:val="20"/>
          <w:lang w:val="en-US" w:eastAsia="en-US"/>
        </w:rPr>
        <w:t>-segment, size of expected inflation with justification, etc.</w:t>
      </w:r>
    </w:p>
    <w:p w14:paraId="1FC16766" w14:textId="77777777" w:rsidR="00C044AA" w:rsidRPr="00BE20BD" w:rsidRDefault="00C044AA" w:rsidP="007A7580">
      <w:pPr>
        <w:rPr>
          <w:rFonts w:eastAsiaTheme="minorHAnsi" w:cs="Arial"/>
          <w:sz w:val="20"/>
          <w:lang w:val="en-US" w:eastAsia="en-US"/>
        </w:rPr>
      </w:pPr>
    </w:p>
    <w:p w14:paraId="7F62020A" w14:textId="7A2D86EE" w:rsidR="008B67C6" w:rsidRPr="00BE20BD" w:rsidRDefault="008B67C6" w:rsidP="00D60D73">
      <w:pPr>
        <w:pStyle w:val="Heading3"/>
      </w:pPr>
      <w:bookmarkStart w:id="68" w:name="_Toc534297764"/>
      <w:bookmarkStart w:id="69" w:name="_Toc148445962"/>
      <w:r w:rsidRPr="00BE20BD">
        <w:t>Insurance risk of reinsurance captives</w:t>
      </w:r>
      <w:bookmarkEnd w:id="68"/>
      <w:bookmarkEnd w:id="69"/>
    </w:p>
    <w:p w14:paraId="7EA27520" w14:textId="057B5EC2" w:rsidR="00351D81" w:rsidRPr="00BE20BD" w:rsidRDefault="00345C8A" w:rsidP="00D60D73">
      <w:pPr>
        <w:pStyle w:val="FINMAStandardAbsatz"/>
      </w:pPr>
      <w:r w:rsidRPr="00BE20BD">
        <w:rPr>
          <w:i/>
        </w:rPr>
        <w:t xml:space="preserve">&lt;Usually </w:t>
      </w:r>
      <w:r w:rsidR="00917578" w:rsidRPr="00BE20BD">
        <w:rPr>
          <w:i/>
        </w:rPr>
        <w:t>captured</w:t>
      </w:r>
      <w:r w:rsidRPr="00BE20BD">
        <w:rPr>
          <w:i/>
        </w:rPr>
        <w:t xml:space="preserve"> in the standard model for captives&gt;</w:t>
      </w:r>
      <w:r w:rsidRPr="00BE20BD">
        <w:t xml:space="preserve"> </w:t>
      </w:r>
    </w:p>
    <w:p w14:paraId="7980B08F" w14:textId="68EEDC84" w:rsidR="000360ED" w:rsidRPr="00BE20BD" w:rsidRDefault="00884EF6" w:rsidP="00D60D73">
      <w:pPr>
        <w:pStyle w:val="FINMAStandardAbsatz"/>
      </w:pPr>
      <w:r w:rsidRPr="00BE20BD">
        <w:t>Reserve risk, premium risk and IE3 as well as their aggregation.</w:t>
      </w:r>
    </w:p>
    <w:p w14:paraId="19B8E8A2" w14:textId="0022E1DD" w:rsidR="007A7580" w:rsidRPr="00BE20BD" w:rsidRDefault="007A7580" w:rsidP="007A7580">
      <w:pPr>
        <w:rPr>
          <w:rFonts w:cs="Arial"/>
          <w:sz w:val="20"/>
          <w:lang w:val="en-US"/>
        </w:rPr>
      </w:pPr>
      <w:r w:rsidRPr="00BE20BD">
        <w:rPr>
          <w:rFonts w:cs="Arial"/>
          <w:sz w:val="20"/>
          <w:lang w:val="en-US"/>
        </w:rPr>
        <w:t xml:space="preserve">Explanations on the data provided in the submitted templates, in particular </w:t>
      </w:r>
      <w:proofErr w:type="gramStart"/>
      <w:r w:rsidRPr="00BE20BD">
        <w:rPr>
          <w:rFonts w:cs="Arial"/>
          <w:sz w:val="20"/>
          <w:lang w:val="en-US"/>
        </w:rPr>
        <w:t>with regard to</w:t>
      </w:r>
      <w:proofErr w:type="gramEnd"/>
      <w:r w:rsidRPr="00BE20BD">
        <w:rPr>
          <w:rFonts w:cs="Arial"/>
          <w:sz w:val="20"/>
          <w:lang w:val="en-US"/>
        </w:rPr>
        <w:t xml:space="preserve"> special assumptions, deviations from the previous year, etc.</w:t>
      </w:r>
    </w:p>
    <w:p w14:paraId="553F7A61" w14:textId="7F46C3B0" w:rsidR="00C044AA" w:rsidRPr="00BE20BD" w:rsidRDefault="00C044AA" w:rsidP="007A7580">
      <w:pPr>
        <w:rPr>
          <w:rFonts w:cs="Arial"/>
          <w:sz w:val="20"/>
          <w:lang w:val="en-US"/>
        </w:rPr>
      </w:pPr>
    </w:p>
    <w:p w14:paraId="2030AF03" w14:textId="03802400" w:rsidR="00A71F65" w:rsidRPr="00BE20BD" w:rsidRDefault="00C044AA" w:rsidP="00C044AA">
      <w:pPr>
        <w:rPr>
          <w:rFonts w:eastAsiaTheme="minorHAnsi" w:cs="Arial"/>
          <w:sz w:val="20"/>
          <w:lang w:val="en-US" w:eastAsia="en-US"/>
        </w:rPr>
      </w:pPr>
      <w:r w:rsidRPr="00BE20BD">
        <w:rPr>
          <w:rFonts w:eastAsiaTheme="minorHAnsi" w:cs="Arial"/>
          <w:sz w:val="20"/>
          <w:lang w:val="en-US" w:eastAsia="en-US"/>
        </w:rPr>
        <w:t>Explanation of inflation assumptions</w:t>
      </w:r>
      <w:r w:rsidR="002F2F0C" w:rsidRPr="00BE20BD">
        <w:t xml:space="preserve"> </w:t>
      </w:r>
      <w:r w:rsidR="002F2F0C" w:rsidRPr="00BE20BD">
        <w:rPr>
          <w:rFonts w:eastAsiaTheme="minorHAnsi" w:cs="Arial"/>
          <w:sz w:val="20"/>
          <w:lang w:val="en-US" w:eastAsia="en-US"/>
        </w:rPr>
        <w:t>for best estimates of reserves and new claims</w:t>
      </w:r>
      <w:r w:rsidRPr="00BE20BD">
        <w:rPr>
          <w:rFonts w:eastAsiaTheme="minorHAnsi" w:cs="Arial"/>
          <w:sz w:val="20"/>
          <w:lang w:val="en-US" w:eastAsia="en-US"/>
        </w:rPr>
        <w:t>, in particular approach (calculation on cash flow basis or flat adjustment factor, etc.) per segment, size of expected inflation with justification, etc.</w:t>
      </w:r>
    </w:p>
    <w:p w14:paraId="32F0DBF2" w14:textId="5B12928B" w:rsidR="003D1B5D" w:rsidRPr="00BE20BD" w:rsidRDefault="00774B39" w:rsidP="00D60D73">
      <w:pPr>
        <w:pStyle w:val="Heading2"/>
      </w:pPr>
      <w:bookmarkStart w:id="70" w:name="_Toc534297765"/>
      <w:bookmarkStart w:id="71" w:name="_Toc148445963"/>
      <w:r w:rsidRPr="00BE20BD">
        <w:t>Aggregation and diversification</w:t>
      </w:r>
      <w:bookmarkEnd w:id="70"/>
      <w:bookmarkEnd w:id="71"/>
    </w:p>
    <w:p w14:paraId="5D32B42B" w14:textId="1271ADB2" w:rsidR="003D1B5D" w:rsidRPr="00BE20BD" w:rsidRDefault="00ED41D9" w:rsidP="00D60D73">
      <w:pPr>
        <w:pStyle w:val="FINMAStandardAbsatz"/>
      </w:pPr>
      <w:r w:rsidRPr="00BE20BD">
        <w:t>Analyse the effects of aggregation, order the market</w:t>
      </w:r>
      <w:r w:rsidR="00C11380" w:rsidRPr="00BE20BD">
        <w:t xml:space="preserve"> risk</w:t>
      </w:r>
      <w:r w:rsidRPr="00BE20BD">
        <w:t>, credit</w:t>
      </w:r>
      <w:r w:rsidR="00C11380" w:rsidRPr="00BE20BD">
        <w:t xml:space="preserve"> risk</w:t>
      </w:r>
      <w:r w:rsidRPr="00BE20BD">
        <w:t xml:space="preserve"> and insurance risk categories by materiality, discuss their absolute and relative risk contributions, test the diversification effects for plausibility.</w:t>
      </w:r>
    </w:p>
    <w:p w14:paraId="13185750" w14:textId="623BE99D" w:rsidR="00433163" w:rsidRPr="00BE20BD" w:rsidRDefault="00433163" w:rsidP="00D60D73">
      <w:pPr>
        <w:pStyle w:val="Heading2"/>
      </w:pPr>
      <w:bookmarkStart w:id="72" w:name="_Toc534297770"/>
      <w:bookmarkStart w:id="73" w:name="_Toc148445964"/>
      <w:r w:rsidRPr="00BE20BD">
        <w:t>Expected financial result above risk-free</w:t>
      </w:r>
      <w:bookmarkEnd w:id="72"/>
      <w:r w:rsidRPr="00BE20BD">
        <w:t xml:space="preserve"> interest rate</w:t>
      </w:r>
      <w:bookmarkEnd w:id="73"/>
    </w:p>
    <w:p w14:paraId="233E590A" w14:textId="3001BDFA" w:rsidR="00062982" w:rsidRPr="00BE20BD" w:rsidRDefault="00FA06D9" w:rsidP="00D60D73">
      <w:pPr>
        <w:pStyle w:val="FINMAStandardAbsatz"/>
      </w:pPr>
      <w:r w:rsidRPr="00BE20BD">
        <w:t>Information on the expected financial result</w:t>
      </w:r>
      <w:r w:rsidR="008C649A" w:rsidRPr="00BE20BD">
        <w:t xml:space="preserve"> including the recent past.</w:t>
      </w:r>
      <w:r w:rsidRPr="00BE20BD">
        <w:t xml:space="preserve"> </w:t>
      </w:r>
    </w:p>
    <w:tbl>
      <w:tblPr>
        <w:tblW w:w="5529" w:type="dxa"/>
        <w:tblCellMar>
          <w:left w:w="70" w:type="dxa"/>
          <w:right w:w="70" w:type="dxa"/>
        </w:tblCellMar>
        <w:tblLook w:val="04A0" w:firstRow="1" w:lastRow="0" w:firstColumn="1" w:lastColumn="0" w:noHBand="0" w:noVBand="1"/>
      </w:tblPr>
      <w:tblGrid>
        <w:gridCol w:w="2440"/>
        <w:gridCol w:w="200"/>
        <w:gridCol w:w="904"/>
        <w:gridCol w:w="831"/>
        <w:gridCol w:w="185"/>
        <w:gridCol w:w="993"/>
      </w:tblGrid>
      <w:tr w:rsidR="003732D1" w:rsidRPr="00BE20BD" w14:paraId="5986FDFF" w14:textId="77777777" w:rsidTr="003732D1">
        <w:trPr>
          <w:trHeight w:val="255"/>
        </w:trPr>
        <w:tc>
          <w:tcPr>
            <w:tcW w:w="2440" w:type="dxa"/>
            <w:tcBorders>
              <w:top w:val="nil"/>
              <w:left w:val="nil"/>
              <w:bottom w:val="nil"/>
              <w:right w:val="nil"/>
            </w:tcBorders>
            <w:shd w:val="clear" w:color="auto" w:fill="auto"/>
            <w:noWrap/>
            <w:vAlign w:val="bottom"/>
            <w:hideMark/>
          </w:tcPr>
          <w:p w14:paraId="4639169E" w14:textId="77777777" w:rsidR="003732D1" w:rsidRPr="00BE20BD" w:rsidRDefault="003732D1" w:rsidP="003732D1">
            <w:pPr>
              <w:keepNext/>
              <w:spacing w:line="240" w:lineRule="auto"/>
              <w:rPr>
                <w:rFonts w:ascii="Times New Roman" w:eastAsia="Times New Roman" w:hAnsi="Times New Roman"/>
                <w:sz w:val="20"/>
                <w:szCs w:val="24"/>
                <w:lang w:val="en-US" w:eastAsia="de-CH"/>
              </w:rPr>
            </w:pPr>
          </w:p>
        </w:tc>
        <w:tc>
          <w:tcPr>
            <w:tcW w:w="200" w:type="dxa"/>
            <w:tcBorders>
              <w:top w:val="nil"/>
              <w:left w:val="nil"/>
              <w:bottom w:val="nil"/>
              <w:right w:val="nil"/>
            </w:tcBorders>
            <w:shd w:val="clear" w:color="auto" w:fill="auto"/>
            <w:noWrap/>
            <w:vAlign w:val="bottom"/>
            <w:hideMark/>
          </w:tcPr>
          <w:p w14:paraId="17257402" w14:textId="77777777" w:rsidR="003732D1" w:rsidRPr="00BE20BD" w:rsidRDefault="003732D1" w:rsidP="003732D1">
            <w:pPr>
              <w:keepNext/>
              <w:spacing w:line="240" w:lineRule="auto"/>
              <w:rPr>
                <w:rFonts w:ascii="Times New Roman" w:eastAsia="Times New Roman" w:hAnsi="Times New Roman"/>
                <w:sz w:val="20"/>
                <w:lang w:val="en-US" w:eastAsia="de-CH"/>
              </w:rPr>
            </w:pPr>
          </w:p>
        </w:tc>
        <w:tc>
          <w:tcPr>
            <w:tcW w:w="904" w:type="dxa"/>
            <w:tcBorders>
              <w:top w:val="nil"/>
              <w:left w:val="nil"/>
              <w:bottom w:val="nil"/>
              <w:right w:val="nil"/>
            </w:tcBorders>
            <w:shd w:val="clear" w:color="000000" w:fill="D9D9D9"/>
            <w:noWrap/>
            <w:vAlign w:val="bottom"/>
            <w:hideMark/>
          </w:tcPr>
          <w:p w14:paraId="12E02494" w14:textId="2F0DF78B" w:rsidR="003732D1" w:rsidRPr="00BE20BD" w:rsidRDefault="003732D1" w:rsidP="003732D1">
            <w:pPr>
              <w:keepNext/>
              <w:spacing w:line="240" w:lineRule="auto"/>
              <w:rPr>
                <w:rFonts w:eastAsia="Times New Roman" w:cs="Arial"/>
                <w:b/>
                <w:bCs/>
                <w:color w:val="000000"/>
                <w:sz w:val="16"/>
                <w:szCs w:val="16"/>
              </w:rPr>
            </w:pPr>
            <w:r w:rsidRPr="00BE20BD">
              <w:rPr>
                <w:b/>
                <w:bCs/>
                <w:sz w:val="16"/>
                <w:szCs w:val="16"/>
              </w:rPr>
              <w:t>SST</w:t>
            </w:r>
            <w:r w:rsidR="007B41EF" w:rsidRPr="00BE20BD">
              <w:rPr>
                <w:b/>
                <w:bCs/>
                <w:sz w:val="16"/>
                <w:szCs w:val="16"/>
              </w:rPr>
              <w:t xml:space="preserve"> </w:t>
            </w:r>
            <w:r w:rsidR="00596C13" w:rsidRPr="00BE20BD">
              <w:rPr>
                <w:b/>
                <w:bCs/>
                <w:sz w:val="16"/>
                <w:szCs w:val="16"/>
              </w:rPr>
              <w:t>20</w:t>
            </w:r>
            <w:r w:rsidR="00EA28F4" w:rsidRPr="00BE20BD">
              <w:rPr>
                <w:b/>
                <w:bCs/>
                <w:sz w:val="16"/>
                <w:szCs w:val="16"/>
              </w:rPr>
              <w:t>24</w:t>
            </w:r>
          </w:p>
        </w:tc>
        <w:tc>
          <w:tcPr>
            <w:tcW w:w="831" w:type="dxa"/>
            <w:tcBorders>
              <w:top w:val="nil"/>
              <w:left w:val="nil"/>
              <w:bottom w:val="nil"/>
              <w:right w:val="nil"/>
            </w:tcBorders>
            <w:shd w:val="clear" w:color="000000" w:fill="D9D9D9"/>
            <w:noWrap/>
            <w:vAlign w:val="bottom"/>
            <w:hideMark/>
          </w:tcPr>
          <w:p w14:paraId="3BE80FEB" w14:textId="77777777" w:rsidR="003732D1" w:rsidRPr="00BE20BD" w:rsidRDefault="003732D1" w:rsidP="003732D1">
            <w:pPr>
              <w:keepNext/>
              <w:spacing w:line="240" w:lineRule="auto"/>
              <w:rPr>
                <w:rFonts w:eastAsia="Times New Roman" w:cs="Arial"/>
                <w:color w:val="000000"/>
                <w:sz w:val="16"/>
                <w:szCs w:val="16"/>
              </w:rPr>
            </w:pPr>
            <w:r w:rsidRPr="00BE20BD">
              <w:rPr>
                <w:color w:val="000000"/>
                <w:sz w:val="16"/>
                <w:szCs w:val="16"/>
              </w:rPr>
              <w:t> </w:t>
            </w:r>
          </w:p>
        </w:tc>
        <w:tc>
          <w:tcPr>
            <w:tcW w:w="161" w:type="dxa"/>
            <w:tcBorders>
              <w:top w:val="nil"/>
              <w:left w:val="nil"/>
              <w:bottom w:val="nil"/>
              <w:right w:val="nil"/>
            </w:tcBorders>
            <w:shd w:val="clear" w:color="auto" w:fill="auto"/>
            <w:noWrap/>
            <w:vAlign w:val="bottom"/>
            <w:hideMark/>
          </w:tcPr>
          <w:p w14:paraId="50B76F28" w14:textId="77777777" w:rsidR="003732D1" w:rsidRPr="00BE20BD" w:rsidRDefault="003732D1" w:rsidP="003732D1">
            <w:pPr>
              <w:keepNext/>
              <w:spacing w:line="240" w:lineRule="auto"/>
              <w:rPr>
                <w:rFonts w:eastAsia="Times New Roman" w:cs="Arial"/>
                <w:color w:val="000000"/>
                <w:sz w:val="16"/>
                <w:szCs w:val="16"/>
                <w:lang w:val="de-CH" w:eastAsia="de-CH"/>
              </w:rPr>
            </w:pPr>
          </w:p>
        </w:tc>
        <w:tc>
          <w:tcPr>
            <w:tcW w:w="993" w:type="dxa"/>
            <w:tcBorders>
              <w:top w:val="nil"/>
              <w:left w:val="nil"/>
              <w:bottom w:val="nil"/>
              <w:right w:val="nil"/>
            </w:tcBorders>
            <w:shd w:val="clear" w:color="000000" w:fill="D9D9D9"/>
            <w:noWrap/>
            <w:vAlign w:val="bottom"/>
            <w:hideMark/>
          </w:tcPr>
          <w:p w14:paraId="283021A2" w14:textId="5B3E46FB" w:rsidR="003732D1" w:rsidRPr="00BE20BD" w:rsidRDefault="003732D1" w:rsidP="003732D1">
            <w:pPr>
              <w:keepNext/>
              <w:spacing w:line="240" w:lineRule="auto"/>
              <w:rPr>
                <w:rFonts w:eastAsia="Times New Roman" w:cs="Arial"/>
                <w:b/>
                <w:bCs/>
                <w:color w:val="000000"/>
                <w:sz w:val="16"/>
                <w:szCs w:val="16"/>
              </w:rPr>
            </w:pPr>
            <w:r w:rsidRPr="00BE20BD">
              <w:rPr>
                <w:b/>
                <w:bCs/>
                <w:sz w:val="16"/>
                <w:szCs w:val="16"/>
              </w:rPr>
              <w:t>SST</w:t>
            </w:r>
            <w:r w:rsidR="007B41EF" w:rsidRPr="00BE20BD">
              <w:rPr>
                <w:b/>
                <w:bCs/>
                <w:sz w:val="16"/>
                <w:szCs w:val="16"/>
              </w:rPr>
              <w:t xml:space="preserve"> </w:t>
            </w:r>
            <w:r w:rsidR="00596C13" w:rsidRPr="00BE20BD">
              <w:rPr>
                <w:b/>
                <w:bCs/>
                <w:sz w:val="16"/>
                <w:szCs w:val="16"/>
              </w:rPr>
              <w:t>202</w:t>
            </w:r>
            <w:r w:rsidR="00EA28F4" w:rsidRPr="00BE20BD">
              <w:rPr>
                <w:b/>
                <w:bCs/>
                <w:sz w:val="16"/>
                <w:szCs w:val="16"/>
              </w:rPr>
              <w:t>3</w:t>
            </w:r>
            <w:r w:rsidR="00EA28F4" w:rsidRPr="00BE20BD">
              <w:rPr>
                <w:b/>
                <w:bCs/>
                <w:color w:val="FF0000"/>
                <w:sz w:val="16"/>
                <w:szCs w:val="16"/>
              </w:rPr>
              <w:t xml:space="preserve"> </w:t>
            </w:r>
          </w:p>
        </w:tc>
      </w:tr>
      <w:tr w:rsidR="003732D1" w:rsidRPr="00BE20BD" w14:paraId="0EC8819B" w14:textId="77777777" w:rsidTr="003732D1">
        <w:trPr>
          <w:trHeight w:val="356"/>
        </w:trPr>
        <w:tc>
          <w:tcPr>
            <w:tcW w:w="2440" w:type="dxa"/>
            <w:tcBorders>
              <w:top w:val="nil"/>
              <w:left w:val="nil"/>
              <w:bottom w:val="nil"/>
              <w:right w:val="nil"/>
            </w:tcBorders>
            <w:shd w:val="clear" w:color="auto" w:fill="auto"/>
            <w:noWrap/>
            <w:vAlign w:val="bottom"/>
            <w:hideMark/>
          </w:tcPr>
          <w:p w14:paraId="2ACAF7AE" w14:textId="77777777" w:rsidR="003732D1" w:rsidRPr="00BE20BD" w:rsidRDefault="003732D1" w:rsidP="003732D1">
            <w:pPr>
              <w:keepNext/>
              <w:spacing w:line="240" w:lineRule="auto"/>
              <w:rPr>
                <w:rFonts w:eastAsia="Times New Roman" w:cs="Arial"/>
                <w:b/>
                <w:bCs/>
                <w:color w:val="000000"/>
                <w:sz w:val="16"/>
                <w:szCs w:val="16"/>
                <w:lang w:val="de-CH" w:eastAsia="de-CH"/>
              </w:rPr>
            </w:pPr>
          </w:p>
        </w:tc>
        <w:tc>
          <w:tcPr>
            <w:tcW w:w="200" w:type="dxa"/>
            <w:tcBorders>
              <w:top w:val="nil"/>
              <w:left w:val="nil"/>
              <w:bottom w:val="single" w:sz="4" w:space="0" w:color="auto"/>
              <w:right w:val="nil"/>
            </w:tcBorders>
            <w:shd w:val="clear" w:color="auto" w:fill="auto"/>
            <w:vAlign w:val="bottom"/>
            <w:hideMark/>
          </w:tcPr>
          <w:p w14:paraId="478C9219" w14:textId="77777777" w:rsidR="003732D1" w:rsidRPr="00BE20BD" w:rsidRDefault="003732D1" w:rsidP="003732D1">
            <w:pPr>
              <w:keepNext/>
              <w:spacing w:line="240" w:lineRule="auto"/>
              <w:rPr>
                <w:rFonts w:eastAsia="Times New Roman" w:cs="Arial"/>
                <w:color w:val="000000"/>
                <w:sz w:val="16"/>
                <w:szCs w:val="16"/>
              </w:rPr>
            </w:pPr>
            <w:r w:rsidRPr="00BE20BD">
              <w:rPr>
                <w:color w:val="000000"/>
                <w:sz w:val="16"/>
                <w:szCs w:val="16"/>
              </w:rPr>
              <w:t> </w:t>
            </w:r>
          </w:p>
        </w:tc>
        <w:tc>
          <w:tcPr>
            <w:tcW w:w="904" w:type="dxa"/>
            <w:tcBorders>
              <w:top w:val="nil"/>
              <w:left w:val="nil"/>
              <w:bottom w:val="single" w:sz="4" w:space="0" w:color="auto"/>
              <w:right w:val="nil"/>
            </w:tcBorders>
            <w:shd w:val="clear" w:color="000000" w:fill="F2F2F2"/>
            <w:vAlign w:val="bottom"/>
            <w:hideMark/>
          </w:tcPr>
          <w:p w14:paraId="76CD9249" w14:textId="694819C3" w:rsidR="003732D1" w:rsidRPr="00BE20BD" w:rsidRDefault="0034518A" w:rsidP="003732D1">
            <w:pPr>
              <w:keepNext/>
              <w:spacing w:line="240" w:lineRule="auto"/>
              <w:rPr>
                <w:rFonts w:eastAsia="Times New Roman" w:cs="Arial"/>
                <w:color w:val="000000"/>
                <w:sz w:val="16"/>
                <w:szCs w:val="16"/>
              </w:rPr>
            </w:pPr>
            <w:r w:rsidRPr="00BE20BD">
              <w:rPr>
                <w:color w:val="000000"/>
                <w:sz w:val="16"/>
                <w:szCs w:val="16"/>
              </w:rPr>
              <w:t>&lt;SST currency</w:t>
            </w:r>
            <w:proofErr w:type="gramStart"/>
            <w:r w:rsidRPr="00BE20BD">
              <w:rPr>
                <w:color w:val="000000"/>
                <w:sz w:val="16"/>
                <w:szCs w:val="16"/>
              </w:rPr>
              <w:t xml:space="preserve">&gt; </w:t>
            </w:r>
            <w:r w:rsidR="003732D1" w:rsidRPr="00BE20BD">
              <w:rPr>
                <w:color w:val="000000"/>
                <w:sz w:val="16"/>
                <w:szCs w:val="16"/>
              </w:rPr>
              <w:t xml:space="preserve"> millions</w:t>
            </w:r>
            <w:proofErr w:type="gramEnd"/>
          </w:p>
        </w:tc>
        <w:tc>
          <w:tcPr>
            <w:tcW w:w="831" w:type="dxa"/>
            <w:tcBorders>
              <w:top w:val="nil"/>
              <w:left w:val="nil"/>
              <w:bottom w:val="single" w:sz="4" w:space="0" w:color="auto"/>
              <w:right w:val="nil"/>
            </w:tcBorders>
            <w:shd w:val="clear" w:color="auto" w:fill="auto"/>
            <w:vAlign w:val="bottom"/>
            <w:hideMark/>
          </w:tcPr>
          <w:p w14:paraId="4771E61E" w14:textId="7C156E31" w:rsidR="003732D1" w:rsidRPr="00BE20BD" w:rsidRDefault="003732D1" w:rsidP="003732D1">
            <w:pPr>
              <w:keepNext/>
              <w:spacing w:line="240" w:lineRule="auto"/>
              <w:rPr>
                <w:rFonts w:eastAsia="Times New Roman" w:cs="Arial"/>
                <w:color w:val="000000"/>
                <w:sz w:val="16"/>
                <w:szCs w:val="16"/>
              </w:rPr>
            </w:pPr>
            <w:r w:rsidRPr="00BE20BD">
              <w:rPr>
                <w:color w:val="000000"/>
                <w:sz w:val="16"/>
                <w:szCs w:val="16"/>
              </w:rPr>
              <w:t xml:space="preserve">Rel. diff. </w:t>
            </w:r>
          </w:p>
        </w:tc>
        <w:tc>
          <w:tcPr>
            <w:tcW w:w="161" w:type="dxa"/>
            <w:tcBorders>
              <w:top w:val="nil"/>
              <w:left w:val="nil"/>
              <w:bottom w:val="single" w:sz="4" w:space="0" w:color="auto"/>
              <w:right w:val="nil"/>
            </w:tcBorders>
            <w:shd w:val="clear" w:color="auto" w:fill="auto"/>
            <w:noWrap/>
            <w:vAlign w:val="bottom"/>
            <w:hideMark/>
          </w:tcPr>
          <w:p w14:paraId="7795E071" w14:textId="77777777" w:rsidR="003732D1" w:rsidRPr="00BE20BD" w:rsidRDefault="003732D1" w:rsidP="003732D1">
            <w:pPr>
              <w:keepNext/>
              <w:spacing w:line="240" w:lineRule="auto"/>
              <w:rPr>
                <w:rFonts w:eastAsia="Times New Roman" w:cs="Arial"/>
                <w:color w:val="000000"/>
                <w:sz w:val="16"/>
                <w:szCs w:val="16"/>
              </w:rPr>
            </w:pPr>
            <w:r w:rsidRPr="00BE20BD">
              <w:rPr>
                <w:color w:val="000000"/>
                <w:sz w:val="16"/>
                <w:szCs w:val="16"/>
              </w:rPr>
              <w:t> </w:t>
            </w:r>
          </w:p>
        </w:tc>
        <w:tc>
          <w:tcPr>
            <w:tcW w:w="993" w:type="dxa"/>
            <w:tcBorders>
              <w:top w:val="nil"/>
              <w:left w:val="nil"/>
              <w:bottom w:val="single" w:sz="4" w:space="0" w:color="auto"/>
              <w:right w:val="nil"/>
            </w:tcBorders>
            <w:shd w:val="clear" w:color="000000" w:fill="F2F2F2"/>
            <w:vAlign w:val="bottom"/>
            <w:hideMark/>
          </w:tcPr>
          <w:p w14:paraId="4BD03D32" w14:textId="384E4152" w:rsidR="003732D1" w:rsidRPr="00BE20BD" w:rsidRDefault="0034518A" w:rsidP="003732D1">
            <w:pPr>
              <w:keepNext/>
              <w:spacing w:line="240" w:lineRule="auto"/>
              <w:rPr>
                <w:rFonts w:eastAsia="Times New Roman" w:cs="Arial"/>
                <w:color w:val="000000"/>
                <w:sz w:val="16"/>
                <w:szCs w:val="16"/>
              </w:rPr>
            </w:pPr>
            <w:r w:rsidRPr="00BE20BD">
              <w:rPr>
                <w:color w:val="000000"/>
                <w:sz w:val="16"/>
                <w:szCs w:val="16"/>
              </w:rPr>
              <w:t>&lt;SST currency&gt;</w:t>
            </w:r>
            <w:r w:rsidR="003732D1" w:rsidRPr="00BE20BD">
              <w:rPr>
                <w:color w:val="000000"/>
                <w:sz w:val="16"/>
                <w:szCs w:val="16"/>
              </w:rPr>
              <w:t xml:space="preserve"> millions</w:t>
            </w:r>
          </w:p>
        </w:tc>
      </w:tr>
      <w:tr w:rsidR="003732D1" w:rsidRPr="00BE20BD" w14:paraId="722F78F2" w14:textId="77777777" w:rsidTr="003732D1">
        <w:trPr>
          <w:trHeight w:val="255"/>
        </w:trPr>
        <w:tc>
          <w:tcPr>
            <w:tcW w:w="2440" w:type="dxa"/>
            <w:tcBorders>
              <w:top w:val="nil"/>
              <w:left w:val="nil"/>
              <w:bottom w:val="nil"/>
              <w:right w:val="nil"/>
            </w:tcBorders>
            <w:shd w:val="clear" w:color="auto" w:fill="auto"/>
            <w:noWrap/>
            <w:vAlign w:val="bottom"/>
            <w:hideMark/>
          </w:tcPr>
          <w:p w14:paraId="3D20D400" w14:textId="77777777" w:rsidR="003732D1" w:rsidRPr="00BE20BD" w:rsidRDefault="003732D1" w:rsidP="003732D1">
            <w:pPr>
              <w:keepNext/>
              <w:spacing w:line="240" w:lineRule="auto"/>
              <w:rPr>
                <w:rFonts w:eastAsia="Times New Roman" w:cs="Arial"/>
                <w:color w:val="000000"/>
                <w:sz w:val="16"/>
                <w:szCs w:val="16"/>
                <w:lang w:val="de-CH" w:eastAsia="de-CH"/>
              </w:rPr>
            </w:pPr>
          </w:p>
        </w:tc>
        <w:tc>
          <w:tcPr>
            <w:tcW w:w="200" w:type="dxa"/>
            <w:tcBorders>
              <w:top w:val="nil"/>
              <w:left w:val="nil"/>
              <w:bottom w:val="nil"/>
              <w:right w:val="nil"/>
            </w:tcBorders>
            <w:shd w:val="clear" w:color="auto" w:fill="auto"/>
            <w:noWrap/>
            <w:vAlign w:val="bottom"/>
            <w:hideMark/>
          </w:tcPr>
          <w:p w14:paraId="2F71E2C9" w14:textId="77777777" w:rsidR="003732D1" w:rsidRPr="00BE20BD" w:rsidRDefault="003732D1" w:rsidP="003732D1">
            <w:pPr>
              <w:keepNext/>
              <w:spacing w:line="240" w:lineRule="auto"/>
              <w:rPr>
                <w:rFonts w:ascii="Times New Roman" w:eastAsia="Times New Roman" w:hAnsi="Times New Roman"/>
                <w:sz w:val="20"/>
                <w:lang w:val="de-CH" w:eastAsia="de-CH"/>
              </w:rPr>
            </w:pPr>
          </w:p>
        </w:tc>
        <w:tc>
          <w:tcPr>
            <w:tcW w:w="904" w:type="dxa"/>
            <w:tcBorders>
              <w:top w:val="nil"/>
              <w:left w:val="nil"/>
              <w:bottom w:val="nil"/>
              <w:right w:val="nil"/>
            </w:tcBorders>
            <w:shd w:val="clear" w:color="auto" w:fill="auto"/>
            <w:noWrap/>
            <w:vAlign w:val="bottom"/>
            <w:hideMark/>
          </w:tcPr>
          <w:p w14:paraId="3F160A3E" w14:textId="77777777" w:rsidR="003732D1" w:rsidRPr="00BE20BD" w:rsidRDefault="003732D1" w:rsidP="003732D1">
            <w:pPr>
              <w:keepNext/>
              <w:spacing w:line="240" w:lineRule="auto"/>
              <w:rPr>
                <w:rFonts w:ascii="Times New Roman" w:eastAsia="Times New Roman" w:hAnsi="Times New Roman"/>
                <w:sz w:val="20"/>
                <w:lang w:val="de-CH" w:eastAsia="de-CH"/>
              </w:rPr>
            </w:pPr>
          </w:p>
        </w:tc>
        <w:tc>
          <w:tcPr>
            <w:tcW w:w="831" w:type="dxa"/>
            <w:tcBorders>
              <w:top w:val="nil"/>
              <w:left w:val="nil"/>
              <w:bottom w:val="nil"/>
              <w:right w:val="nil"/>
            </w:tcBorders>
            <w:shd w:val="clear" w:color="auto" w:fill="auto"/>
            <w:noWrap/>
            <w:vAlign w:val="bottom"/>
            <w:hideMark/>
          </w:tcPr>
          <w:p w14:paraId="4B93C277" w14:textId="77777777" w:rsidR="003732D1" w:rsidRPr="00BE20BD" w:rsidRDefault="003732D1" w:rsidP="003732D1">
            <w:pPr>
              <w:keepNext/>
              <w:spacing w:line="240" w:lineRule="auto"/>
              <w:rPr>
                <w:rFonts w:ascii="Times New Roman" w:eastAsia="Times New Roman" w:hAnsi="Times New Roman"/>
                <w:sz w:val="20"/>
                <w:lang w:val="de-CH" w:eastAsia="de-CH"/>
              </w:rPr>
            </w:pPr>
          </w:p>
        </w:tc>
        <w:tc>
          <w:tcPr>
            <w:tcW w:w="161" w:type="dxa"/>
            <w:tcBorders>
              <w:top w:val="nil"/>
              <w:left w:val="nil"/>
              <w:bottom w:val="nil"/>
              <w:right w:val="nil"/>
            </w:tcBorders>
            <w:shd w:val="clear" w:color="auto" w:fill="auto"/>
            <w:noWrap/>
            <w:vAlign w:val="bottom"/>
            <w:hideMark/>
          </w:tcPr>
          <w:p w14:paraId="7E98362E" w14:textId="77777777" w:rsidR="003732D1" w:rsidRPr="00BE20BD" w:rsidRDefault="003732D1" w:rsidP="003732D1">
            <w:pPr>
              <w:keepNext/>
              <w:spacing w:line="240" w:lineRule="auto"/>
              <w:rPr>
                <w:rFonts w:ascii="Times New Roman" w:eastAsia="Times New Roman" w:hAnsi="Times New Roman"/>
                <w:sz w:val="20"/>
                <w:lang w:val="de-CH" w:eastAsia="de-CH"/>
              </w:rPr>
            </w:pPr>
          </w:p>
        </w:tc>
        <w:tc>
          <w:tcPr>
            <w:tcW w:w="993" w:type="dxa"/>
            <w:tcBorders>
              <w:top w:val="nil"/>
              <w:left w:val="nil"/>
              <w:bottom w:val="nil"/>
              <w:right w:val="nil"/>
            </w:tcBorders>
            <w:shd w:val="clear" w:color="auto" w:fill="auto"/>
            <w:noWrap/>
            <w:vAlign w:val="bottom"/>
            <w:hideMark/>
          </w:tcPr>
          <w:p w14:paraId="30637295" w14:textId="77777777" w:rsidR="003732D1" w:rsidRPr="00BE20BD" w:rsidRDefault="003732D1" w:rsidP="003732D1">
            <w:pPr>
              <w:keepNext/>
              <w:spacing w:line="240" w:lineRule="auto"/>
              <w:rPr>
                <w:rFonts w:ascii="Times New Roman" w:eastAsia="Times New Roman" w:hAnsi="Times New Roman"/>
                <w:sz w:val="20"/>
                <w:lang w:val="de-CH" w:eastAsia="de-CH"/>
              </w:rPr>
            </w:pPr>
          </w:p>
        </w:tc>
      </w:tr>
      <w:tr w:rsidR="003732D1" w:rsidRPr="00BE20BD" w14:paraId="38639D97" w14:textId="77777777" w:rsidTr="00643921">
        <w:trPr>
          <w:trHeight w:val="255"/>
        </w:trPr>
        <w:tc>
          <w:tcPr>
            <w:tcW w:w="2440" w:type="dxa"/>
            <w:tcBorders>
              <w:top w:val="nil"/>
              <w:left w:val="nil"/>
              <w:bottom w:val="nil"/>
              <w:right w:val="nil"/>
            </w:tcBorders>
            <w:shd w:val="clear" w:color="000000" w:fill="D9D9D9"/>
            <w:noWrap/>
            <w:vAlign w:val="bottom"/>
            <w:hideMark/>
          </w:tcPr>
          <w:p w14:paraId="223FCC4F" w14:textId="77777777" w:rsidR="003732D1" w:rsidRPr="00BE20BD" w:rsidRDefault="003732D1" w:rsidP="003732D1">
            <w:pPr>
              <w:keepNext/>
              <w:spacing w:line="240" w:lineRule="auto"/>
              <w:rPr>
                <w:rFonts w:eastAsia="Times New Roman" w:cs="Arial"/>
                <w:color w:val="000000"/>
                <w:sz w:val="16"/>
                <w:szCs w:val="16"/>
              </w:rPr>
            </w:pPr>
            <w:r w:rsidRPr="00BE20BD">
              <w:rPr>
                <w:color w:val="000000"/>
                <w:sz w:val="16"/>
                <w:szCs w:val="16"/>
              </w:rPr>
              <w:t>Expected</w:t>
            </w:r>
          </w:p>
        </w:tc>
        <w:tc>
          <w:tcPr>
            <w:tcW w:w="200" w:type="dxa"/>
            <w:tcBorders>
              <w:top w:val="nil"/>
              <w:left w:val="nil"/>
              <w:bottom w:val="nil"/>
              <w:right w:val="nil"/>
            </w:tcBorders>
            <w:shd w:val="clear" w:color="auto" w:fill="auto"/>
            <w:noWrap/>
            <w:vAlign w:val="bottom"/>
            <w:hideMark/>
          </w:tcPr>
          <w:p w14:paraId="048DB7DD" w14:textId="77777777" w:rsidR="003732D1" w:rsidRPr="00BE20BD" w:rsidRDefault="003732D1" w:rsidP="003732D1">
            <w:pPr>
              <w:keepNext/>
              <w:spacing w:line="240" w:lineRule="auto"/>
              <w:rPr>
                <w:rFonts w:eastAsia="Times New Roman" w:cs="Arial"/>
                <w:color w:val="000000"/>
                <w:sz w:val="16"/>
                <w:szCs w:val="16"/>
                <w:lang w:val="de-CH" w:eastAsia="de-CH"/>
              </w:rPr>
            </w:pPr>
          </w:p>
        </w:tc>
        <w:tc>
          <w:tcPr>
            <w:tcW w:w="904" w:type="dxa"/>
            <w:tcBorders>
              <w:top w:val="nil"/>
              <w:left w:val="nil"/>
              <w:bottom w:val="nil"/>
              <w:right w:val="nil"/>
            </w:tcBorders>
            <w:shd w:val="clear" w:color="000000" w:fill="D9D9D9"/>
            <w:noWrap/>
            <w:vAlign w:val="bottom"/>
          </w:tcPr>
          <w:p w14:paraId="4BD33F80" w14:textId="5044F134" w:rsidR="003732D1" w:rsidRPr="00BE20BD" w:rsidRDefault="003732D1" w:rsidP="003732D1">
            <w:pPr>
              <w:keepNext/>
              <w:spacing w:line="240" w:lineRule="auto"/>
              <w:jc w:val="right"/>
              <w:rPr>
                <w:rFonts w:eastAsia="Times New Roman" w:cs="Arial"/>
                <w:color w:val="000000"/>
                <w:sz w:val="16"/>
                <w:szCs w:val="16"/>
                <w:lang w:val="de-CH" w:eastAsia="de-CH"/>
              </w:rPr>
            </w:pPr>
          </w:p>
        </w:tc>
        <w:tc>
          <w:tcPr>
            <w:tcW w:w="831" w:type="dxa"/>
            <w:tcBorders>
              <w:top w:val="nil"/>
              <w:left w:val="nil"/>
              <w:bottom w:val="nil"/>
              <w:right w:val="nil"/>
            </w:tcBorders>
            <w:shd w:val="clear" w:color="auto" w:fill="auto"/>
            <w:noWrap/>
            <w:vAlign w:val="bottom"/>
          </w:tcPr>
          <w:p w14:paraId="0237DD68" w14:textId="4DBFC066" w:rsidR="003732D1" w:rsidRPr="00BE20BD" w:rsidRDefault="003732D1" w:rsidP="003732D1">
            <w:pPr>
              <w:keepNext/>
              <w:spacing w:line="240" w:lineRule="auto"/>
              <w:jc w:val="right"/>
              <w:rPr>
                <w:rFonts w:eastAsia="Times New Roman" w:cs="Arial"/>
                <w:color w:val="000000"/>
                <w:sz w:val="16"/>
                <w:szCs w:val="16"/>
                <w:lang w:val="de-CH" w:eastAsia="de-CH"/>
              </w:rPr>
            </w:pPr>
          </w:p>
        </w:tc>
        <w:tc>
          <w:tcPr>
            <w:tcW w:w="161" w:type="dxa"/>
            <w:tcBorders>
              <w:top w:val="nil"/>
              <w:left w:val="nil"/>
              <w:bottom w:val="nil"/>
              <w:right w:val="nil"/>
            </w:tcBorders>
            <w:shd w:val="clear" w:color="auto" w:fill="auto"/>
            <w:noWrap/>
            <w:vAlign w:val="bottom"/>
          </w:tcPr>
          <w:p w14:paraId="34359255" w14:textId="77777777" w:rsidR="003732D1" w:rsidRPr="00BE20BD" w:rsidRDefault="003732D1" w:rsidP="003732D1">
            <w:pPr>
              <w:keepNext/>
              <w:spacing w:line="240" w:lineRule="auto"/>
              <w:jc w:val="right"/>
              <w:rPr>
                <w:rFonts w:eastAsia="Times New Roman" w:cs="Arial"/>
                <w:color w:val="000000"/>
                <w:sz w:val="16"/>
                <w:szCs w:val="16"/>
                <w:lang w:val="de-CH" w:eastAsia="de-CH"/>
              </w:rPr>
            </w:pPr>
          </w:p>
        </w:tc>
        <w:tc>
          <w:tcPr>
            <w:tcW w:w="993" w:type="dxa"/>
            <w:tcBorders>
              <w:top w:val="nil"/>
              <w:left w:val="nil"/>
              <w:bottom w:val="nil"/>
              <w:right w:val="nil"/>
            </w:tcBorders>
            <w:shd w:val="clear" w:color="000000" w:fill="D9D9D9"/>
            <w:noWrap/>
            <w:vAlign w:val="bottom"/>
          </w:tcPr>
          <w:p w14:paraId="063B9F86" w14:textId="2C1571E9" w:rsidR="003732D1" w:rsidRPr="00BE20BD" w:rsidRDefault="003732D1" w:rsidP="003732D1">
            <w:pPr>
              <w:keepNext/>
              <w:spacing w:line="240" w:lineRule="auto"/>
              <w:jc w:val="right"/>
              <w:rPr>
                <w:rFonts w:eastAsia="Times New Roman" w:cs="Arial"/>
                <w:color w:val="000000"/>
                <w:sz w:val="16"/>
                <w:szCs w:val="16"/>
                <w:lang w:val="de-CH" w:eastAsia="de-CH"/>
              </w:rPr>
            </w:pPr>
          </w:p>
        </w:tc>
      </w:tr>
      <w:tr w:rsidR="003732D1" w:rsidRPr="00BE20BD" w14:paraId="3D6284A9" w14:textId="77777777" w:rsidTr="00643921">
        <w:trPr>
          <w:trHeight w:val="255"/>
        </w:trPr>
        <w:tc>
          <w:tcPr>
            <w:tcW w:w="2440" w:type="dxa"/>
            <w:tcBorders>
              <w:top w:val="nil"/>
              <w:left w:val="nil"/>
              <w:bottom w:val="nil"/>
              <w:right w:val="nil"/>
            </w:tcBorders>
            <w:shd w:val="clear" w:color="auto" w:fill="auto"/>
            <w:noWrap/>
            <w:vAlign w:val="bottom"/>
            <w:hideMark/>
          </w:tcPr>
          <w:p w14:paraId="60A16F63" w14:textId="77777777" w:rsidR="003732D1" w:rsidRPr="00BE20BD" w:rsidRDefault="003732D1" w:rsidP="003732D1">
            <w:pPr>
              <w:keepNext/>
              <w:spacing w:line="240" w:lineRule="auto"/>
              <w:jc w:val="right"/>
              <w:rPr>
                <w:rFonts w:eastAsia="Times New Roman" w:cs="Arial"/>
                <w:color w:val="000000"/>
                <w:sz w:val="16"/>
                <w:szCs w:val="16"/>
                <w:lang w:val="de-CH" w:eastAsia="de-CH"/>
              </w:rPr>
            </w:pPr>
          </w:p>
        </w:tc>
        <w:tc>
          <w:tcPr>
            <w:tcW w:w="200" w:type="dxa"/>
            <w:tcBorders>
              <w:top w:val="nil"/>
              <w:left w:val="nil"/>
              <w:bottom w:val="nil"/>
              <w:right w:val="nil"/>
            </w:tcBorders>
            <w:shd w:val="clear" w:color="auto" w:fill="auto"/>
            <w:noWrap/>
            <w:vAlign w:val="bottom"/>
            <w:hideMark/>
          </w:tcPr>
          <w:p w14:paraId="2C3B1862" w14:textId="77777777" w:rsidR="003732D1" w:rsidRPr="00BE20BD" w:rsidRDefault="003732D1" w:rsidP="003732D1">
            <w:pPr>
              <w:keepNext/>
              <w:spacing w:line="240" w:lineRule="auto"/>
              <w:rPr>
                <w:rFonts w:ascii="Times New Roman" w:eastAsia="Times New Roman" w:hAnsi="Times New Roman"/>
                <w:sz w:val="20"/>
                <w:lang w:val="de-CH" w:eastAsia="de-CH"/>
              </w:rPr>
            </w:pPr>
          </w:p>
        </w:tc>
        <w:tc>
          <w:tcPr>
            <w:tcW w:w="904" w:type="dxa"/>
            <w:tcBorders>
              <w:top w:val="nil"/>
              <w:left w:val="nil"/>
              <w:bottom w:val="nil"/>
              <w:right w:val="nil"/>
            </w:tcBorders>
            <w:shd w:val="clear" w:color="auto" w:fill="auto"/>
            <w:noWrap/>
            <w:vAlign w:val="bottom"/>
          </w:tcPr>
          <w:p w14:paraId="72234542" w14:textId="77777777" w:rsidR="003732D1" w:rsidRPr="00BE20BD" w:rsidRDefault="003732D1" w:rsidP="003732D1">
            <w:pPr>
              <w:keepNext/>
              <w:spacing w:line="240" w:lineRule="auto"/>
              <w:rPr>
                <w:rFonts w:ascii="Times New Roman" w:eastAsia="Times New Roman" w:hAnsi="Times New Roman"/>
                <w:sz w:val="20"/>
                <w:lang w:val="de-CH" w:eastAsia="de-CH"/>
              </w:rPr>
            </w:pPr>
          </w:p>
        </w:tc>
        <w:tc>
          <w:tcPr>
            <w:tcW w:w="831" w:type="dxa"/>
            <w:tcBorders>
              <w:top w:val="nil"/>
              <w:left w:val="nil"/>
              <w:bottom w:val="nil"/>
              <w:right w:val="nil"/>
            </w:tcBorders>
            <w:shd w:val="clear" w:color="auto" w:fill="auto"/>
            <w:noWrap/>
            <w:vAlign w:val="bottom"/>
          </w:tcPr>
          <w:p w14:paraId="4E24F720" w14:textId="77777777" w:rsidR="003732D1" w:rsidRPr="00BE20BD" w:rsidRDefault="003732D1" w:rsidP="003732D1">
            <w:pPr>
              <w:keepNext/>
              <w:spacing w:line="240" w:lineRule="auto"/>
              <w:rPr>
                <w:rFonts w:ascii="Times New Roman" w:eastAsia="Times New Roman" w:hAnsi="Times New Roman"/>
                <w:sz w:val="20"/>
                <w:lang w:val="de-CH" w:eastAsia="de-CH"/>
              </w:rPr>
            </w:pPr>
          </w:p>
        </w:tc>
        <w:tc>
          <w:tcPr>
            <w:tcW w:w="161" w:type="dxa"/>
            <w:tcBorders>
              <w:top w:val="nil"/>
              <w:left w:val="nil"/>
              <w:bottom w:val="nil"/>
              <w:right w:val="nil"/>
            </w:tcBorders>
            <w:shd w:val="clear" w:color="auto" w:fill="auto"/>
            <w:noWrap/>
            <w:vAlign w:val="bottom"/>
          </w:tcPr>
          <w:p w14:paraId="7B297418" w14:textId="77777777" w:rsidR="003732D1" w:rsidRPr="00BE20BD" w:rsidRDefault="003732D1" w:rsidP="003732D1">
            <w:pPr>
              <w:keepNext/>
              <w:spacing w:line="240" w:lineRule="auto"/>
              <w:rPr>
                <w:rFonts w:ascii="Times New Roman" w:eastAsia="Times New Roman" w:hAnsi="Times New Roman"/>
                <w:sz w:val="20"/>
                <w:lang w:val="de-CH" w:eastAsia="de-CH"/>
              </w:rPr>
            </w:pPr>
          </w:p>
        </w:tc>
        <w:tc>
          <w:tcPr>
            <w:tcW w:w="993" w:type="dxa"/>
            <w:tcBorders>
              <w:top w:val="nil"/>
              <w:left w:val="nil"/>
              <w:bottom w:val="nil"/>
              <w:right w:val="nil"/>
            </w:tcBorders>
            <w:shd w:val="clear" w:color="auto" w:fill="auto"/>
            <w:noWrap/>
            <w:vAlign w:val="bottom"/>
          </w:tcPr>
          <w:p w14:paraId="0057A506" w14:textId="77777777" w:rsidR="003732D1" w:rsidRPr="00BE20BD" w:rsidRDefault="003732D1" w:rsidP="003732D1">
            <w:pPr>
              <w:keepNext/>
              <w:spacing w:line="240" w:lineRule="auto"/>
              <w:rPr>
                <w:rFonts w:ascii="Times New Roman" w:eastAsia="Times New Roman" w:hAnsi="Times New Roman"/>
                <w:sz w:val="20"/>
                <w:lang w:val="de-CH" w:eastAsia="de-CH"/>
              </w:rPr>
            </w:pPr>
          </w:p>
        </w:tc>
      </w:tr>
      <w:tr w:rsidR="003732D1" w:rsidRPr="00BE20BD" w14:paraId="5FA1491D" w14:textId="77777777" w:rsidTr="003732D1">
        <w:trPr>
          <w:trHeight w:val="450"/>
        </w:trPr>
        <w:tc>
          <w:tcPr>
            <w:tcW w:w="2440" w:type="dxa"/>
            <w:tcBorders>
              <w:top w:val="nil"/>
              <w:left w:val="nil"/>
              <w:bottom w:val="nil"/>
              <w:right w:val="nil"/>
            </w:tcBorders>
            <w:shd w:val="clear" w:color="000000" w:fill="D9D9D9"/>
            <w:vAlign w:val="bottom"/>
            <w:hideMark/>
          </w:tcPr>
          <w:p w14:paraId="07882B0E" w14:textId="77777777" w:rsidR="003732D1" w:rsidRPr="00BE20BD" w:rsidRDefault="003732D1" w:rsidP="003732D1">
            <w:pPr>
              <w:spacing w:line="240" w:lineRule="auto"/>
              <w:rPr>
                <w:rFonts w:eastAsia="Times New Roman" w:cs="Arial"/>
                <w:color w:val="000000"/>
                <w:sz w:val="16"/>
                <w:szCs w:val="16"/>
              </w:rPr>
            </w:pPr>
            <w:r w:rsidRPr="00BE20BD">
              <w:rPr>
                <w:color w:val="000000"/>
                <w:sz w:val="16"/>
                <w:szCs w:val="16"/>
              </w:rPr>
              <w:t>Actual (ex-post)</w:t>
            </w:r>
          </w:p>
        </w:tc>
        <w:tc>
          <w:tcPr>
            <w:tcW w:w="200" w:type="dxa"/>
            <w:tcBorders>
              <w:top w:val="nil"/>
              <w:left w:val="nil"/>
              <w:bottom w:val="nil"/>
              <w:right w:val="nil"/>
            </w:tcBorders>
            <w:shd w:val="clear" w:color="auto" w:fill="auto"/>
            <w:noWrap/>
            <w:vAlign w:val="bottom"/>
            <w:hideMark/>
          </w:tcPr>
          <w:p w14:paraId="0DE869EB" w14:textId="77777777" w:rsidR="003732D1" w:rsidRPr="00BE20BD" w:rsidRDefault="003732D1" w:rsidP="003732D1">
            <w:pPr>
              <w:spacing w:line="240" w:lineRule="auto"/>
              <w:rPr>
                <w:rFonts w:eastAsia="Times New Roman" w:cs="Arial"/>
                <w:color w:val="000000"/>
                <w:sz w:val="16"/>
                <w:szCs w:val="16"/>
                <w:lang w:val="de-CH" w:eastAsia="de-CH"/>
              </w:rPr>
            </w:pPr>
          </w:p>
        </w:tc>
        <w:tc>
          <w:tcPr>
            <w:tcW w:w="904" w:type="dxa"/>
            <w:tcBorders>
              <w:top w:val="nil"/>
              <w:left w:val="nil"/>
              <w:bottom w:val="nil"/>
              <w:right w:val="nil"/>
            </w:tcBorders>
            <w:shd w:val="clear" w:color="000000" w:fill="D9D9D9"/>
            <w:noWrap/>
            <w:vAlign w:val="bottom"/>
            <w:hideMark/>
          </w:tcPr>
          <w:p w14:paraId="283407D5" w14:textId="77777777" w:rsidR="003732D1" w:rsidRPr="00BE20BD" w:rsidRDefault="003732D1" w:rsidP="003732D1">
            <w:pPr>
              <w:spacing w:line="240" w:lineRule="auto"/>
              <w:rPr>
                <w:rFonts w:eastAsia="Times New Roman" w:cs="Arial"/>
                <w:color w:val="000000"/>
                <w:sz w:val="16"/>
                <w:szCs w:val="16"/>
              </w:rPr>
            </w:pPr>
            <w:r w:rsidRPr="00BE20BD">
              <w:rPr>
                <w:color w:val="000000"/>
                <w:sz w:val="16"/>
                <w:szCs w:val="16"/>
              </w:rPr>
              <w:t>n/a</w:t>
            </w:r>
          </w:p>
        </w:tc>
        <w:tc>
          <w:tcPr>
            <w:tcW w:w="831" w:type="dxa"/>
            <w:tcBorders>
              <w:top w:val="nil"/>
              <w:left w:val="nil"/>
              <w:bottom w:val="nil"/>
              <w:right w:val="nil"/>
            </w:tcBorders>
            <w:shd w:val="clear" w:color="auto" w:fill="auto"/>
            <w:noWrap/>
            <w:vAlign w:val="bottom"/>
            <w:hideMark/>
          </w:tcPr>
          <w:p w14:paraId="6F1D3757" w14:textId="77777777" w:rsidR="003732D1" w:rsidRPr="00BE20BD" w:rsidRDefault="003732D1" w:rsidP="003732D1">
            <w:pPr>
              <w:spacing w:line="240" w:lineRule="auto"/>
              <w:rPr>
                <w:rFonts w:eastAsia="Times New Roman" w:cs="Arial"/>
                <w:color w:val="000000"/>
                <w:sz w:val="16"/>
                <w:szCs w:val="16"/>
                <w:lang w:val="de-CH" w:eastAsia="de-CH"/>
              </w:rPr>
            </w:pPr>
          </w:p>
        </w:tc>
        <w:tc>
          <w:tcPr>
            <w:tcW w:w="161" w:type="dxa"/>
            <w:tcBorders>
              <w:top w:val="nil"/>
              <w:left w:val="nil"/>
              <w:bottom w:val="nil"/>
              <w:right w:val="nil"/>
            </w:tcBorders>
            <w:shd w:val="clear" w:color="auto" w:fill="auto"/>
            <w:noWrap/>
            <w:vAlign w:val="bottom"/>
            <w:hideMark/>
          </w:tcPr>
          <w:p w14:paraId="4EE0F0F4" w14:textId="77777777" w:rsidR="003732D1" w:rsidRPr="00BE20BD" w:rsidRDefault="003732D1" w:rsidP="003732D1">
            <w:pPr>
              <w:spacing w:line="240" w:lineRule="auto"/>
              <w:rPr>
                <w:rFonts w:ascii="Times New Roman" w:eastAsia="Times New Roman" w:hAnsi="Times New Roman"/>
                <w:sz w:val="20"/>
                <w:lang w:val="de-CH" w:eastAsia="de-CH"/>
              </w:rPr>
            </w:pPr>
          </w:p>
        </w:tc>
        <w:tc>
          <w:tcPr>
            <w:tcW w:w="993" w:type="dxa"/>
            <w:tcBorders>
              <w:top w:val="nil"/>
              <w:left w:val="nil"/>
              <w:bottom w:val="nil"/>
              <w:right w:val="nil"/>
            </w:tcBorders>
            <w:shd w:val="clear" w:color="000000" w:fill="D9D9D9"/>
            <w:noWrap/>
            <w:vAlign w:val="bottom"/>
            <w:hideMark/>
          </w:tcPr>
          <w:p w14:paraId="26888D4B" w14:textId="3F0A87E9" w:rsidR="003732D1" w:rsidRPr="00BE20BD" w:rsidRDefault="003732D1" w:rsidP="003732D1">
            <w:pPr>
              <w:spacing w:line="240" w:lineRule="auto"/>
              <w:rPr>
                <w:rFonts w:eastAsia="Times New Roman" w:cs="Arial"/>
                <w:color w:val="000000"/>
                <w:sz w:val="16"/>
                <w:szCs w:val="16"/>
              </w:rPr>
            </w:pPr>
            <w:r w:rsidRPr="00BE20BD">
              <w:rPr>
                <w:color w:val="000000"/>
                <w:sz w:val="16"/>
                <w:szCs w:val="16"/>
              </w:rPr>
              <w:t> </w:t>
            </w:r>
          </w:p>
        </w:tc>
      </w:tr>
    </w:tbl>
    <w:p w14:paraId="0516A420" w14:textId="7D3682A6" w:rsidR="0065038D" w:rsidRPr="00BE20BD" w:rsidRDefault="0065038D" w:rsidP="00E820EF">
      <w:pPr>
        <w:pStyle w:val="Heading2"/>
        <w:numPr>
          <w:ilvl w:val="0"/>
          <w:numId w:val="0"/>
        </w:numPr>
      </w:pPr>
    </w:p>
    <w:p w14:paraId="4853145F" w14:textId="77777777" w:rsidR="00E820EF" w:rsidRPr="00BE20BD" w:rsidRDefault="00E820EF" w:rsidP="00E820EF">
      <w:pPr>
        <w:pStyle w:val="Heading2"/>
      </w:pPr>
      <w:bookmarkStart w:id="74" w:name="_Toc148445965"/>
      <w:bookmarkStart w:id="75" w:name="_Toc117508368"/>
      <w:r w:rsidRPr="00BE20BD">
        <w:t xml:space="preserve">Expected technical </w:t>
      </w:r>
      <w:proofErr w:type="gramStart"/>
      <w:r w:rsidRPr="00BE20BD">
        <w:t>result</w:t>
      </w:r>
      <w:bookmarkEnd w:id="74"/>
      <w:proofErr w:type="gramEnd"/>
      <w:r w:rsidRPr="00BE20BD">
        <w:t xml:space="preserve"> </w:t>
      </w:r>
      <w:bookmarkEnd w:id="75"/>
    </w:p>
    <w:p w14:paraId="3641528F" w14:textId="77777777" w:rsidR="00E820EF" w:rsidRPr="00BE20BD" w:rsidRDefault="00E820EF" w:rsidP="00E820EF">
      <w:pPr>
        <w:pStyle w:val="FINMAStandardAbsatz"/>
        <w:keepNext/>
        <w:rPr>
          <w:i/>
        </w:rPr>
      </w:pPr>
      <w:r w:rsidRPr="00BE20BD">
        <w:rPr>
          <w:i/>
        </w:rPr>
        <w:t xml:space="preserve">According to the eligibility in the applicable model: </w:t>
      </w:r>
    </w:p>
    <w:p w14:paraId="03090DD2" w14:textId="77777777" w:rsidR="00E820EF" w:rsidRPr="00BE20BD" w:rsidRDefault="00E820EF" w:rsidP="00E820EF">
      <w:pPr>
        <w:pStyle w:val="FINMAStandardAbsatz"/>
        <w:keepNext/>
      </w:pPr>
      <w:r w:rsidRPr="00BE20BD">
        <w:t>Information on the expected technical result including the recent past.</w:t>
      </w:r>
    </w:p>
    <w:tbl>
      <w:tblPr>
        <w:tblW w:w="9361" w:type="dxa"/>
        <w:tblLook w:val="04A0" w:firstRow="1" w:lastRow="0" w:firstColumn="1" w:lastColumn="0" w:noHBand="0" w:noVBand="1"/>
      </w:tblPr>
      <w:tblGrid>
        <w:gridCol w:w="2500"/>
        <w:gridCol w:w="272"/>
        <w:gridCol w:w="1056"/>
        <w:gridCol w:w="856"/>
        <w:gridCol w:w="276"/>
        <w:gridCol w:w="1036"/>
        <w:gridCol w:w="1017"/>
        <w:gridCol w:w="276"/>
        <w:gridCol w:w="1036"/>
        <w:gridCol w:w="1036"/>
      </w:tblGrid>
      <w:tr w:rsidR="00E820EF" w:rsidRPr="00BE20BD" w14:paraId="2D181C18" w14:textId="77777777" w:rsidTr="00325E89">
        <w:trPr>
          <w:trHeight w:val="250"/>
        </w:trPr>
        <w:tc>
          <w:tcPr>
            <w:tcW w:w="2500" w:type="dxa"/>
            <w:tcBorders>
              <w:top w:val="nil"/>
              <w:left w:val="nil"/>
              <w:bottom w:val="nil"/>
              <w:right w:val="nil"/>
            </w:tcBorders>
            <w:shd w:val="clear" w:color="auto" w:fill="auto"/>
            <w:noWrap/>
            <w:vAlign w:val="bottom"/>
            <w:hideMark/>
          </w:tcPr>
          <w:p w14:paraId="0D63EAEA" w14:textId="77777777" w:rsidR="00E820EF" w:rsidRPr="00BE20BD" w:rsidRDefault="00E820EF" w:rsidP="006E0789">
            <w:pPr>
              <w:keepNext/>
              <w:spacing w:line="240" w:lineRule="auto"/>
              <w:rPr>
                <w:rFonts w:ascii="Times New Roman" w:eastAsia="Times New Roman" w:hAnsi="Times New Roman"/>
                <w:sz w:val="20"/>
                <w:szCs w:val="24"/>
                <w:lang w:eastAsia="en-GB"/>
              </w:rPr>
            </w:pPr>
          </w:p>
        </w:tc>
        <w:tc>
          <w:tcPr>
            <w:tcW w:w="272" w:type="dxa"/>
            <w:tcBorders>
              <w:top w:val="nil"/>
              <w:left w:val="nil"/>
              <w:bottom w:val="nil"/>
              <w:right w:val="nil"/>
            </w:tcBorders>
            <w:shd w:val="clear" w:color="000000" w:fill="FFFFFF"/>
            <w:noWrap/>
            <w:vAlign w:val="bottom"/>
            <w:hideMark/>
          </w:tcPr>
          <w:p w14:paraId="4D37BA46" w14:textId="77777777" w:rsidR="00E820EF" w:rsidRPr="00BE20BD" w:rsidRDefault="00E820EF" w:rsidP="006E0789">
            <w:pPr>
              <w:keepNext/>
              <w:spacing w:line="240" w:lineRule="auto"/>
              <w:rPr>
                <w:rFonts w:eastAsia="Times New Roman" w:cs="Arial"/>
                <w:color w:val="000000"/>
                <w:sz w:val="16"/>
                <w:szCs w:val="16"/>
                <w:lang w:eastAsia="en-GB"/>
              </w:rPr>
            </w:pPr>
            <w:r w:rsidRPr="00BE20BD">
              <w:rPr>
                <w:rFonts w:eastAsia="Times New Roman" w:cs="Arial"/>
                <w:color w:val="000000"/>
                <w:sz w:val="16"/>
                <w:szCs w:val="16"/>
                <w:lang w:eastAsia="en-GB"/>
              </w:rPr>
              <w:t> </w:t>
            </w:r>
          </w:p>
        </w:tc>
        <w:tc>
          <w:tcPr>
            <w:tcW w:w="1056" w:type="dxa"/>
            <w:tcBorders>
              <w:top w:val="nil"/>
              <w:left w:val="nil"/>
              <w:bottom w:val="nil"/>
              <w:right w:val="nil"/>
            </w:tcBorders>
            <w:shd w:val="clear" w:color="000000" w:fill="D9D9D9"/>
            <w:noWrap/>
            <w:vAlign w:val="bottom"/>
            <w:hideMark/>
          </w:tcPr>
          <w:p w14:paraId="6DF1E0CD" w14:textId="77777777" w:rsidR="00E820EF" w:rsidRPr="00BE20BD" w:rsidRDefault="00E820EF" w:rsidP="006E0789">
            <w:pPr>
              <w:keepNext/>
              <w:spacing w:line="240" w:lineRule="auto"/>
              <w:rPr>
                <w:rFonts w:eastAsia="Times New Roman" w:cs="Arial"/>
                <w:b/>
                <w:bCs/>
                <w:color w:val="000000"/>
                <w:sz w:val="16"/>
                <w:szCs w:val="16"/>
                <w:lang w:eastAsia="en-GB"/>
              </w:rPr>
            </w:pPr>
            <w:r w:rsidRPr="00BE20BD">
              <w:rPr>
                <w:rFonts w:eastAsia="Times New Roman" w:cs="Arial"/>
                <w:b/>
                <w:bCs/>
                <w:color w:val="000000"/>
                <w:sz w:val="16"/>
                <w:szCs w:val="16"/>
                <w:lang w:eastAsia="en-GB"/>
              </w:rPr>
              <w:t>SST 2024</w:t>
            </w:r>
          </w:p>
        </w:tc>
        <w:tc>
          <w:tcPr>
            <w:tcW w:w="856" w:type="dxa"/>
            <w:tcBorders>
              <w:top w:val="nil"/>
              <w:left w:val="nil"/>
              <w:bottom w:val="nil"/>
              <w:right w:val="nil"/>
            </w:tcBorders>
            <w:shd w:val="clear" w:color="000000" w:fill="D9D9D9"/>
            <w:noWrap/>
            <w:vAlign w:val="bottom"/>
            <w:hideMark/>
          </w:tcPr>
          <w:p w14:paraId="7349FC59" w14:textId="77777777" w:rsidR="00E820EF" w:rsidRPr="00BE20BD" w:rsidRDefault="00E820EF" w:rsidP="006E0789">
            <w:pPr>
              <w:keepNext/>
              <w:spacing w:line="240" w:lineRule="auto"/>
              <w:rPr>
                <w:rFonts w:eastAsia="Times New Roman" w:cs="Arial"/>
                <w:color w:val="000000"/>
                <w:sz w:val="16"/>
                <w:szCs w:val="16"/>
                <w:lang w:eastAsia="en-GB"/>
              </w:rPr>
            </w:pPr>
            <w:r w:rsidRPr="00BE20BD">
              <w:rPr>
                <w:rFonts w:eastAsia="Times New Roman" w:cs="Arial"/>
                <w:color w:val="000000"/>
                <w:sz w:val="16"/>
                <w:szCs w:val="16"/>
                <w:lang w:eastAsia="en-GB"/>
              </w:rPr>
              <w:t> </w:t>
            </w:r>
          </w:p>
        </w:tc>
        <w:tc>
          <w:tcPr>
            <w:tcW w:w="276" w:type="dxa"/>
            <w:tcBorders>
              <w:top w:val="nil"/>
              <w:left w:val="nil"/>
              <w:bottom w:val="nil"/>
              <w:right w:val="nil"/>
            </w:tcBorders>
            <w:shd w:val="clear" w:color="000000" w:fill="FFFFFF"/>
            <w:noWrap/>
            <w:vAlign w:val="bottom"/>
            <w:hideMark/>
          </w:tcPr>
          <w:p w14:paraId="7862E77A" w14:textId="77777777" w:rsidR="00E820EF" w:rsidRPr="00BE20BD" w:rsidRDefault="00E820EF" w:rsidP="006E0789">
            <w:pPr>
              <w:keepNext/>
              <w:spacing w:line="240" w:lineRule="auto"/>
              <w:rPr>
                <w:rFonts w:eastAsia="Times New Roman" w:cs="Arial"/>
                <w:color w:val="000000"/>
                <w:sz w:val="16"/>
                <w:szCs w:val="16"/>
                <w:lang w:eastAsia="en-GB"/>
              </w:rPr>
            </w:pPr>
            <w:r w:rsidRPr="00BE20BD">
              <w:rPr>
                <w:rFonts w:eastAsia="Times New Roman" w:cs="Arial"/>
                <w:color w:val="000000"/>
                <w:sz w:val="16"/>
                <w:szCs w:val="16"/>
                <w:lang w:eastAsia="en-GB"/>
              </w:rPr>
              <w:t> </w:t>
            </w:r>
          </w:p>
        </w:tc>
        <w:tc>
          <w:tcPr>
            <w:tcW w:w="1036" w:type="dxa"/>
            <w:tcBorders>
              <w:top w:val="nil"/>
              <w:left w:val="nil"/>
              <w:bottom w:val="nil"/>
              <w:right w:val="nil"/>
            </w:tcBorders>
            <w:shd w:val="clear" w:color="000000" w:fill="D9D9D9"/>
            <w:noWrap/>
            <w:vAlign w:val="bottom"/>
            <w:hideMark/>
          </w:tcPr>
          <w:p w14:paraId="05572AFC" w14:textId="77777777" w:rsidR="00E820EF" w:rsidRPr="00BE20BD" w:rsidRDefault="00E820EF" w:rsidP="006E0789">
            <w:pPr>
              <w:keepNext/>
              <w:spacing w:line="240" w:lineRule="auto"/>
              <w:rPr>
                <w:rFonts w:eastAsia="Times New Roman" w:cs="Arial"/>
                <w:b/>
                <w:bCs/>
                <w:color w:val="000000"/>
                <w:sz w:val="16"/>
                <w:szCs w:val="16"/>
                <w:lang w:eastAsia="en-GB"/>
              </w:rPr>
            </w:pPr>
            <w:r w:rsidRPr="00BE20BD">
              <w:rPr>
                <w:rFonts w:eastAsia="Times New Roman" w:cs="Arial"/>
                <w:b/>
                <w:bCs/>
                <w:color w:val="000000"/>
                <w:sz w:val="16"/>
                <w:szCs w:val="16"/>
                <w:lang w:eastAsia="en-GB"/>
              </w:rPr>
              <w:t>SST 2023</w:t>
            </w:r>
          </w:p>
        </w:tc>
        <w:tc>
          <w:tcPr>
            <w:tcW w:w="1017" w:type="dxa"/>
            <w:tcBorders>
              <w:top w:val="nil"/>
              <w:left w:val="nil"/>
              <w:bottom w:val="nil"/>
              <w:right w:val="nil"/>
            </w:tcBorders>
            <w:shd w:val="clear" w:color="000000" w:fill="FFFFFF"/>
            <w:noWrap/>
            <w:vAlign w:val="bottom"/>
            <w:hideMark/>
          </w:tcPr>
          <w:p w14:paraId="7C18BC2B" w14:textId="77777777" w:rsidR="00E820EF" w:rsidRPr="00BE20BD" w:rsidRDefault="00E820EF" w:rsidP="006E0789">
            <w:pPr>
              <w:keepNext/>
              <w:spacing w:line="240" w:lineRule="auto"/>
              <w:rPr>
                <w:rFonts w:eastAsia="Times New Roman" w:cs="Arial"/>
                <w:color w:val="000000"/>
                <w:sz w:val="20"/>
                <w:lang w:eastAsia="en-GB"/>
              </w:rPr>
            </w:pPr>
            <w:r w:rsidRPr="00BE20BD">
              <w:rPr>
                <w:rFonts w:eastAsia="Times New Roman" w:cs="Arial"/>
                <w:color w:val="000000"/>
                <w:sz w:val="20"/>
                <w:lang w:eastAsia="en-GB"/>
              </w:rPr>
              <w:t> </w:t>
            </w:r>
          </w:p>
        </w:tc>
        <w:tc>
          <w:tcPr>
            <w:tcW w:w="276" w:type="dxa"/>
            <w:tcBorders>
              <w:top w:val="nil"/>
              <w:left w:val="nil"/>
              <w:bottom w:val="nil"/>
              <w:right w:val="nil"/>
            </w:tcBorders>
            <w:shd w:val="clear" w:color="000000" w:fill="FFFFFF"/>
            <w:noWrap/>
            <w:vAlign w:val="bottom"/>
            <w:hideMark/>
          </w:tcPr>
          <w:p w14:paraId="5BF7A76B" w14:textId="77777777" w:rsidR="00E820EF" w:rsidRPr="00BE20BD" w:rsidRDefault="00E820EF" w:rsidP="006E0789">
            <w:pPr>
              <w:keepNext/>
              <w:spacing w:line="240" w:lineRule="auto"/>
              <w:rPr>
                <w:rFonts w:eastAsia="Times New Roman" w:cs="Arial"/>
                <w:color w:val="000000"/>
                <w:sz w:val="16"/>
                <w:szCs w:val="16"/>
                <w:lang w:eastAsia="en-GB"/>
              </w:rPr>
            </w:pPr>
            <w:r w:rsidRPr="00BE20BD">
              <w:rPr>
                <w:rFonts w:eastAsia="Times New Roman" w:cs="Arial"/>
                <w:color w:val="000000"/>
                <w:sz w:val="16"/>
                <w:szCs w:val="16"/>
                <w:lang w:eastAsia="en-GB"/>
              </w:rPr>
              <w:t> </w:t>
            </w:r>
          </w:p>
        </w:tc>
        <w:tc>
          <w:tcPr>
            <w:tcW w:w="1036" w:type="dxa"/>
            <w:tcBorders>
              <w:top w:val="nil"/>
              <w:left w:val="nil"/>
              <w:bottom w:val="nil"/>
              <w:right w:val="nil"/>
            </w:tcBorders>
            <w:shd w:val="clear" w:color="000000" w:fill="D9D9D9"/>
            <w:noWrap/>
            <w:vAlign w:val="bottom"/>
            <w:hideMark/>
          </w:tcPr>
          <w:p w14:paraId="46DE9FFE" w14:textId="77777777" w:rsidR="00E820EF" w:rsidRPr="00BE20BD" w:rsidRDefault="00E820EF" w:rsidP="006E0789">
            <w:pPr>
              <w:keepNext/>
              <w:spacing w:line="240" w:lineRule="auto"/>
              <w:rPr>
                <w:rFonts w:eastAsia="Times New Roman" w:cs="Arial"/>
                <w:b/>
                <w:bCs/>
                <w:color w:val="000000"/>
                <w:sz w:val="16"/>
                <w:szCs w:val="16"/>
                <w:lang w:eastAsia="en-GB"/>
              </w:rPr>
            </w:pPr>
            <w:r w:rsidRPr="00BE20BD">
              <w:rPr>
                <w:rFonts w:eastAsia="Times New Roman" w:cs="Arial"/>
                <w:b/>
                <w:bCs/>
                <w:color w:val="000000"/>
                <w:sz w:val="16"/>
                <w:szCs w:val="16"/>
                <w:lang w:eastAsia="en-GB"/>
              </w:rPr>
              <w:t>SST 2022</w:t>
            </w:r>
          </w:p>
        </w:tc>
        <w:tc>
          <w:tcPr>
            <w:tcW w:w="1036" w:type="dxa"/>
            <w:tcBorders>
              <w:top w:val="nil"/>
              <w:left w:val="nil"/>
              <w:bottom w:val="nil"/>
              <w:right w:val="nil"/>
            </w:tcBorders>
            <w:shd w:val="clear" w:color="000000" w:fill="FFFFFF"/>
            <w:noWrap/>
            <w:vAlign w:val="bottom"/>
            <w:hideMark/>
          </w:tcPr>
          <w:p w14:paraId="65ACB13B" w14:textId="77777777" w:rsidR="00E820EF" w:rsidRPr="00BE20BD" w:rsidRDefault="00E820EF" w:rsidP="006E0789">
            <w:pPr>
              <w:keepNext/>
              <w:spacing w:line="240" w:lineRule="auto"/>
              <w:rPr>
                <w:rFonts w:eastAsia="Times New Roman" w:cs="Arial"/>
                <w:color w:val="000000"/>
                <w:sz w:val="20"/>
                <w:lang w:eastAsia="en-GB"/>
              </w:rPr>
            </w:pPr>
            <w:r w:rsidRPr="00BE20BD">
              <w:rPr>
                <w:rFonts w:eastAsia="Times New Roman" w:cs="Arial"/>
                <w:color w:val="000000"/>
                <w:sz w:val="20"/>
                <w:lang w:eastAsia="en-GB"/>
              </w:rPr>
              <w:t> </w:t>
            </w:r>
          </w:p>
        </w:tc>
      </w:tr>
      <w:tr w:rsidR="00325E89" w:rsidRPr="00BE20BD" w14:paraId="6E456BBD" w14:textId="77777777" w:rsidTr="00325E89">
        <w:trPr>
          <w:trHeight w:val="510"/>
        </w:trPr>
        <w:tc>
          <w:tcPr>
            <w:tcW w:w="2500" w:type="dxa"/>
            <w:tcBorders>
              <w:top w:val="nil"/>
              <w:left w:val="nil"/>
              <w:bottom w:val="nil"/>
              <w:right w:val="nil"/>
            </w:tcBorders>
            <w:shd w:val="clear" w:color="000000" w:fill="FFFFFF"/>
            <w:noWrap/>
            <w:vAlign w:val="bottom"/>
            <w:hideMark/>
          </w:tcPr>
          <w:p w14:paraId="10FAA1A2" w14:textId="77777777" w:rsidR="00325E89" w:rsidRPr="00BE20BD" w:rsidRDefault="00325E89" w:rsidP="00325E89">
            <w:pPr>
              <w:keepNext/>
              <w:spacing w:line="240" w:lineRule="auto"/>
              <w:rPr>
                <w:rFonts w:eastAsia="Times New Roman" w:cs="Arial"/>
                <w:color w:val="000000"/>
                <w:sz w:val="20"/>
                <w:lang w:eastAsia="en-GB"/>
              </w:rPr>
            </w:pPr>
            <w:r w:rsidRPr="00BE20BD">
              <w:rPr>
                <w:rFonts w:eastAsia="Times New Roman" w:cs="Arial"/>
                <w:color w:val="000000"/>
                <w:sz w:val="20"/>
                <w:lang w:eastAsia="en-GB"/>
              </w:rPr>
              <w:t> </w:t>
            </w:r>
          </w:p>
        </w:tc>
        <w:tc>
          <w:tcPr>
            <w:tcW w:w="272" w:type="dxa"/>
            <w:tcBorders>
              <w:top w:val="nil"/>
              <w:left w:val="nil"/>
              <w:bottom w:val="single" w:sz="4" w:space="0" w:color="auto"/>
              <w:right w:val="nil"/>
            </w:tcBorders>
            <w:shd w:val="clear" w:color="000000" w:fill="FFFFFF"/>
            <w:vAlign w:val="bottom"/>
            <w:hideMark/>
          </w:tcPr>
          <w:p w14:paraId="7A178051" w14:textId="77777777" w:rsidR="00325E89" w:rsidRPr="00BE20BD" w:rsidRDefault="00325E89" w:rsidP="00325E89">
            <w:pPr>
              <w:keepNext/>
              <w:spacing w:line="240" w:lineRule="auto"/>
              <w:rPr>
                <w:rFonts w:eastAsia="Times New Roman" w:cs="Arial"/>
                <w:color w:val="000000"/>
                <w:sz w:val="16"/>
                <w:szCs w:val="16"/>
                <w:lang w:eastAsia="en-GB"/>
              </w:rPr>
            </w:pPr>
            <w:r w:rsidRPr="00BE20BD">
              <w:rPr>
                <w:rFonts w:eastAsia="Times New Roman" w:cs="Arial"/>
                <w:color w:val="000000"/>
                <w:sz w:val="16"/>
                <w:szCs w:val="16"/>
                <w:lang w:eastAsia="en-GB"/>
              </w:rPr>
              <w:t> </w:t>
            </w:r>
          </w:p>
        </w:tc>
        <w:tc>
          <w:tcPr>
            <w:tcW w:w="1056" w:type="dxa"/>
            <w:tcBorders>
              <w:top w:val="nil"/>
              <w:left w:val="nil"/>
              <w:bottom w:val="single" w:sz="4" w:space="0" w:color="auto"/>
              <w:right w:val="nil"/>
            </w:tcBorders>
            <w:shd w:val="clear" w:color="000000" w:fill="F2F2F2"/>
            <w:vAlign w:val="bottom"/>
            <w:hideMark/>
          </w:tcPr>
          <w:p w14:paraId="72A293AA" w14:textId="06FBA8B2" w:rsidR="00325E89" w:rsidRPr="00BE20BD" w:rsidRDefault="00325E89" w:rsidP="00325E89">
            <w:pPr>
              <w:keepNext/>
              <w:spacing w:line="240" w:lineRule="auto"/>
              <w:rPr>
                <w:rFonts w:eastAsia="Times New Roman" w:cs="Arial"/>
                <w:color w:val="000000"/>
                <w:sz w:val="16"/>
                <w:szCs w:val="16"/>
                <w:lang w:eastAsia="en-GB"/>
              </w:rPr>
            </w:pPr>
            <w:r w:rsidRPr="00BE20BD">
              <w:rPr>
                <w:color w:val="000000"/>
                <w:sz w:val="16"/>
                <w:szCs w:val="16"/>
              </w:rPr>
              <w:t xml:space="preserve">&lt;SST </w:t>
            </w:r>
            <w:proofErr w:type="spellStart"/>
            <w:r w:rsidRPr="00BE20BD">
              <w:rPr>
                <w:color w:val="000000"/>
                <w:sz w:val="16"/>
                <w:szCs w:val="16"/>
              </w:rPr>
              <w:t>curency</w:t>
            </w:r>
            <w:proofErr w:type="spellEnd"/>
            <w:proofErr w:type="gramStart"/>
            <w:r w:rsidRPr="00BE20BD">
              <w:rPr>
                <w:color w:val="000000"/>
                <w:sz w:val="16"/>
                <w:szCs w:val="16"/>
              </w:rPr>
              <w:t>&gt;  millions</w:t>
            </w:r>
            <w:proofErr w:type="gramEnd"/>
          </w:p>
        </w:tc>
        <w:tc>
          <w:tcPr>
            <w:tcW w:w="856" w:type="dxa"/>
            <w:tcBorders>
              <w:top w:val="nil"/>
              <w:left w:val="nil"/>
              <w:bottom w:val="single" w:sz="4" w:space="0" w:color="auto"/>
              <w:right w:val="nil"/>
            </w:tcBorders>
            <w:shd w:val="clear" w:color="000000" w:fill="FFFFFF"/>
            <w:vAlign w:val="bottom"/>
            <w:hideMark/>
          </w:tcPr>
          <w:p w14:paraId="6207E4DB" w14:textId="77777777" w:rsidR="00325E89" w:rsidRPr="00BE20BD" w:rsidRDefault="00325E89" w:rsidP="00325E89">
            <w:pPr>
              <w:keepNext/>
              <w:spacing w:line="240" w:lineRule="auto"/>
              <w:rPr>
                <w:rFonts w:eastAsia="Times New Roman" w:cs="Arial"/>
                <w:color w:val="000000"/>
                <w:sz w:val="16"/>
                <w:szCs w:val="16"/>
                <w:lang w:eastAsia="en-GB"/>
              </w:rPr>
            </w:pPr>
            <w:r w:rsidRPr="00BE20BD">
              <w:rPr>
                <w:rFonts w:eastAsia="Times New Roman" w:cs="Arial"/>
                <w:color w:val="000000"/>
                <w:sz w:val="16"/>
                <w:szCs w:val="16"/>
                <w:lang w:eastAsia="en-GB"/>
              </w:rPr>
              <w:t xml:space="preserve">Rel. diff. </w:t>
            </w:r>
          </w:p>
        </w:tc>
        <w:tc>
          <w:tcPr>
            <w:tcW w:w="276" w:type="dxa"/>
            <w:tcBorders>
              <w:top w:val="nil"/>
              <w:left w:val="nil"/>
              <w:bottom w:val="single" w:sz="4" w:space="0" w:color="auto"/>
              <w:right w:val="nil"/>
            </w:tcBorders>
            <w:shd w:val="clear" w:color="000000" w:fill="FFFFFF"/>
            <w:vAlign w:val="bottom"/>
            <w:hideMark/>
          </w:tcPr>
          <w:p w14:paraId="63E38863" w14:textId="77777777" w:rsidR="00325E89" w:rsidRPr="00BE20BD" w:rsidRDefault="00325E89" w:rsidP="00325E89">
            <w:pPr>
              <w:keepNext/>
              <w:spacing w:line="240" w:lineRule="auto"/>
              <w:rPr>
                <w:rFonts w:eastAsia="Times New Roman" w:cs="Arial"/>
                <w:color w:val="000000"/>
                <w:sz w:val="16"/>
                <w:szCs w:val="16"/>
                <w:lang w:eastAsia="en-GB"/>
              </w:rPr>
            </w:pPr>
            <w:r w:rsidRPr="00BE20BD">
              <w:rPr>
                <w:rFonts w:eastAsia="Times New Roman" w:cs="Arial"/>
                <w:color w:val="000000"/>
                <w:sz w:val="16"/>
                <w:szCs w:val="16"/>
                <w:lang w:eastAsia="en-GB"/>
              </w:rPr>
              <w:t> </w:t>
            </w:r>
          </w:p>
        </w:tc>
        <w:tc>
          <w:tcPr>
            <w:tcW w:w="1036" w:type="dxa"/>
            <w:tcBorders>
              <w:top w:val="nil"/>
              <w:left w:val="nil"/>
              <w:bottom w:val="single" w:sz="4" w:space="0" w:color="auto"/>
              <w:right w:val="nil"/>
            </w:tcBorders>
            <w:shd w:val="clear" w:color="000000" w:fill="F2F2F2"/>
            <w:vAlign w:val="bottom"/>
            <w:hideMark/>
          </w:tcPr>
          <w:p w14:paraId="2AF42E36" w14:textId="2286D655" w:rsidR="00325E89" w:rsidRPr="00BE20BD" w:rsidRDefault="00325E89" w:rsidP="00325E89">
            <w:pPr>
              <w:keepNext/>
              <w:spacing w:line="240" w:lineRule="auto"/>
              <w:rPr>
                <w:rFonts w:eastAsia="Times New Roman" w:cs="Arial"/>
                <w:color w:val="000000"/>
                <w:sz w:val="16"/>
                <w:szCs w:val="16"/>
                <w:lang w:eastAsia="en-GB"/>
              </w:rPr>
            </w:pPr>
            <w:r w:rsidRPr="00BE20BD">
              <w:rPr>
                <w:color w:val="000000"/>
                <w:sz w:val="16"/>
                <w:szCs w:val="16"/>
              </w:rPr>
              <w:t>&lt;</w:t>
            </w:r>
            <w:proofErr w:type="gramStart"/>
            <w:r w:rsidRPr="00BE20BD">
              <w:rPr>
                <w:color w:val="000000"/>
                <w:sz w:val="16"/>
                <w:szCs w:val="16"/>
              </w:rPr>
              <w:t>SST</w:t>
            </w:r>
            <w:r w:rsidR="0067227A" w:rsidRPr="00BE20BD">
              <w:rPr>
                <w:color w:val="000000"/>
                <w:sz w:val="16"/>
                <w:szCs w:val="16"/>
              </w:rPr>
              <w:t xml:space="preserve"> </w:t>
            </w:r>
            <w:r w:rsidRPr="00BE20BD">
              <w:rPr>
                <w:color w:val="000000"/>
                <w:sz w:val="16"/>
                <w:szCs w:val="16"/>
              </w:rPr>
              <w:t xml:space="preserve"> </w:t>
            </w:r>
            <w:proofErr w:type="spellStart"/>
            <w:r w:rsidRPr="00BE20BD">
              <w:rPr>
                <w:color w:val="000000"/>
                <w:sz w:val="16"/>
                <w:szCs w:val="16"/>
              </w:rPr>
              <w:t>curency</w:t>
            </w:r>
            <w:proofErr w:type="spellEnd"/>
            <w:proofErr w:type="gramEnd"/>
            <w:r w:rsidRPr="00BE20BD">
              <w:rPr>
                <w:color w:val="000000"/>
                <w:sz w:val="16"/>
                <w:szCs w:val="16"/>
              </w:rPr>
              <w:t>&gt;  millions</w:t>
            </w:r>
          </w:p>
        </w:tc>
        <w:tc>
          <w:tcPr>
            <w:tcW w:w="1017" w:type="dxa"/>
            <w:tcBorders>
              <w:top w:val="nil"/>
              <w:left w:val="nil"/>
              <w:bottom w:val="single" w:sz="4" w:space="0" w:color="auto"/>
              <w:right w:val="nil"/>
            </w:tcBorders>
            <w:shd w:val="clear" w:color="000000" w:fill="F2F2F2"/>
            <w:vAlign w:val="bottom"/>
            <w:hideMark/>
          </w:tcPr>
          <w:p w14:paraId="749D84D6" w14:textId="77777777" w:rsidR="00325E89" w:rsidRPr="00BE20BD" w:rsidRDefault="00325E89" w:rsidP="00325E89">
            <w:pPr>
              <w:keepNext/>
              <w:spacing w:line="240" w:lineRule="auto"/>
              <w:rPr>
                <w:rFonts w:eastAsia="Times New Roman" w:cs="Arial"/>
                <w:color w:val="000000"/>
                <w:sz w:val="16"/>
                <w:szCs w:val="16"/>
                <w:lang w:eastAsia="en-GB"/>
              </w:rPr>
            </w:pPr>
            <w:r w:rsidRPr="00BE20BD">
              <w:rPr>
                <w:rFonts w:eastAsia="Times New Roman" w:cs="Arial"/>
                <w:color w:val="000000"/>
                <w:sz w:val="16"/>
                <w:szCs w:val="16"/>
                <w:lang w:eastAsia="en-GB"/>
              </w:rPr>
              <w:t>As of 31.12.2023</w:t>
            </w:r>
          </w:p>
        </w:tc>
        <w:tc>
          <w:tcPr>
            <w:tcW w:w="276" w:type="dxa"/>
            <w:tcBorders>
              <w:top w:val="nil"/>
              <w:left w:val="nil"/>
              <w:bottom w:val="single" w:sz="4" w:space="0" w:color="auto"/>
              <w:right w:val="nil"/>
            </w:tcBorders>
            <w:shd w:val="clear" w:color="000000" w:fill="FFFFFF"/>
            <w:vAlign w:val="bottom"/>
            <w:hideMark/>
          </w:tcPr>
          <w:p w14:paraId="59FE00EC" w14:textId="77777777" w:rsidR="00325E89" w:rsidRPr="00BE20BD" w:rsidRDefault="00325E89" w:rsidP="00325E89">
            <w:pPr>
              <w:keepNext/>
              <w:spacing w:line="240" w:lineRule="auto"/>
              <w:rPr>
                <w:rFonts w:eastAsia="Times New Roman" w:cs="Arial"/>
                <w:color w:val="000000"/>
                <w:sz w:val="16"/>
                <w:szCs w:val="16"/>
                <w:lang w:eastAsia="en-GB"/>
              </w:rPr>
            </w:pPr>
            <w:r w:rsidRPr="00BE20BD">
              <w:rPr>
                <w:rFonts w:eastAsia="Times New Roman" w:cs="Arial"/>
                <w:color w:val="000000"/>
                <w:sz w:val="16"/>
                <w:szCs w:val="16"/>
                <w:lang w:eastAsia="en-GB"/>
              </w:rPr>
              <w:t> </w:t>
            </w:r>
          </w:p>
        </w:tc>
        <w:tc>
          <w:tcPr>
            <w:tcW w:w="1036" w:type="dxa"/>
            <w:tcBorders>
              <w:top w:val="nil"/>
              <w:left w:val="nil"/>
              <w:bottom w:val="single" w:sz="4" w:space="0" w:color="auto"/>
              <w:right w:val="nil"/>
            </w:tcBorders>
            <w:shd w:val="clear" w:color="000000" w:fill="F2F2F2"/>
            <w:vAlign w:val="bottom"/>
            <w:hideMark/>
          </w:tcPr>
          <w:p w14:paraId="00764F41" w14:textId="29D94EA7" w:rsidR="00325E89" w:rsidRPr="00BE20BD" w:rsidRDefault="00325E89" w:rsidP="00325E89">
            <w:pPr>
              <w:keepNext/>
              <w:spacing w:line="240" w:lineRule="auto"/>
              <w:rPr>
                <w:rFonts w:eastAsia="Times New Roman" w:cs="Arial"/>
                <w:color w:val="000000"/>
                <w:sz w:val="16"/>
                <w:szCs w:val="16"/>
                <w:lang w:eastAsia="en-GB"/>
              </w:rPr>
            </w:pPr>
            <w:r w:rsidRPr="00BE20BD">
              <w:rPr>
                <w:color w:val="000000"/>
                <w:sz w:val="16"/>
                <w:szCs w:val="16"/>
              </w:rPr>
              <w:t xml:space="preserve">&lt;SST </w:t>
            </w:r>
            <w:proofErr w:type="spellStart"/>
            <w:r w:rsidRPr="00BE20BD">
              <w:rPr>
                <w:color w:val="000000"/>
                <w:sz w:val="16"/>
                <w:szCs w:val="16"/>
              </w:rPr>
              <w:t>curency</w:t>
            </w:r>
            <w:proofErr w:type="spellEnd"/>
            <w:proofErr w:type="gramStart"/>
            <w:r w:rsidRPr="00BE20BD">
              <w:rPr>
                <w:color w:val="000000"/>
                <w:sz w:val="16"/>
                <w:szCs w:val="16"/>
              </w:rPr>
              <w:t>&gt;  millions</w:t>
            </w:r>
            <w:proofErr w:type="gramEnd"/>
          </w:p>
        </w:tc>
        <w:tc>
          <w:tcPr>
            <w:tcW w:w="1036" w:type="dxa"/>
            <w:tcBorders>
              <w:top w:val="nil"/>
              <w:left w:val="nil"/>
              <w:bottom w:val="single" w:sz="4" w:space="0" w:color="auto"/>
              <w:right w:val="nil"/>
            </w:tcBorders>
            <w:shd w:val="clear" w:color="000000" w:fill="F2F2F2"/>
            <w:vAlign w:val="bottom"/>
            <w:hideMark/>
          </w:tcPr>
          <w:p w14:paraId="55CB2B35" w14:textId="77777777" w:rsidR="00325E89" w:rsidRPr="00BE20BD" w:rsidRDefault="00325E89" w:rsidP="00325E89">
            <w:pPr>
              <w:keepNext/>
              <w:spacing w:line="240" w:lineRule="auto"/>
              <w:rPr>
                <w:rFonts w:eastAsia="Times New Roman" w:cs="Arial"/>
                <w:color w:val="000000"/>
                <w:sz w:val="16"/>
                <w:szCs w:val="16"/>
                <w:lang w:eastAsia="en-GB"/>
              </w:rPr>
            </w:pPr>
            <w:r w:rsidRPr="00BE20BD">
              <w:rPr>
                <w:rFonts w:eastAsia="Times New Roman" w:cs="Arial"/>
                <w:color w:val="000000"/>
                <w:sz w:val="16"/>
                <w:szCs w:val="16"/>
                <w:lang w:eastAsia="en-GB"/>
              </w:rPr>
              <w:t>As of 31.12.2023</w:t>
            </w:r>
          </w:p>
        </w:tc>
      </w:tr>
      <w:tr w:rsidR="00325E89" w:rsidRPr="00BE20BD" w14:paraId="3CB12237" w14:textId="77777777" w:rsidTr="00325E89">
        <w:trPr>
          <w:trHeight w:val="250"/>
        </w:trPr>
        <w:tc>
          <w:tcPr>
            <w:tcW w:w="2500" w:type="dxa"/>
            <w:tcBorders>
              <w:top w:val="nil"/>
              <w:left w:val="nil"/>
              <w:bottom w:val="nil"/>
              <w:right w:val="nil"/>
            </w:tcBorders>
            <w:shd w:val="clear" w:color="000000" w:fill="FFFFFF"/>
            <w:noWrap/>
            <w:vAlign w:val="bottom"/>
            <w:hideMark/>
          </w:tcPr>
          <w:p w14:paraId="78433502" w14:textId="77777777" w:rsidR="00325E89" w:rsidRPr="00BE20BD" w:rsidRDefault="00325E89" w:rsidP="00325E89">
            <w:pPr>
              <w:keepNext/>
              <w:spacing w:line="240" w:lineRule="auto"/>
              <w:rPr>
                <w:rFonts w:eastAsia="Times New Roman" w:cs="Arial"/>
                <w:color w:val="000000"/>
                <w:sz w:val="20"/>
                <w:lang w:eastAsia="en-GB"/>
              </w:rPr>
            </w:pPr>
            <w:r w:rsidRPr="00BE20BD">
              <w:rPr>
                <w:rFonts w:eastAsia="Times New Roman" w:cs="Arial"/>
                <w:color w:val="000000"/>
                <w:sz w:val="20"/>
                <w:lang w:eastAsia="en-GB"/>
              </w:rPr>
              <w:t> </w:t>
            </w:r>
          </w:p>
        </w:tc>
        <w:tc>
          <w:tcPr>
            <w:tcW w:w="272" w:type="dxa"/>
            <w:tcBorders>
              <w:top w:val="nil"/>
              <w:left w:val="nil"/>
              <w:bottom w:val="nil"/>
              <w:right w:val="nil"/>
            </w:tcBorders>
            <w:shd w:val="clear" w:color="000000" w:fill="FFFFFF"/>
            <w:vAlign w:val="bottom"/>
            <w:hideMark/>
          </w:tcPr>
          <w:p w14:paraId="4555779A" w14:textId="77777777" w:rsidR="00325E89" w:rsidRPr="00BE20BD" w:rsidRDefault="00325E89" w:rsidP="00325E89">
            <w:pPr>
              <w:keepNext/>
              <w:spacing w:line="240" w:lineRule="auto"/>
              <w:rPr>
                <w:rFonts w:eastAsia="Times New Roman" w:cs="Arial"/>
                <w:color w:val="000000"/>
                <w:sz w:val="16"/>
                <w:szCs w:val="16"/>
                <w:lang w:eastAsia="en-GB"/>
              </w:rPr>
            </w:pPr>
            <w:r w:rsidRPr="00BE20BD">
              <w:rPr>
                <w:rFonts w:eastAsia="Times New Roman" w:cs="Arial"/>
                <w:color w:val="000000"/>
                <w:sz w:val="16"/>
                <w:szCs w:val="16"/>
                <w:lang w:eastAsia="en-GB"/>
              </w:rPr>
              <w:t> </w:t>
            </w:r>
          </w:p>
        </w:tc>
        <w:tc>
          <w:tcPr>
            <w:tcW w:w="1056" w:type="dxa"/>
            <w:tcBorders>
              <w:top w:val="nil"/>
              <w:left w:val="nil"/>
              <w:bottom w:val="nil"/>
              <w:right w:val="nil"/>
            </w:tcBorders>
            <w:shd w:val="clear" w:color="000000" w:fill="F2F2F2"/>
            <w:vAlign w:val="bottom"/>
            <w:hideMark/>
          </w:tcPr>
          <w:p w14:paraId="7ADA1BBE" w14:textId="77777777" w:rsidR="00325E89" w:rsidRPr="00BE20BD" w:rsidRDefault="00325E89" w:rsidP="00325E89">
            <w:pPr>
              <w:keepNext/>
              <w:spacing w:line="240" w:lineRule="auto"/>
              <w:rPr>
                <w:rFonts w:eastAsia="Times New Roman" w:cs="Arial"/>
                <w:color w:val="000000"/>
                <w:sz w:val="16"/>
                <w:szCs w:val="16"/>
                <w:lang w:eastAsia="en-GB"/>
              </w:rPr>
            </w:pPr>
            <w:r w:rsidRPr="00BE20BD">
              <w:rPr>
                <w:rFonts w:eastAsia="Times New Roman" w:cs="Arial"/>
                <w:color w:val="000000"/>
                <w:sz w:val="16"/>
                <w:szCs w:val="16"/>
                <w:lang w:eastAsia="en-GB"/>
              </w:rPr>
              <w:t>Expected</w:t>
            </w:r>
          </w:p>
        </w:tc>
        <w:tc>
          <w:tcPr>
            <w:tcW w:w="856" w:type="dxa"/>
            <w:tcBorders>
              <w:top w:val="nil"/>
              <w:left w:val="nil"/>
              <w:bottom w:val="nil"/>
              <w:right w:val="nil"/>
            </w:tcBorders>
            <w:shd w:val="clear" w:color="000000" w:fill="FFFFFF"/>
            <w:vAlign w:val="bottom"/>
            <w:hideMark/>
          </w:tcPr>
          <w:p w14:paraId="1C674F32" w14:textId="77777777" w:rsidR="00325E89" w:rsidRPr="00BE20BD" w:rsidRDefault="00325E89" w:rsidP="00325E89">
            <w:pPr>
              <w:keepNext/>
              <w:spacing w:line="240" w:lineRule="auto"/>
              <w:rPr>
                <w:rFonts w:eastAsia="Times New Roman" w:cs="Arial"/>
                <w:color w:val="000000"/>
                <w:sz w:val="16"/>
                <w:szCs w:val="16"/>
                <w:lang w:eastAsia="en-GB"/>
              </w:rPr>
            </w:pPr>
            <w:r w:rsidRPr="00BE20BD">
              <w:rPr>
                <w:rFonts w:eastAsia="Times New Roman" w:cs="Arial"/>
                <w:color w:val="000000"/>
                <w:sz w:val="16"/>
                <w:szCs w:val="16"/>
                <w:lang w:eastAsia="en-GB"/>
              </w:rPr>
              <w:t> </w:t>
            </w:r>
          </w:p>
        </w:tc>
        <w:tc>
          <w:tcPr>
            <w:tcW w:w="276" w:type="dxa"/>
            <w:tcBorders>
              <w:top w:val="nil"/>
              <w:left w:val="nil"/>
              <w:bottom w:val="nil"/>
              <w:right w:val="nil"/>
            </w:tcBorders>
            <w:shd w:val="clear" w:color="000000" w:fill="FFFFFF"/>
            <w:vAlign w:val="bottom"/>
            <w:hideMark/>
          </w:tcPr>
          <w:p w14:paraId="4255FEB7" w14:textId="77777777" w:rsidR="00325E89" w:rsidRPr="00BE20BD" w:rsidRDefault="00325E89" w:rsidP="00325E89">
            <w:pPr>
              <w:keepNext/>
              <w:spacing w:line="240" w:lineRule="auto"/>
              <w:rPr>
                <w:rFonts w:eastAsia="Times New Roman" w:cs="Arial"/>
                <w:color w:val="000000"/>
                <w:sz w:val="16"/>
                <w:szCs w:val="16"/>
                <w:lang w:eastAsia="en-GB"/>
              </w:rPr>
            </w:pPr>
            <w:r w:rsidRPr="00BE20BD">
              <w:rPr>
                <w:rFonts w:eastAsia="Times New Roman" w:cs="Arial"/>
                <w:color w:val="000000"/>
                <w:sz w:val="16"/>
                <w:szCs w:val="16"/>
                <w:lang w:eastAsia="en-GB"/>
              </w:rPr>
              <w:t> </w:t>
            </w:r>
          </w:p>
        </w:tc>
        <w:tc>
          <w:tcPr>
            <w:tcW w:w="1036" w:type="dxa"/>
            <w:tcBorders>
              <w:top w:val="nil"/>
              <w:left w:val="nil"/>
              <w:bottom w:val="nil"/>
              <w:right w:val="nil"/>
            </w:tcBorders>
            <w:shd w:val="clear" w:color="000000" w:fill="F2F2F2"/>
            <w:vAlign w:val="bottom"/>
            <w:hideMark/>
          </w:tcPr>
          <w:p w14:paraId="78198C3E" w14:textId="77777777" w:rsidR="00325E89" w:rsidRPr="00BE20BD" w:rsidRDefault="00325E89" w:rsidP="00325E89">
            <w:pPr>
              <w:keepNext/>
              <w:spacing w:line="240" w:lineRule="auto"/>
              <w:rPr>
                <w:rFonts w:eastAsia="Times New Roman" w:cs="Arial"/>
                <w:color w:val="000000"/>
                <w:sz w:val="16"/>
                <w:szCs w:val="16"/>
                <w:lang w:eastAsia="en-GB"/>
              </w:rPr>
            </w:pPr>
            <w:r w:rsidRPr="00BE20BD">
              <w:rPr>
                <w:rFonts w:eastAsia="Times New Roman" w:cs="Arial"/>
                <w:color w:val="000000"/>
                <w:sz w:val="16"/>
                <w:szCs w:val="16"/>
                <w:lang w:eastAsia="en-GB"/>
              </w:rPr>
              <w:t>Expected</w:t>
            </w:r>
          </w:p>
        </w:tc>
        <w:tc>
          <w:tcPr>
            <w:tcW w:w="1017" w:type="dxa"/>
            <w:tcBorders>
              <w:top w:val="nil"/>
              <w:left w:val="nil"/>
              <w:bottom w:val="nil"/>
              <w:right w:val="nil"/>
            </w:tcBorders>
            <w:shd w:val="clear" w:color="000000" w:fill="F2F2F2"/>
            <w:vAlign w:val="bottom"/>
            <w:hideMark/>
          </w:tcPr>
          <w:p w14:paraId="07261798" w14:textId="77777777" w:rsidR="00325E89" w:rsidRPr="00BE20BD" w:rsidRDefault="00325E89" w:rsidP="00325E89">
            <w:pPr>
              <w:keepNext/>
              <w:spacing w:line="240" w:lineRule="auto"/>
              <w:rPr>
                <w:rFonts w:ascii="Arial Narrow" w:eastAsia="Times New Roman" w:hAnsi="Arial Narrow" w:cs="Calibri"/>
                <w:color w:val="000000"/>
                <w:sz w:val="18"/>
                <w:szCs w:val="18"/>
                <w:lang w:eastAsia="en-GB"/>
              </w:rPr>
            </w:pPr>
            <w:r w:rsidRPr="00BE20BD">
              <w:rPr>
                <w:rFonts w:ascii="Arial Narrow" w:eastAsia="Times New Roman" w:hAnsi="Arial Narrow" w:cs="Calibri"/>
                <w:color w:val="000000"/>
                <w:sz w:val="18"/>
                <w:szCs w:val="18"/>
                <w:lang w:eastAsia="en-GB"/>
              </w:rPr>
              <w:t>Re-estimate</w:t>
            </w:r>
          </w:p>
        </w:tc>
        <w:tc>
          <w:tcPr>
            <w:tcW w:w="276" w:type="dxa"/>
            <w:tcBorders>
              <w:top w:val="nil"/>
              <w:left w:val="nil"/>
              <w:bottom w:val="nil"/>
              <w:right w:val="nil"/>
            </w:tcBorders>
            <w:shd w:val="clear" w:color="000000" w:fill="FFFFFF"/>
            <w:vAlign w:val="bottom"/>
            <w:hideMark/>
          </w:tcPr>
          <w:p w14:paraId="5B63D971" w14:textId="77777777" w:rsidR="00325E89" w:rsidRPr="00BE20BD" w:rsidRDefault="00325E89" w:rsidP="00325E89">
            <w:pPr>
              <w:keepNext/>
              <w:spacing w:line="240" w:lineRule="auto"/>
              <w:rPr>
                <w:rFonts w:eastAsia="Times New Roman" w:cs="Arial"/>
                <w:color w:val="000000"/>
                <w:sz w:val="16"/>
                <w:szCs w:val="16"/>
                <w:lang w:eastAsia="en-GB"/>
              </w:rPr>
            </w:pPr>
            <w:r w:rsidRPr="00BE20BD">
              <w:rPr>
                <w:rFonts w:eastAsia="Times New Roman" w:cs="Arial"/>
                <w:color w:val="000000"/>
                <w:sz w:val="16"/>
                <w:szCs w:val="16"/>
                <w:lang w:eastAsia="en-GB"/>
              </w:rPr>
              <w:t> </w:t>
            </w:r>
          </w:p>
        </w:tc>
        <w:tc>
          <w:tcPr>
            <w:tcW w:w="1036" w:type="dxa"/>
            <w:tcBorders>
              <w:top w:val="nil"/>
              <w:left w:val="nil"/>
              <w:bottom w:val="nil"/>
              <w:right w:val="nil"/>
            </w:tcBorders>
            <w:shd w:val="clear" w:color="000000" w:fill="F2F2F2"/>
            <w:vAlign w:val="bottom"/>
            <w:hideMark/>
          </w:tcPr>
          <w:p w14:paraId="209998DF" w14:textId="77777777" w:rsidR="00325E89" w:rsidRPr="00BE20BD" w:rsidRDefault="00325E89" w:rsidP="00325E89">
            <w:pPr>
              <w:keepNext/>
              <w:spacing w:line="240" w:lineRule="auto"/>
              <w:rPr>
                <w:rFonts w:eastAsia="Times New Roman" w:cs="Arial"/>
                <w:color w:val="000000"/>
                <w:sz w:val="16"/>
                <w:szCs w:val="16"/>
                <w:lang w:eastAsia="en-GB"/>
              </w:rPr>
            </w:pPr>
            <w:r w:rsidRPr="00BE20BD">
              <w:rPr>
                <w:rFonts w:eastAsia="Times New Roman" w:cs="Arial"/>
                <w:color w:val="000000"/>
                <w:sz w:val="16"/>
                <w:szCs w:val="16"/>
                <w:lang w:eastAsia="en-GB"/>
              </w:rPr>
              <w:t>Expected</w:t>
            </w:r>
          </w:p>
        </w:tc>
        <w:tc>
          <w:tcPr>
            <w:tcW w:w="1036" w:type="dxa"/>
            <w:tcBorders>
              <w:top w:val="nil"/>
              <w:left w:val="nil"/>
              <w:bottom w:val="nil"/>
              <w:right w:val="nil"/>
            </w:tcBorders>
            <w:shd w:val="clear" w:color="000000" w:fill="F2F2F2"/>
            <w:vAlign w:val="bottom"/>
            <w:hideMark/>
          </w:tcPr>
          <w:p w14:paraId="3F8A6E2A" w14:textId="77777777" w:rsidR="00325E89" w:rsidRPr="00BE20BD" w:rsidRDefault="00325E89" w:rsidP="00325E89">
            <w:pPr>
              <w:keepNext/>
              <w:spacing w:line="240" w:lineRule="auto"/>
              <w:rPr>
                <w:rFonts w:ascii="Arial Narrow" w:eastAsia="Times New Roman" w:hAnsi="Arial Narrow" w:cs="Calibri"/>
                <w:color w:val="000000"/>
                <w:sz w:val="16"/>
                <w:szCs w:val="16"/>
                <w:lang w:eastAsia="en-GB"/>
              </w:rPr>
            </w:pPr>
            <w:r w:rsidRPr="00BE20BD">
              <w:rPr>
                <w:rFonts w:ascii="Arial Narrow" w:eastAsia="Times New Roman" w:hAnsi="Arial Narrow" w:cs="Calibri"/>
                <w:color w:val="000000"/>
                <w:sz w:val="18"/>
                <w:szCs w:val="18"/>
                <w:lang w:eastAsia="en-GB"/>
              </w:rPr>
              <w:t>Re-estimate</w:t>
            </w:r>
          </w:p>
        </w:tc>
      </w:tr>
      <w:tr w:rsidR="00325E89" w:rsidRPr="00BE20BD" w14:paraId="1BFFF61B" w14:textId="77777777" w:rsidTr="00325E89">
        <w:trPr>
          <w:trHeight w:val="260"/>
        </w:trPr>
        <w:tc>
          <w:tcPr>
            <w:tcW w:w="2500" w:type="dxa"/>
            <w:tcBorders>
              <w:top w:val="nil"/>
              <w:left w:val="nil"/>
              <w:bottom w:val="nil"/>
              <w:right w:val="nil"/>
            </w:tcBorders>
            <w:shd w:val="clear" w:color="auto" w:fill="auto"/>
            <w:noWrap/>
            <w:vAlign w:val="bottom"/>
            <w:hideMark/>
          </w:tcPr>
          <w:p w14:paraId="727A7377" w14:textId="77777777" w:rsidR="00325E89" w:rsidRPr="00BE20BD" w:rsidRDefault="00325E89" w:rsidP="00325E89">
            <w:pPr>
              <w:keepNext/>
              <w:spacing w:line="240" w:lineRule="auto"/>
              <w:rPr>
                <w:rFonts w:ascii="Arial Narrow" w:eastAsia="Times New Roman" w:hAnsi="Arial Narrow" w:cs="Calibri"/>
                <w:color w:val="000000"/>
                <w:sz w:val="16"/>
                <w:szCs w:val="16"/>
                <w:lang w:eastAsia="en-GB"/>
              </w:rPr>
            </w:pPr>
          </w:p>
        </w:tc>
        <w:tc>
          <w:tcPr>
            <w:tcW w:w="272" w:type="dxa"/>
            <w:tcBorders>
              <w:top w:val="nil"/>
              <w:left w:val="nil"/>
              <w:bottom w:val="nil"/>
              <w:right w:val="nil"/>
            </w:tcBorders>
            <w:shd w:val="clear" w:color="000000" w:fill="FFFFFF"/>
            <w:noWrap/>
            <w:vAlign w:val="bottom"/>
            <w:hideMark/>
          </w:tcPr>
          <w:p w14:paraId="5EAC941D" w14:textId="77777777" w:rsidR="00325E89" w:rsidRPr="00BE20BD" w:rsidRDefault="00325E89" w:rsidP="00325E89">
            <w:pPr>
              <w:keepNext/>
              <w:spacing w:line="240" w:lineRule="auto"/>
              <w:rPr>
                <w:rFonts w:eastAsia="Times New Roman" w:cs="Arial"/>
                <w:color w:val="000000"/>
                <w:sz w:val="20"/>
                <w:lang w:eastAsia="en-GB"/>
              </w:rPr>
            </w:pPr>
            <w:r w:rsidRPr="00BE20BD">
              <w:rPr>
                <w:rFonts w:eastAsia="Times New Roman" w:cs="Arial"/>
                <w:color w:val="000000"/>
                <w:sz w:val="20"/>
                <w:lang w:eastAsia="en-GB"/>
              </w:rPr>
              <w:t> </w:t>
            </w:r>
          </w:p>
        </w:tc>
        <w:tc>
          <w:tcPr>
            <w:tcW w:w="1056" w:type="dxa"/>
            <w:tcBorders>
              <w:top w:val="nil"/>
              <w:left w:val="nil"/>
              <w:bottom w:val="nil"/>
              <w:right w:val="nil"/>
            </w:tcBorders>
            <w:shd w:val="clear" w:color="auto" w:fill="auto"/>
            <w:noWrap/>
            <w:vAlign w:val="bottom"/>
            <w:hideMark/>
          </w:tcPr>
          <w:p w14:paraId="1DBB0E5B" w14:textId="77777777" w:rsidR="00325E89" w:rsidRPr="00BE20BD" w:rsidRDefault="00325E89" w:rsidP="00325E89">
            <w:pPr>
              <w:keepNext/>
              <w:spacing w:line="240" w:lineRule="auto"/>
              <w:rPr>
                <w:rFonts w:eastAsia="Times New Roman" w:cs="Arial"/>
                <w:color w:val="000000"/>
                <w:sz w:val="20"/>
                <w:lang w:eastAsia="en-GB"/>
              </w:rPr>
            </w:pPr>
          </w:p>
        </w:tc>
        <w:tc>
          <w:tcPr>
            <w:tcW w:w="856" w:type="dxa"/>
            <w:tcBorders>
              <w:top w:val="nil"/>
              <w:left w:val="nil"/>
              <w:bottom w:val="nil"/>
              <w:right w:val="nil"/>
            </w:tcBorders>
            <w:shd w:val="clear" w:color="000000" w:fill="FFFFFF"/>
            <w:noWrap/>
            <w:vAlign w:val="bottom"/>
            <w:hideMark/>
          </w:tcPr>
          <w:p w14:paraId="2C22692A" w14:textId="77777777" w:rsidR="00325E89" w:rsidRPr="00BE20BD" w:rsidRDefault="00325E89" w:rsidP="00325E89">
            <w:pPr>
              <w:keepNext/>
              <w:spacing w:line="240" w:lineRule="auto"/>
              <w:rPr>
                <w:rFonts w:eastAsia="Times New Roman" w:cs="Arial"/>
                <w:color w:val="000000"/>
                <w:sz w:val="20"/>
                <w:lang w:eastAsia="en-GB"/>
              </w:rPr>
            </w:pPr>
            <w:r w:rsidRPr="00BE20BD">
              <w:rPr>
                <w:rFonts w:eastAsia="Times New Roman" w:cs="Arial"/>
                <w:color w:val="000000"/>
                <w:sz w:val="20"/>
                <w:lang w:eastAsia="en-GB"/>
              </w:rPr>
              <w:t> </w:t>
            </w:r>
          </w:p>
        </w:tc>
        <w:tc>
          <w:tcPr>
            <w:tcW w:w="276" w:type="dxa"/>
            <w:tcBorders>
              <w:top w:val="nil"/>
              <w:left w:val="nil"/>
              <w:bottom w:val="nil"/>
              <w:right w:val="nil"/>
            </w:tcBorders>
            <w:shd w:val="clear" w:color="000000" w:fill="FFFFFF"/>
            <w:noWrap/>
            <w:vAlign w:val="bottom"/>
            <w:hideMark/>
          </w:tcPr>
          <w:p w14:paraId="3F293B43" w14:textId="77777777" w:rsidR="00325E89" w:rsidRPr="00BE20BD" w:rsidRDefault="00325E89" w:rsidP="00325E89">
            <w:pPr>
              <w:keepNext/>
              <w:spacing w:line="240" w:lineRule="auto"/>
              <w:rPr>
                <w:rFonts w:eastAsia="Times New Roman" w:cs="Arial"/>
                <w:color w:val="000000"/>
                <w:sz w:val="20"/>
                <w:lang w:eastAsia="en-GB"/>
              </w:rPr>
            </w:pPr>
            <w:r w:rsidRPr="00BE20BD">
              <w:rPr>
                <w:rFonts w:eastAsia="Times New Roman" w:cs="Arial"/>
                <w:color w:val="000000"/>
                <w:sz w:val="20"/>
                <w:lang w:eastAsia="en-GB"/>
              </w:rPr>
              <w:t> </w:t>
            </w:r>
          </w:p>
        </w:tc>
        <w:tc>
          <w:tcPr>
            <w:tcW w:w="1036" w:type="dxa"/>
            <w:tcBorders>
              <w:top w:val="nil"/>
              <w:left w:val="nil"/>
              <w:bottom w:val="nil"/>
              <w:right w:val="nil"/>
            </w:tcBorders>
            <w:shd w:val="clear" w:color="auto" w:fill="auto"/>
            <w:noWrap/>
            <w:vAlign w:val="bottom"/>
            <w:hideMark/>
          </w:tcPr>
          <w:p w14:paraId="2BD34C5D" w14:textId="77777777" w:rsidR="00325E89" w:rsidRPr="00BE20BD" w:rsidRDefault="00325E89" w:rsidP="00325E89">
            <w:pPr>
              <w:keepNext/>
              <w:spacing w:line="240" w:lineRule="auto"/>
              <w:rPr>
                <w:rFonts w:eastAsia="Times New Roman" w:cs="Arial"/>
                <w:color w:val="000000"/>
                <w:sz w:val="20"/>
                <w:lang w:eastAsia="en-GB"/>
              </w:rPr>
            </w:pPr>
          </w:p>
        </w:tc>
        <w:tc>
          <w:tcPr>
            <w:tcW w:w="1017" w:type="dxa"/>
            <w:tcBorders>
              <w:top w:val="nil"/>
              <w:left w:val="nil"/>
              <w:bottom w:val="nil"/>
              <w:right w:val="nil"/>
            </w:tcBorders>
            <w:shd w:val="clear" w:color="auto" w:fill="auto"/>
            <w:noWrap/>
            <w:vAlign w:val="bottom"/>
            <w:hideMark/>
          </w:tcPr>
          <w:p w14:paraId="64254926" w14:textId="77777777" w:rsidR="00325E89" w:rsidRPr="00BE20BD" w:rsidRDefault="00325E89" w:rsidP="00325E89">
            <w:pPr>
              <w:keepNext/>
              <w:spacing w:line="240" w:lineRule="auto"/>
              <w:rPr>
                <w:rFonts w:ascii="Times New Roman" w:eastAsia="Times New Roman" w:hAnsi="Times New Roman"/>
                <w:sz w:val="20"/>
                <w:lang w:eastAsia="en-GB"/>
              </w:rPr>
            </w:pPr>
          </w:p>
        </w:tc>
        <w:tc>
          <w:tcPr>
            <w:tcW w:w="276" w:type="dxa"/>
            <w:tcBorders>
              <w:top w:val="nil"/>
              <w:left w:val="nil"/>
              <w:bottom w:val="nil"/>
              <w:right w:val="nil"/>
            </w:tcBorders>
            <w:shd w:val="clear" w:color="000000" w:fill="FFFFFF"/>
            <w:noWrap/>
            <w:vAlign w:val="bottom"/>
            <w:hideMark/>
          </w:tcPr>
          <w:p w14:paraId="05742DF2" w14:textId="77777777" w:rsidR="00325E89" w:rsidRPr="00BE20BD" w:rsidRDefault="00325E89" w:rsidP="00325E89">
            <w:pPr>
              <w:keepNext/>
              <w:spacing w:line="240" w:lineRule="auto"/>
              <w:rPr>
                <w:rFonts w:eastAsia="Times New Roman" w:cs="Arial"/>
                <w:color w:val="000000"/>
                <w:sz w:val="20"/>
                <w:lang w:eastAsia="en-GB"/>
              </w:rPr>
            </w:pPr>
            <w:r w:rsidRPr="00BE20BD">
              <w:rPr>
                <w:rFonts w:eastAsia="Times New Roman" w:cs="Arial"/>
                <w:color w:val="000000"/>
                <w:sz w:val="20"/>
                <w:lang w:eastAsia="en-GB"/>
              </w:rPr>
              <w:t> </w:t>
            </w:r>
          </w:p>
        </w:tc>
        <w:tc>
          <w:tcPr>
            <w:tcW w:w="1036" w:type="dxa"/>
            <w:tcBorders>
              <w:top w:val="nil"/>
              <w:left w:val="nil"/>
              <w:bottom w:val="nil"/>
              <w:right w:val="nil"/>
            </w:tcBorders>
            <w:shd w:val="clear" w:color="auto" w:fill="auto"/>
            <w:noWrap/>
            <w:vAlign w:val="bottom"/>
            <w:hideMark/>
          </w:tcPr>
          <w:p w14:paraId="5513490C" w14:textId="77777777" w:rsidR="00325E89" w:rsidRPr="00BE20BD" w:rsidRDefault="00325E89" w:rsidP="00325E89">
            <w:pPr>
              <w:keepNext/>
              <w:spacing w:line="240" w:lineRule="auto"/>
              <w:rPr>
                <w:rFonts w:eastAsia="Times New Roman" w:cs="Arial"/>
                <w:color w:val="000000"/>
                <w:sz w:val="20"/>
                <w:lang w:eastAsia="en-GB"/>
              </w:rPr>
            </w:pPr>
          </w:p>
        </w:tc>
        <w:tc>
          <w:tcPr>
            <w:tcW w:w="1036" w:type="dxa"/>
            <w:tcBorders>
              <w:top w:val="nil"/>
              <w:left w:val="nil"/>
              <w:bottom w:val="nil"/>
              <w:right w:val="nil"/>
            </w:tcBorders>
            <w:shd w:val="clear" w:color="auto" w:fill="auto"/>
            <w:noWrap/>
            <w:vAlign w:val="bottom"/>
            <w:hideMark/>
          </w:tcPr>
          <w:p w14:paraId="5FE62AAC" w14:textId="77777777" w:rsidR="00325E89" w:rsidRPr="00BE20BD" w:rsidRDefault="00325E89" w:rsidP="00325E89">
            <w:pPr>
              <w:keepNext/>
              <w:spacing w:line="240" w:lineRule="auto"/>
              <w:rPr>
                <w:rFonts w:ascii="Times New Roman" w:eastAsia="Times New Roman" w:hAnsi="Times New Roman"/>
                <w:sz w:val="20"/>
                <w:lang w:eastAsia="en-GB"/>
              </w:rPr>
            </w:pPr>
          </w:p>
        </w:tc>
      </w:tr>
      <w:tr w:rsidR="00325E89" w:rsidRPr="00BE20BD" w14:paraId="23C65EA2" w14:textId="77777777" w:rsidTr="00325E89">
        <w:trPr>
          <w:trHeight w:val="250"/>
        </w:trPr>
        <w:tc>
          <w:tcPr>
            <w:tcW w:w="2500" w:type="dxa"/>
            <w:tcBorders>
              <w:top w:val="nil"/>
              <w:left w:val="nil"/>
              <w:bottom w:val="nil"/>
              <w:right w:val="nil"/>
            </w:tcBorders>
            <w:shd w:val="clear" w:color="000000" w:fill="D9D9D9"/>
            <w:noWrap/>
            <w:vAlign w:val="center"/>
            <w:hideMark/>
          </w:tcPr>
          <w:p w14:paraId="459139AF" w14:textId="77777777" w:rsidR="00325E89" w:rsidRPr="00BE20BD" w:rsidRDefault="00325E89" w:rsidP="00325E89">
            <w:pPr>
              <w:keepNext/>
              <w:spacing w:line="240" w:lineRule="auto"/>
              <w:rPr>
                <w:rFonts w:eastAsia="Times New Roman" w:cs="Arial"/>
                <w:color w:val="000000"/>
                <w:sz w:val="16"/>
                <w:szCs w:val="16"/>
                <w:lang w:eastAsia="en-GB"/>
              </w:rPr>
            </w:pPr>
            <w:r w:rsidRPr="00BE20BD">
              <w:rPr>
                <w:rFonts w:eastAsia="Times New Roman" w:cs="Arial"/>
                <w:color w:val="000000"/>
                <w:sz w:val="16"/>
                <w:szCs w:val="16"/>
                <w:lang w:eastAsia="en-GB"/>
              </w:rPr>
              <w:t>discounted insurance result</w:t>
            </w:r>
          </w:p>
        </w:tc>
        <w:tc>
          <w:tcPr>
            <w:tcW w:w="272" w:type="dxa"/>
            <w:tcBorders>
              <w:top w:val="nil"/>
              <w:left w:val="nil"/>
              <w:bottom w:val="nil"/>
              <w:right w:val="nil"/>
            </w:tcBorders>
            <w:shd w:val="clear" w:color="000000" w:fill="FFFFFF"/>
            <w:noWrap/>
            <w:vAlign w:val="bottom"/>
            <w:hideMark/>
          </w:tcPr>
          <w:p w14:paraId="6F5EBA2D" w14:textId="77777777" w:rsidR="00325E89" w:rsidRPr="00BE20BD" w:rsidRDefault="00325E89" w:rsidP="00325E89">
            <w:pPr>
              <w:keepNext/>
              <w:spacing w:line="240" w:lineRule="auto"/>
              <w:rPr>
                <w:rFonts w:eastAsia="Times New Roman" w:cs="Arial"/>
                <w:color w:val="000000"/>
                <w:sz w:val="16"/>
                <w:szCs w:val="16"/>
                <w:lang w:eastAsia="en-GB"/>
              </w:rPr>
            </w:pPr>
            <w:r w:rsidRPr="00BE20BD">
              <w:rPr>
                <w:rFonts w:eastAsia="Times New Roman" w:cs="Arial"/>
                <w:color w:val="000000"/>
                <w:sz w:val="16"/>
                <w:szCs w:val="16"/>
                <w:lang w:eastAsia="en-GB"/>
              </w:rPr>
              <w:t> </w:t>
            </w:r>
          </w:p>
        </w:tc>
        <w:tc>
          <w:tcPr>
            <w:tcW w:w="1056" w:type="dxa"/>
            <w:tcBorders>
              <w:top w:val="nil"/>
              <w:left w:val="nil"/>
              <w:bottom w:val="nil"/>
              <w:right w:val="nil"/>
            </w:tcBorders>
            <w:shd w:val="clear" w:color="000000" w:fill="D9D9D9"/>
            <w:noWrap/>
            <w:vAlign w:val="center"/>
            <w:hideMark/>
          </w:tcPr>
          <w:p w14:paraId="201934C1" w14:textId="4E6E7ADD" w:rsidR="00325E89" w:rsidRPr="00BE20BD" w:rsidRDefault="00325E89" w:rsidP="006F55F6">
            <w:pPr>
              <w:keepNext/>
              <w:spacing w:line="240" w:lineRule="auto"/>
              <w:jc w:val="center"/>
              <w:rPr>
                <w:rFonts w:eastAsia="Times New Roman" w:cs="Arial"/>
                <w:color w:val="000000"/>
                <w:sz w:val="16"/>
                <w:szCs w:val="16"/>
                <w:lang w:eastAsia="en-GB"/>
              </w:rPr>
            </w:pPr>
          </w:p>
        </w:tc>
        <w:tc>
          <w:tcPr>
            <w:tcW w:w="856" w:type="dxa"/>
            <w:tcBorders>
              <w:top w:val="nil"/>
              <w:left w:val="nil"/>
              <w:bottom w:val="nil"/>
              <w:right w:val="nil"/>
            </w:tcBorders>
            <w:shd w:val="clear" w:color="000000" w:fill="FFFFFF"/>
            <w:noWrap/>
            <w:vAlign w:val="center"/>
            <w:hideMark/>
          </w:tcPr>
          <w:p w14:paraId="020992E1" w14:textId="7F6C3F55" w:rsidR="00325E89" w:rsidRPr="00BE20BD" w:rsidRDefault="00325E89" w:rsidP="006F55F6">
            <w:pPr>
              <w:keepNext/>
              <w:spacing w:line="240" w:lineRule="auto"/>
              <w:jc w:val="center"/>
              <w:rPr>
                <w:rFonts w:eastAsia="Times New Roman" w:cs="Arial"/>
                <w:color w:val="000000"/>
                <w:sz w:val="16"/>
                <w:szCs w:val="16"/>
                <w:lang w:eastAsia="en-GB"/>
              </w:rPr>
            </w:pPr>
          </w:p>
        </w:tc>
        <w:tc>
          <w:tcPr>
            <w:tcW w:w="276" w:type="dxa"/>
            <w:tcBorders>
              <w:top w:val="nil"/>
              <w:left w:val="nil"/>
              <w:bottom w:val="nil"/>
              <w:right w:val="nil"/>
            </w:tcBorders>
            <w:shd w:val="clear" w:color="000000" w:fill="FFFFFF"/>
            <w:noWrap/>
            <w:vAlign w:val="center"/>
            <w:hideMark/>
          </w:tcPr>
          <w:p w14:paraId="44546F25" w14:textId="76C691EB" w:rsidR="00325E89" w:rsidRPr="00BE20BD" w:rsidRDefault="00325E89" w:rsidP="006F55F6">
            <w:pPr>
              <w:keepNext/>
              <w:spacing w:line="240" w:lineRule="auto"/>
              <w:jc w:val="center"/>
              <w:rPr>
                <w:rFonts w:eastAsia="Times New Roman" w:cs="Arial"/>
                <w:color w:val="000000"/>
                <w:sz w:val="16"/>
                <w:szCs w:val="16"/>
                <w:lang w:eastAsia="en-GB"/>
              </w:rPr>
            </w:pPr>
          </w:p>
        </w:tc>
        <w:tc>
          <w:tcPr>
            <w:tcW w:w="1036" w:type="dxa"/>
            <w:tcBorders>
              <w:top w:val="nil"/>
              <w:left w:val="nil"/>
              <w:bottom w:val="nil"/>
              <w:right w:val="nil"/>
            </w:tcBorders>
            <w:shd w:val="clear" w:color="000000" w:fill="D9D9D9"/>
            <w:noWrap/>
            <w:vAlign w:val="center"/>
            <w:hideMark/>
          </w:tcPr>
          <w:p w14:paraId="7638BB21" w14:textId="3AD8CFE5" w:rsidR="00325E89" w:rsidRPr="00BE20BD" w:rsidRDefault="00325E89" w:rsidP="006F55F6">
            <w:pPr>
              <w:keepNext/>
              <w:spacing w:line="240" w:lineRule="auto"/>
              <w:jc w:val="center"/>
              <w:rPr>
                <w:rFonts w:eastAsia="Times New Roman" w:cs="Arial"/>
                <w:color w:val="000000"/>
                <w:sz w:val="16"/>
                <w:szCs w:val="16"/>
                <w:lang w:eastAsia="en-GB"/>
              </w:rPr>
            </w:pPr>
          </w:p>
        </w:tc>
        <w:tc>
          <w:tcPr>
            <w:tcW w:w="1017" w:type="dxa"/>
            <w:tcBorders>
              <w:top w:val="nil"/>
              <w:left w:val="nil"/>
              <w:bottom w:val="nil"/>
              <w:right w:val="nil"/>
            </w:tcBorders>
            <w:shd w:val="clear" w:color="000000" w:fill="D9D9D9"/>
            <w:noWrap/>
            <w:vAlign w:val="center"/>
            <w:hideMark/>
          </w:tcPr>
          <w:p w14:paraId="796FC5EA" w14:textId="77777777" w:rsidR="00325E89" w:rsidRPr="00BE20BD" w:rsidRDefault="00325E89" w:rsidP="006F55F6">
            <w:pPr>
              <w:keepNext/>
              <w:spacing w:line="240" w:lineRule="auto"/>
              <w:jc w:val="center"/>
              <w:rPr>
                <w:rFonts w:eastAsia="Times New Roman" w:cs="Arial"/>
                <w:color w:val="000000"/>
                <w:sz w:val="16"/>
                <w:szCs w:val="16"/>
                <w:lang w:eastAsia="en-GB"/>
              </w:rPr>
            </w:pPr>
            <w:r w:rsidRPr="00BE20BD">
              <w:rPr>
                <w:rFonts w:eastAsia="Times New Roman" w:cs="Arial"/>
                <w:color w:val="000000"/>
                <w:sz w:val="16"/>
                <w:szCs w:val="16"/>
                <w:lang w:eastAsia="en-GB"/>
              </w:rPr>
              <w:t>n/a</w:t>
            </w:r>
          </w:p>
        </w:tc>
        <w:tc>
          <w:tcPr>
            <w:tcW w:w="276" w:type="dxa"/>
            <w:tcBorders>
              <w:top w:val="nil"/>
              <w:left w:val="nil"/>
              <w:bottom w:val="nil"/>
              <w:right w:val="nil"/>
            </w:tcBorders>
            <w:shd w:val="clear" w:color="000000" w:fill="FFFFFF"/>
            <w:noWrap/>
            <w:vAlign w:val="center"/>
            <w:hideMark/>
          </w:tcPr>
          <w:p w14:paraId="5008959F" w14:textId="2AAC50D8" w:rsidR="00325E89" w:rsidRPr="00BE20BD" w:rsidRDefault="00325E89" w:rsidP="006F55F6">
            <w:pPr>
              <w:keepNext/>
              <w:spacing w:line="240" w:lineRule="auto"/>
              <w:jc w:val="center"/>
              <w:rPr>
                <w:rFonts w:eastAsia="Times New Roman" w:cs="Arial"/>
                <w:color w:val="000000"/>
                <w:sz w:val="16"/>
                <w:szCs w:val="16"/>
                <w:lang w:eastAsia="en-GB"/>
              </w:rPr>
            </w:pPr>
          </w:p>
        </w:tc>
        <w:tc>
          <w:tcPr>
            <w:tcW w:w="1036" w:type="dxa"/>
            <w:tcBorders>
              <w:top w:val="nil"/>
              <w:left w:val="nil"/>
              <w:bottom w:val="nil"/>
              <w:right w:val="nil"/>
            </w:tcBorders>
            <w:shd w:val="clear" w:color="000000" w:fill="D9D9D9"/>
            <w:noWrap/>
            <w:vAlign w:val="center"/>
            <w:hideMark/>
          </w:tcPr>
          <w:p w14:paraId="7460D916" w14:textId="2FA64157" w:rsidR="00325E89" w:rsidRPr="00BE20BD" w:rsidRDefault="00325E89" w:rsidP="006F55F6">
            <w:pPr>
              <w:keepNext/>
              <w:spacing w:line="240" w:lineRule="auto"/>
              <w:jc w:val="center"/>
              <w:rPr>
                <w:rFonts w:eastAsia="Times New Roman" w:cs="Arial"/>
                <w:color w:val="000000"/>
                <w:sz w:val="16"/>
                <w:szCs w:val="16"/>
                <w:lang w:eastAsia="en-GB"/>
              </w:rPr>
            </w:pPr>
          </w:p>
        </w:tc>
        <w:tc>
          <w:tcPr>
            <w:tcW w:w="1036" w:type="dxa"/>
            <w:tcBorders>
              <w:top w:val="nil"/>
              <w:left w:val="nil"/>
              <w:bottom w:val="nil"/>
              <w:right w:val="nil"/>
            </w:tcBorders>
            <w:shd w:val="clear" w:color="000000" w:fill="D9D9D9"/>
            <w:noWrap/>
            <w:vAlign w:val="center"/>
            <w:hideMark/>
          </w:tcPr>
          <w:p w14:paraId="42752983" w14:textId="77777777" w:rsidR="00325E89" w:rsidRPr="00BE20BD" w:rsidRDefault="00325E89" w:rsidP="006F55F6">
            <w:pPr>
              <w:keepNext/>
              <w:spacing w:line="240" w:lineRule="auto"/>
              <w:jc w:val="center"/>
              <w:rPr>
                <w:rFonts w:eastAsia="Times New Roman" w:cs="Arial"/>
                <w:color w:val="000000"/>
                <w:sz w:val="16"/>
                <w:szCs w:val="16"/>
                <w:lang w:eastAsia="en-GB"/>
              </w:rPr>
            </w:pPr>
            <w:r w:rsidRPr="00BE20BD">
              <w:rPr>
                <w:rFonts w:eastAsia="Times New Roman" w:cs="Arial"/>
                <w:color w:val="000000"/>
                <w:sz w:val="16"/>
                <w:szCs w:val="16"/>
                <w:lang w:eastAsia="en-GB"/>
              </w:rPr>
              <w:t>n/a</w:t>
            </w:r>
          </w:p>
        </w:tc>
      </w:tr>
      <w:tr w:rsidR="00325E89" w:rsidRPr="00BE20BD" w14:paraId="29FE6DA3" w14:textId="77777777" w:rsidTr="00325E89">
        <w:trPr>
          <w:trHeight w:val="260"/>
        </w:trPr>
        <w:tc>
          <w:tcPr>
            <w:tcW w:w="2500" w:type="dxa"/>
            <w:tcBorders>
              <w:top w:val="nil"/>
              <w:left w:val="nil"/>
              <w:bottom w:val="nil"/>
              <w:right w:val="nil"/>
            </w:tcBorders>
            <w:shd w:val="clear" w:color="auto" w:fill="auto"/>
            <w:noWrap/>
            <w:vAlign w:val="bottom"/>
            <w:hideMark/>
          </w:tcPr>
          <w:p w14:paraId="0C2930BD" w14:textId="77777777" w:rsidR="00325E89" w:rsidRPr="00BE20BD" w:rsidRDefault="00325E89" w:rsidP="00325E89">
            <w:pPr>
              <w:keepNext/>
              <w:spacing w:line="240" w:lineRule="auto"/>
              <w:jc w:val="center"/>
              <w:rPr>
                <w:rFonts w:eastAsia="Times New Roman" w:cs="Arial"/>
                <w:color w:val="000000"/>
                <w:sz w:val="16"/>
                <w:szCs w:val="16"/>
                <w:lang w:eastAsia="en-GB"/>
              </w:rPr>
            </w:pPr>
          </w:p>
        </w:tc>
        <w:tc>
          <w:tcPr>
            <w:tcW w:w="272" w:type="dxa"/>
            <w:tcBorders>
              <w:top w:val="nil"/>
              <w:left w:val="nil"/>
              <w:bottom w:val="nil"/>
              <w:right w:val="nil"/>
            </w:tcBorders>
            <w:shd w:val="clear" w:color="000000" w:fill="FFFFFF"/>
            <w:noWrap/>
            <w:vAlign w:val="bottom"/>
            <w:hideMark/>
          </w:tcPr>
          <w:p w14:paraId="233F8BDE" w14:textId="77777777" w:rsidR="00325E89" w:rsidRPr="00BE20BD" w:rsidRDefault="00325E89" w:rsidP="00325E89">
            <w:pPr>
              <w:keepNext/>
              <w:spacing w:line="240" w:lineRule="auto"/>
              <w:rPr>
                <w:rFonts w:eastAsia="Times New Roman" w:cs="Arial"/>
                <w:color w:val="000000"/>
                <w:sz w:val="20"/>
                <w:lang w:eastAsia="en-GB"/>
              </w:rPr>
            </w:pPr>
            <w:r w:rsidRPr="00BE20BD">
              <w:rPr>
                <w:rFonts w:eastAsia="Times New Roman" w:cs="Arial"/>
                <w:color w:val="000000"/>
                <w:sz w:val="20"/>
                <w:lang w:eastAsia="en-GB"/>
              </w:rPr>
              <w:t> </w:t>
            </w:r>
          </w:p>
        </w:tc>
        <w:tc>
          <w:tcPr>
            <w:tcW w:w="1056" w:type="dxa"/>
            <w:tcBorders>
              <w:top w:val="nil"/>
              <w:left w:val="nil"/>
              <w:bottom w:val="nil"/>
              <w:right w:val="nil"/>
            </w:tcBorders>
            <w:shd w:val="clear" w:color="auto" w:fill="auto"/>
            <w:noWrap/>
            <w:vAlign w:val="bottom"/>
            <w:hideMark/>
          </w:tcPr>
          <w:p w14:paraId="57E588E2" w14:textId="77777777" w:rsidR="00325E89" w:rsidRPr="00BE20BD" w:rsidRDefault="00325E89" w:rsidP="006F55F6">
            <w:pPr>
              <w:keepNext/>
              <w:spacing w:line="240" w:lineRule="auto"/>
              <w:jc w:val="center"/>
              <w:rPr>
                <w:rFonts w:eastAsia="Times New Roman" w:cs="Arial"/>
                <w:color w:val="000000"/>
                <w:sz w:val="20"/>
                <w:lang w:eastAsia="en-GB"/>
              </w:rPr>
            </w:pPr>
          </w:p>
        </w:tc>
        <w:tc>
          <w:tcPr>
            <w:tcW w:w="856" w:type="dxa"/>
            <w:tcBorders>
              <w:top w:val="nil"/>
              <w:left w:val="nil"/>
              <w:bottom w:val="nil"/>
              <w:right w:val="nil"/>
            </w:tcBorders>
            <w:shd w:val="clear" w:color="000000" w:fill="FFFFFF"/>
            <w:noWrap/>
            <w:vAlign w:val="bottom"/>
            <w:hideMark/>
          </w:tcPr>
          <w:p w14:paraId="1BC119A6" w14:textId="18257C67" w:rsidR="00325E89" w:rsidRPr="00BE20BD" w:rsidRDefault="00325E89" w:rsidP="006F55F6">
            <w:pPr>
              <w:keepNext/>
              <w:spacing w:line="240" w:lineRule="auto"/>
              <w:jc w:val="center"/>
              <w:rPr>
                <w:rFonts w:eastAsia="Times New Roman" w:cs="Arial"/>
                <w:color w:val="000000"/>
                <w:sz w:val="20"/>
                <w:lang w:eastAsia="en-GB"/>
              </w:rPr>
            </w:pPr>
          </w:p>
        </w:tc>
        <w:tc>
          <w:tcPr>
            <w:tcW w:w="276" w:type="dxa"/>
            <w:tcBorders>
              <w:top w:val="nil"/>
              <w:left w:val="nil"/>
              <w:bottom w:val="nil"/>
              <w:right w:val="nil"/>
            </w:tcBorders>
            <w:shd w:val="clear" w:color="000000" w:fill="FFFFFF"/>
            <w:noWrap/>
            <w:vAlign w:val="bottom"/>
            <w:hideMark/>
          </w:tcPr>
          <w:p w14:paraId="5A01BD16" w14:textId="71222E11" w:rsidR="00325E89" w:rsidRPr="00BE20BD" w:rsidRDefault="00325E89" w:rsidP="006F55F6">
            <w:pPr>
              <w:keepNext/>
              <w:spacing w:line="240" w:lineRule="auto"/>
              <w:jc w:val="center"/>
              <w:rPr>
                <w:rFonts w:eastAsia="Times New Roman" w:cs="Arial"/>
                <w:color w:val="000000"/>
                <w:sz w:val="20"/>
                <w:lang w:eastAsia="en-GB"/>
              </w:rPr>
            </w:pPr>
          </w:p>
        </w:tc>
        <w:tc>
          <w:tcPr>
            <w:tcW w:w="1036" w:type="dxa"/>
            <w:tcBorders>
              <w:top w:val="nil"/>
              <w:left w:val="nil"/>
              <w:bottom w:val="nil"/>
              <w:right w:val="nil"/>
            </w:tcBorders>
            <w:shd w:val="clear" w:color="auto" w:fill="auto"/>
            <w:noWrap/>
            <w:vAlign w:val="bottom"/>
            <w:hideMark/>
          </w:tcPr>
          <w:p w14:paraId="0FBFCF49" w14:textId="77777777" w:rsidR="00325E89" w:rsidRPr="00BE20BD" w:rsidRDefault="00325E89" w:rsidP="006F55F6">
            <w:pPr>
              <w:keepNext/>
              <w:spacing w:line="240" w:lineRule="auto"/>
              <w:jc w:val="center"/>
              <w:rPr>
                <w:rFonts w:eastAsia="Times New Roman" w:cs="Arial"/>
                <w:color w:val="000000"/>
                <w:sz w:val="20"/>
                <w:lang w:eastAsia="en-GB"/>
              </w:rPr>
            </w:pPr>
          </w:p>
        </w:tc>
        <w:tc>
          <w:tcPr>
            <w:tcW w:w="1017" w:type="dxa"/>
            <w:tcBorders>
              <w:top w:val="nil"/>
              <w:left w:val="nil"/>
              <w:bottom w:val="nil"/>
              <w:right w:val="nil"/>
            </w:tcBorders>
            <w:shd w:val="clear" w:color="auto" w:fill="auto"/>
            <w:noWrap/>
            <w:vAlign w:val="bottom"/>
            <w:hideMark/>
          </w:tcPr>
          <w:p w14:paraId="4C7FD246" w14:textId="77777777" w:rsidR="00325E89" w:rsidRPr="00BE20BD" w:rsidRDefault="00325E89" w:rsidP="006F55F6">
            <w:pPr>
              <w:keepNext/>
              <w:spacing w:line="240" w:lineRule="auto"/>
              <w:jc w:val="center"/>
              <w:rPr>
                <w:rFonts w:ascii="Times New Roman" w:eastAsia="Times New Roman" w:hAnsi="Times New Roman"/>
                <w:sz w:val="20"/>
                <w:lang w:eastAsia="en-GB"/>
              </w:rPr>
            </w:pPr>
          </w:p>
        </w:tc>
        <w:tc>
          <w:tcPr>
            <w:tcW w:w="276" w:type="dxa"/>
            <w:tcBorders>
              <w:top w:val="nil"/>
              <w:left w:val="nil"/>
              <w:bottom w:val="nil"/>
              <w:right w:val="nil"/>
            </w:tcBorders>
            <w:shd w:val="clear" w:color="000000" w:fill="FFFFFF"/>
            <w:noWrap/>
            <w:vAlign w:val="bottom"/>
            <w:hideMark/>
          </w:tcPr>
          <w:p w14:paraId="5EB2AE74" w14:textId="474E3A49" w:rsidR="00325E89" w:rsidRPr="00BE20BD" w:rsidRDefault="00325E89" w:rsidP="006F55F6">
            <w:pPr>
              <w:keepNext/>
              <w:spacing w:line="240" w:lineRule="auto"/>
              <w:jc w:val="center"/>
              <w:rPr>
                <w:rFonts w:eastAsia="Times New Roman" w:cs="Arial"/>
                <w:color w:val="000000"/>
                <w:sz w:val="20"/>
                <w:lang w:eastAsia="en-GB"/>
              </w:rPr>
            </w:pPr>
          </w:p>
        </w:tc>
        <w:tc>
          <w:tcPr>
            <w:tcW w:w="1036" w:type="dxa"/>
            <w:tcBorders>
              <w:top w:val="nil"/>
              <w:left w:val="nil"/>
              <w:bottom w:val="nil"/>
              <w:right w:val="nil"/>
            </w:tcBorders>
            <w:shd w:val="clear" w:color="auto" w:fill="auto"/>
            <w:noWrap/>
            <w:vAlign w:val="bottom"/>
            <w:hideMark/>
          </w:tcPr>
          <w:p w14:paraId="07DB8EFB" w14:textId="77777777" w:rsidR="00325E89" w:rsidRPr="00BE20BD" w:rsidRDefault="00325E89" w:rsidP="006F55F6">
            <w:pPr>
              <w:keepNext/>
              <w:spacing w:line="240" w:lineRule="auto"/>
              <w:jc w:val="center"/>
              <w:rPr>
                <w:rFonts w:eastAsia="Times New Roman" w:cs="Arial"/>
                <w:color w:val="000000"/>
                <w:sz w:val="20"/>
                <w:lang w:eastAsia="en-GB"/>
              </w:rPr>
            </w:pPr>
          </w:p>
        </w:tc>
        <w:tc>
          <w:tcPr>
            <w:tcW w:w="1036" w:type="dxa"/>
            <w:tcBorders>
              <w:top w:val="nil"/>
              <w:left w:val="nil"/>
              <w:bottom w:val="nil"/>
              <w:right w:val="nil"/>
            </w:tcBorders>
            <w:shd w:val="clear" w:color="auto" w:fill="auto"/>
            <w:noWrap/>
            <w:vAlign w:val="bottom"/>
            <w:hideMark/>
          </w:tcPr>
          <w:p w14:paraId="0D08E9CF" w14:textId="77777777" w:rsidR="00325E89" w:rsidRPr="00BE20BD" w:rsidRDefault="00325E89" w:rsidP="006F55F6">
            <w:pPr>
              <w:keepNext/>
              <w:spacing w:line="240" w:lineRule="auto"/>
              <w:jc w:val="center"/>
              <w:rPr>
                <w:rFonts w:ascii="Times New Roman" w:eastAsia="Times New Roman" w:hAnsi="Times New Roman"/>
                <w:sz w:val="20"/>
                <w:lang w:eastAsia="en-GB"/>
              </w:rPr>
            </w:pPr>
          </w:p>
        </w:tc>
      </w:tr>
      <w:tr w:rsidR="00325E89" w:rsidRPr="00BE20BD" w14:paraId="60FB4CEE" w14:textId="77777777" w:rsidTr="00325E89">
        <w:trPr>
          <w:trHeight w:val="390"/>
        </w:trPr>
        <w:tc>
          <w:tcPr>
            <w:tcW w:w="2500" w:type="dxa"/>
            <w:tcBorders>
              <w:top w:val="nil"/>
              <w:left w:val="nil"/>
              <w:bottom w:val="nil"/>
              <w:right w:val="nil"/>
            </w:tcBorders>
            <w:shd w:val="clear" w:color="000000" w:fill="D9D9D9"/>
            <w:vAlign w:val="center"/>
            <w:hideMark/>
          </w:tcPr>
          <w:p w14:paraId="20C0CBFA" w14:textId="77777777" w:rsidR="00325E89" w:rsidRPr="00BE20BD" w:rsidRDefault="00325E89" w:rsidP="00325E89">
            <w:pPr>
              <w:keepNext/>
              <w:spacing w:line="240" w:lineRule="auto"/>
              <w:rPr>
                <w:rFonts w:eastAsia="Times New Roman" w:cs="Arial"/>
                <w:color w:val="000000"/>
                <w:sz w:val="16"/>
                <w:szCs w:val="16"/>
                <w:lang w:eastAsia="en-GB"/>
              </w:rPr>
            </w:pPr>
            <w:r w:rsidRPr="00BE20BD">
              <w:rPr>
                <w:rFonts w:eastAsia="Times New Roman" w:cs="Arial"/>
                <w:color w:val="000000"/>
                <w:sz w:val="16"/>
                <w:szCs w:val="16"/>
                <w:lang w:eastAsia="en-GB"/>
              </w:rPr>
              <w:t>undiscounted insurance result</w:t>
            </w:r>
          </w:p>
        </w:tc>
        <w:tc>
          <w:tcPr>
            <w:tcW w:w="272" w:type="dxa"/>
            <w:tcBorders>
              <w:top w:val="nil"/>
              <w:left w:val="nil"/>
              <w:bottom w:val="nil"/>
              <w:right w:val="nil"/>
            </w:tcBorders>
            <w:shd w:val="clear" w:color="000000" w:fill="FFFFFF"/>
            <w:noWrap/>
            <w:vAlign w:val="bottom"/>
            <w:hideMark/>
          </w:tcPr>
          <w:p w14:paraId="1F5DED6B" w14:textId="77777777" w:rsidR="00325E89" w:rsidRPr="00BE20BD" w:rsidRDefault="00325E89" w:rsidP="00325E89">
            <w:pPr>
              <w:keepNext/>
              <w:spacing w:line="240" w:lineRule="auto"/>
              <w:rPr>
                <w:rFonts w:eastAsia="Times New Roman" w:cs="Arial"/>
                <w:color w:val="000000"/>
                <w:sz w:val="16"/>
                <w:szCs w:val="16"/>
                <w:lang w:eastAsia="en-GB"/>
              </w:rPr>
            </w:pPr>
            <w:r w:rsidRPr="00BE20BD">
              <w:rPr>
                <w:rFonts w:eastAsia="Times New Roman" w:cs="Arial"/>
                <w:color w:val="000000"/>
                <w:sz w:val="16"/>
                <w:szCs w:val="16"/>
                <w:lang w:eastAsia="en-GB"/>
              </w:rPr>
              <w:t> </w:t>
            </w:r>
          </w:p>
        </w:tc>
        <w:tc>
          <w:tcPr>
            <w:tcW w:w="1056" w:type="dxa"/>
            <w:tcBorders>
              <w:top w:val="nil"/>
              <w:left w:val="nil"/>
              <w:bottom w:val="nil"/>
              <w:right w:val="nil"/>
            </w:tcBorders>
            <w:shd w:val="clear" w:color="000000" w:fill="D9D9D9"/>
            <w:noWrap/>
            <w:vAlign w:val="center"/>
            <w:hideMark/>
          </w:tcPr>
          <w:p w14:paraId="7169F32A" w14:textId="1F1EE2F4" w:rsidR="00325E89" w:rsidRPr="00BE20BD" w:rsidRDefault="00325E89" w:rsidP="006F55F6">
            <w:pPr>
              <w:keepNext/>
              <w:spacing w:line="240" w:lineRule="auto"/>
              <w:jc w:val="center"/>
              <w:rPr>
                <w:rFonts w:eastAsia="Times New Roman" w:cs="Arial"/>
                <w:color w:val="000000"/>
                <w:sz w:val="16"/>
                <w:szCs w:val="16"/>
                <w:lang w:eastAsia="en-GB"/>
              </w:rPr>
            </w:pPr>
          </w:p>
        </w:tc>
        <w:tc>
          <w:tcPr>
            <w:tcW w:w="856" w:type="dxa"/>
            <w:tcBorders>
              <w:top w:val="nil"/>
              <w:left w:val="nil"/>
              <w:bottom w:val="nil"/>
              <w:right w:val="nil"/>
            </w:tcBorders>
            <w:shd w:val="clear" w:color="000000" w:fill="FFFFFF"/>
            <w:noWrap/>
            <w:vAlign w:val="center"/>
            <w:hideMark/>
          </w:tcPr>
          <w:p w14:paraId="08A29589" w14:textId="7EF57BB6" w:rsidR="00325E89" w:rsidRPr="00BE20BD" w:rsidRDefault="00325E89" w:rsidP="006F55F6">
            <w:pPr>
              <w:keepNext/>
              <w:spacing w:line="240" w:lineRule="auto"/>
              <w:jc w:val="center"/>
              <w:rPr>
                <w:rFonts w:eastAsia="Times New Roman" w:cs="Arial"/>
                <w:color w:val="000000"/>
                <w:sz w:val="16"/>
                <w:szCs w:val="16"/>
                <w:lang w:eastAsia="en-GB"/>
              </w:rPr>
            </w:pPr>
          </w:p>
        </w:tc>
        <w:tc>
          <w:tcPr>
            <w:tcW w:w="276" w:type="dxa"/>
            <w:tcBorders>
              <w:top w:val="nil"/>
              <w:left w:val="nil"/>
              <w:bottom w:val="nil"/>
              <w:right w:val="nil"/>
            </w:tcBorders>
            <w:shd w:val="clear" w:color="000000" w:fill="FFFFFF"/>
            <w:noWrap/>
            <w:vAlign w:val="center"/>
            <w:hideMark/>
          </w:tcPr>
          <w:p w14:paraId="604F653C" w14:textId="2A97E37D" w:rsidR="00325E89" w:rsidRPr="00BE20BD" w:rsidRDefault="00325E89" w:rsidP="006F55F6">
            <w:pPr>
              <w:keepNext/>
              <w:spacing w:line="240" w:lineRule="auto"/>
              <w:jc w:val="center"/>
              <w:rPr>
                <w:rFonts w:eastAsia="Times New Roman" w:cs="Arial"/>
                <w:color w:val="000000"/>
                <w:sz w:val="16"/>
                <w:szCs w:val="16"/>
                <w:lang w:eastAsia="en-GB"/>
              </w:rPr>
            </w:pPr>
          </w:p>
        </w:tc>
        <w:tc>
          <w:tcPr>
            <w:tcW w:w="1036" w:type="dxa"/>
            <w:tcBorders>
              <w:top w:val="nil"/>
              <w:left w:val="nil"/>
              <w:bottom w:val="nil"/>
              <w:right w:val="nil"/>
            </w:tcBorders>
            <w:shd w:val="clear" w:color="000000" w:fill="D9D9D9"/>
            <w:noWrap/>
            <w:vAlign w:val="center"/>
            <w:hideMark/>
          </w:tcPr>
          <w:p w14:paraId="60EB9F0A" w14:textId="1FFEFB51" w:rsidR="00325E89" w:rsidRPr="00BE20BD" w:rsidRDefault="00325E89" w:rsidP="006F55F6">
            <w:pPr>
              <w:keepNext/>
              <w:spacing w:line="240" w:lineRule="auto"/>
              <w:jc w:val="center"/>
              <w:rPr>
                <w:rFonts w:eastAsia="Times New Roman" w:cs="Arial"/>
                <w:color w:val="000000"/>
                <w:sz w:val="16"/>
                <w:szCs w:val="16"/>
                <w:lang w:eastAsia="en-GB"/>
              </w:rPr>
            </w:pPr>
          </w:p>
        </w:tc>
        <w:tc>
          <w:tcPr>
            <w:tcW w:w="1017" w:type="dxa"/>
            <w:tcBorders>
              <w:top w:val="nil"/>
              <w:left w:val="nil"/>
              <w:bottom w:val="nil"/>
              <w:right w:val="nil"/>
            </w:tcBorders>
            <w:shd w:val="clear" w:color="000000" w:fill="D9D9D9"/>
            <w:noWrap/>
            <w:vAlign w:val="center"/>
            <w:hideMark/>
          </w:tcPr>
          <w:p w14:paraId="4A412038" w14:textId="13FC2227" w:rsidR="00325E89" w:rsidRPr="00BE20BD" w:rsidRDefault="00325E89" w:rsidP="006F55F6">
            <w:pPr>
              <w:keepNext/>
              <w:spacing w:line="240" w:lineRule="auto"/>
              <w:jc w:val="center"/>
              <w:rPr>
                <w:rFonts w:eastAsia="Times New Roman" w:cs="Arial"/>
                <w:color w:val="000000"/>
                <w:sz w:val="16"/>
                <w:szCs w:val="16"/>
                <w:lang w:eastAsia="en-GB"/>
              </w:rPr>
            </w:pPr>
          </w:p>
        </w:tc>
        <w:tc>
          <w:tcPr>
            <w:tcW w:w="276" w:type="dxa"/>
            <w:tcBorders>
              <w:top w:val="nil"/>
              <w:left w:val="nil"/>
              <w:bottom w:val="nil"/>
              <w:right w:val="nil"/>
            </w:tcBorders>
            <w:shd w:val="clear" w:color="000000" w:fill="FFFFFF"/>
            <w:noWrap/>
            <w:vAlign w:val="center"/>
            <w:hideMark/>
          </w:tcPr>
          <w:p w14:paraId="3F7DD92A" w14:textId="4AB6EFD5" w:rsidR="00325E89" w:rsidRPr="00BE20BD" w:rsidRDefault="00325E89" w:rsidP="006F55F6">
            <w:pPr>
              <w:keepNext/>
              <w:spacing w:line="240" w:lineRule="auto"/>
              <w:jc w:val="center"/>
              <w:rPr>
                <w:rFonts w:eastAsia="Times New Roman" w:cs="Arial"/>
                <w:color w:val="000000"/>
                <w:sz w:val="16"/>
                <w:szCs w:val="16"/>
                <w:lang w:eastAsia="en-GB"/>
              </w:rPr>
            </w:pPr>
          </w:p>
        </w:tc>
        <w:tc>
          <w:tcPr>
            <w:tcW w:w="1036" w:type="dxa"/>
            <w:tcBorders>
              <w:top w:val="nil"/>
              <w:left w:val="nil"/>
              <w:bottom w:val="nil"/>
              <w:right w:val="nil"/>
            </w:tcBorders>
            <w:shd w:val="clear" w:color="000000" w:fill="D9D9D9"/>
            <w:noWrap/>
            <w:vAlign w:val="center"/>
            <w:hideMark/>
          </w:tcPr>
          <w:p w14:paraId="5A00EB69" w14:textId="671BAB06" w:rsidR="00325E89" w:rsidRPr="00BE20BD" w:rsidRDefault="00325E89" w:rsidP="006F55F6">
            <w:pPr>
              <w:keepNext/>
              <w:spacing w:line="240" w:lineRule="auto"/>
              <w:jc w:val="center"/>
              <w:rPr>
                <w:rFonts w:eastAsia="Times New Roman" w:cs="Arial"/>
                <w:color w:val="000000"/>
                <w:sz w:val="16"/>
                <w:szCs w:val="16"/>
                <w:lang w:eastAsia="en-GB"/>
              </w:rPr>
            </w:pPr>
          </w:p>
        </w:tc>
        <w:tc>
          <w:tcPr>
            <w:tcW w:w="1036" w:type="dxa"/>
            <w:tcBorders>
              <w:top w:val="nil"/>
              <w:left w:val="nil"/>
              <w:bottom w:val="nil"/>
              <w:right w:val="nil"/>
            </w:tcBorders>
            <w:shd w:val="clear" w:color="000000" w:fill="D9D9D9"/>
            <w:noWrap/>
            <w:vAlign w:val="center"/>
            <w:hideMark/>
          </w:tcPr>
          <w:p w14:paraId="7053FC19" w14:textId="2B7CED8E" w:rsidR="00325E89" w:rsidRPr="00BE20BD" w:rsidRDefault="00325E89" w:rsidP="006F55F6">
            <w:pPr>
              <w:keepNext/>
              <w:spacing w:line="240" w:lineRule="auto"/>
              <w:jc w:val="center"/>
              <w:rPr>
                <w:rFonts w:eastAsia="Times New Roman" w:cs="Arial"/>
                <w:color w:val="000000"/>
                <w:sz w:val="16"/>
                <w:szCs w:val="16"/>
                <w:lang w:eastAsia="en-GB"/>
              </w:rPr>
            </w:pPr>
          </w:p>
        </w:tc>
      </w:tr>
      <w:tr w:rsidR="00325E89" w:rsidRPr="00BE20BD" w14:paraId="09FAB618" w14:textId="77777777" w:rsidTr="00325E89">
        <w:trPr>
          <w:trHeight w:val="360"/>
        </w:trPr>
        <w:tc>
          <w:tcPr>
            <w:tcW w:w="2500" w:type="dxa"/>
            <w:tcBorders>
              <w:top w:val="nil"/>
              <w:left w:val="nil"/>
              <w:bottom w:val="nil"/>
              <w:right w:val="nil"/>
            </w:tcBorders>
            <w:shd w:val="clear" w:color="000000" w:fill="F2F2F2"/>
            <w:vAlign w:val="center"/>
            <w:hideMark/>
          </w:tcPr>
          <w:p w14:paraId="23C33E6C" w14:textId="77777777" w:rsidR="00325E89" w:rsidRPr="00BE20BD" w:rsidRDefault="00325E89" w:rsidP="00325E89">
            <w:pPr>
              <w:keepNext/>
              <w:spacing w:line="240" w:lineRule="auto"/>
              <w:rPr>
                <w:rFonts w:eastAsia="Times New Roman" w:cs="Arial"/>
                <w:color w:val="000000"/>
                <w:sz w:val="14"/>
                <w:szCs w:val="14"/>
                <w:lang w:eastAsia="en-GB"/>
              </w:rPr>
            </w:pPr>
            <w:r w:rsidRPr="00BE20BD">
              <w:rPr>
                <w:rFonts w:eastAsia="Times New Roman" w:cs="Arial"/>
                <w:color w:val="000000"/>
                <w:sz w:val="14"/>
                <w:szCs w:val="14"/>
                <w:lang w:eastAsia="en-GB"/>
              </w:rPr>
              <w:t xml:space="preserve"> of which run-off result of provisions</w:t>
            </w:r>
            <w:r w:rsidRPr="00BE20BD">
              <w:rPr>
                <w:rStyle w:val="FootnoteReference"/>
                <w:rFonts w:eastAsia="Times New Roman" w:cs="Arial"/>
                <w:color w:val="000000"/>
                <w:sz w:val="14"/>
                <w:szCs w:val="14"/>
                <w:lang w:eastAsia="en-GB"/>
              </w:rPr>
              <w:footnoteReference w:id="2"/>
            </w:r>
          </w:p>
        </w:tc>
        <w:tc>
          <w:tcPr>
            <w:tcW w:w="272" w:type="dxa"/>
            <w:tcBorders>
              <w:top w:val="nil"/>
              <w:left w:val="nil"/>
              <w:bottom w:val="nil"/>
              <w:right w:val="nil"/>
            </w:tcBorders>
            <w:shd w:val="clear" w:color="000000" w:fill="FFFFFF"/>
            <w:noWrap/>
            <w:vAlign w:val="bottom"/>
            <w:hideMark/>
          </w:tcPr>
          <w:p w14:paraId="143E87A9" w14:textId="77777777" w:rsidR="00325E89" w:rsidRPr="00BE20BD" w:rsidRDefault="00325E89" w:rsidP="00325E89">
            <w:pPr>
              <w:keepNext/>
              <w:spacing w:line="240" w:lineRule="auto"/>
              <w:rPr>
                <w:rFonts w:eastAsia="Times New Roman" w:cs="Arial"/>
                <w:color w:val="000000"/>
                <w:sz w:val="16"/>
                <w:szCs w:val="16"/>
                <w:lang w:eastAsia="en-GB"/>
              </w:rPr>
            </w:pPr>
            <w:r w:rsidRPr="00BE20BD">
              <w:rPr>
                <w:rFonts w:eastAsia="Times New Roman" w:cs="Arial"/>
                <w:color w:val="000000"/>
                <w:sz w:val="16"/>
                <w:szCs w:val="16"/>
                <w:lang w:eastAsia="en-GB"/>
              </w:rPr>
              <w:t> </w:t>
            </w:r>
          </w:p>
        </w:tc>
        <w:tc>
          <w:tcPr>
            <w:tcW w:w="1056" w:type="dxa"/>
            <w:tcBorders>
              <w:top w:val="nil"/>
              <w:left w:val="nil"/>
              <w:bottom w:val="nil"/>
              <w:right w:val="nil"/>
            </w:tcBorders>
            <w:shd w:val="clear" w:color="000000" w:fill="F2F2F2"/>
            <w:vAlign w:val="center"/>
            <w:hideMark/>
          </w:tcPr>
          <w:p w14:paraId="3DE70A61" w14:textId="77777777" w:rsidR="00325E89" w:rsidRPr="00BE20BD" w:rsidRDefault="00325E89" w:rsidP="006F55F6">
            <w:pPr>
              <w:keepNext/>
              <w:spacing w:line="240" w:lineRule="auto"/>
              <w:jc w:val="center"/>
              <w:rPr>
                <w:rFonts w:eastAsia="Times New Roman" w:cs="Arial"/>
                <w:color w:val="000000"/>
                <w:sz w:val="16"/>
                <w:szCs w:val="16"/>
                <w:lang w:eastAsia="en-GB"/>
              </w:rPr>
            </w:pPr>
            <w:r w:rsidRPr="00BE20BD">
              <w:rPr>
                <w:rFonts w:eastAsia="Times New Roman" w:cs="Arial"/>
                <w:color w:val="000000"/>
                <w:sz w:val="16"/>
                <w:szCs w:val="16"/>
                <w:lang w:eastAsia="en-GB"/>
              </w:rPr>
              <w:t>0.0</w:t>
            </w:r>
          </w:p>
        </w:tc>
        <w:tc>
          <w:tcPr>
            <w:tcW w:w="856" w:type="dxa"/>
            <w:tcBorders>
              <w:top w:val="nil"/>
              <w:left w:val="nil"/>
              <w:bottom w:val="nil"/>
              <w:right w:val="nil"/>
            </w:tcBorders>
            <w:shd w:val="clear" w:color="000000" w:fill="FFFFFF"/>
            <w:noWrap/>
            <w:vAlign w:val="center"/>
            <w:hideMark/>
          </w:tcPr>
          <w:p w14:paraId="6385F69D" w14:textId="16289B99" w:rsidR="00325E89" w:rsidRPr="00BE20BD" w:rsidRDefault="00325E89" w:rsidP="006F55F6">
            <w:pPr>
              <w:keepNext/>
              <w:spacing w:line="240" w:lineRule="auto"/>
              <w:jc w:val="center"/>
              <w:rPr>
                <w:rFonts w:eastAsia="Times New Roman" w:cs="Arial"/>
                <w:color w:val="000000"/>
                <w:sz w:val="16"/>
                <w:szCs w:val="16"/>
                <w:lang w:eastAsia="en-GB"/>
              </w:rPr>
            </w:pPr>
          </w:p>
        </w:tc>
        <w:tc>
          <w:tcPr>
            <w:tcW w:w="276" w:type="dxa"/>
            <w:tcBorders>
              <w:top w:val="nil"/>
              <w:left w:val="nil"/>
              <w:bottom w:val="nil"/>
              <w:right w:val="nil"/>
            </w:tcBorders>
            <w:shd w:val="clear" w:color="000000" w:fill="FFFFFF"/>
            <w:noWrap/>
            <w:vAlign w:val="center"/>
            <w:hideMark/>
          </w:tcPr>
          <w:p w14:paraId="2552DAE6" w14:textId="2EE5FE25" w:rsidR="00325E89" w:rsidRPr="00BE20BD" w:rsidRDefault="00325E89" w:rsidP="006F55F6">
            <w:pPr>
              <w:keepNext/>
              <w:spacing w:line="240" w:lineRule="auto"/>
              <w:jc w:val="center"/>
              <w:rPr>
                <w:rFonts w:eastAsia="Times New Roman" w:cs="Arial"/>
                <w:color w:val="000000"/>
                <w:sz w:val="14"/>
                <w:szCs w:val="14"/>
                <w:lang w:eastAsia="en-GB"/>
              </w:rPr>
            </w:pPr>
          </w:p>
        </w:tc>
        <w:tc>
          <w:tcPr>
            <w:tcW w:w="1036" w:type="dxa"/>
            <w:tcBorders>
              <w:top w:val="nil"/>
              <w:left w:val="nil"/>
              <w:bottom w:val="nil"/>
              <w:right w:val="nil"/>
            </w:tcBorders>
            <w:shd w:val="clear" w:color="000000" w:fill="F2F2F2"/>
            <w:vAlign w:val="center"/>
            <w:hideMark/>
          </w:tcPr>
          <w:p w14:paraId="76A478AD" w14:textId="77777777" w:rsidR="00325E89" w:rsidRPr="00BE20BD" w:rsidRDefault="00325E89" w:rsidP="006F55F6">
            <w:pPr>
              <w:keepNext/>
              <w:spacing w:line="240" w:lineRule="auto"/>
              <w:jc w:val="center"/>
              <w:rPr>
                <w:rFonts w:eastAsia="Times New Roman" w:cs="Arial"/>
                <w:color w:val="000000"/>
                <w:sz w:val="16"/>
                <w:szCs w:val="16"/>
                <w:lang w:eastAsia="en-GB"/>
              </w:rPr>
            </w:pPr>
            <w:r w:rsidRPr="00BE20BD">
              <w:rPr>
                <w:rFonts w:eastAsia="Times New Roman" w:cs="Arial"/>
                <w:color w:val="000000"/>
                <w:sz w:val="16"/>
                <w:szCs w:val="16"/>
                <w:lang w:eastAsia="en-GB"/>
              </w:rPr>
              <w:t>0.0</w:t>
            </w:r>
          </w:p>
        </w:tc>
        <w:tc>
          <w:tcPr>
            <w:tcW w:w="1017" w:type="dxa"/>
            <w:tcBorders>
              <w:top w:val="nil"/>
              <w:left w:val="nil"/>
              <w:bottom w:val="nil"/>
              <w:right w:val="nil"/>
            </w:tcBorders>
            <w:shd w:val="clear" w:color="000000" w:fill="F2F2F2"/>
            <w:vAlign w:val="center"/>
            <w:hideMark/>
          </w:tcPr>
          <w:p w14:paraId="1EB67DDC" w14:textId="4853A8CF" w:rsidR="00325E89" w:rsidRPr="00BE20BD" w:rsidRDefault="00325E89" w:rsidP="006F55F6">
            <w:pPr>
              <w:keepNext/>
              <w:spacing w:line="240" w:lineRule="auto"/>
              <w:jc w:val="center"/>
              <w:rPr>
                <w:rFonts w:eastAsia="Times New Roman" w:cs="Arial"/>
                <w:color w:val="000000"/>
                <w:sz w:val="16"/>
                <w:szCs w:val="16"/>
                <w:lang w:eastAsia="en-GB"/>
              </w:rPr>
            </w:pPr>
          </w:p>
        </w:tc>
        <w:tc>
          <w:tcPr>
            <w:tcW w:w="276" w:type="dxa"/>
            <w:tcBorders>
              <w:top w:val="nil"/>
              <w:left w:val="nil"/>
              <w:bottom w:val="nil"/>
              <w:right w:val="nil"/>
            </w:tcBorders>
            <w:shd w:val="clear" w:color="000000" w:fill="FFFFFF"/>
            <w:noWrap/>
            <w:vAlign w:val="center"/>
            <w:hideMark/>
          </w:tcPr>
          <w:p w14:paraId="5A0721E2" w14:textId="4C7FDF18" w:rsidR="00325E89" w:rsidRPr="00BE20BD" w:rsidRDefault="00325E89" w:rsidP="006F55F6">
            <w:pPr>
              <w:keepNext/>
              <w:spacing w:line="240" w:lineRule="auto"/>
              <w:jc w:val="center"/>
              <w:rPr>
                <w:rFonts w:eastAsia="Times New Roman" w:cs="Arial"/>
                <w:color w:val="000000"/>
                <w:sz w:val="14"/>
                <w:szCs w:val="14"/>
                <w:lang w:eastAsia="en-GB"/>
              </w:rPr>
            </w:pPr>
          </w:p>
        </w:tc>
        <w:tc>
          <w:tcPr>
            <w:tcW w:w="1036" w:type="dxa"/>
            <w:tcBorders>
              <w:top w:val="nil"/>
              <w:left w:val="nil"/>
              <w:bottom w:val="nil"/>
              <w:right w:val="nil"/>
            </w:tcBorders>
            <w:shd w:val="clear" w:color="000000" w:fill="F2F2F2"/>
            <w:vAlign w:val="center"/>
            <w:hideMark/>
          </w:tcPr>
          <w:p w14:paraId="5EABC772" w14:textId="77777777" w:rsidR="00325E89" w:rsidRPr="00BE20BD" w:rsidRDefault="00325E89" w:rsidP="006F55F6">
            <w:pPr>
              <w:keepNext/>
              <w:spacing w:line="240" w:lineRule="auto"/>
              <w:jc w:val="center"/>
              <w:rPr>
                <w:rFonts w:eastAsia="Times New Roman" w:cs="Arial"/>
                <w:color w:val="000000"/>
                <w:sz w:val="16"/>
                <w:szCs w:val="16"/>
                <w:lang w:eastAsia="en-GB"/>
              </w:rPr>
            </w:pPr>
            <w:r w:rsidRPr="00BE20BD">
              <w:rPr>
                <w:rFonts w:eastAsia="Times New Roman" w:cs="Arial"/>
                <w:color w:val="000000"/>
                <w:sz w:val="16"/>
                <w:szCs w:val="16"/>
                <w:lang w:eastAsia="en-GB"/>
              </w:rPr>
              <w:t>0.0</w:t>
            </w:r>
          </w:p>
        </w:tc>
        <w:tc>
          <w:tcPr>
            <w:tcW w:w="1036" w:type="dxa"/>
            <w:tcBorders>
              <w:top w:val="nil"/>
              <w:left w:val="nil"/>
              <w:bottom w:val="nil"/>
              <w:right w:val="nil"/>
            </w:tcBorders>
            <w:shd w:val="clear" w:color="000000" w:fill="F2F2F2"/>
            <w:vAlign w:val="center"/>
            <w:hideMark/>
          </w:tcPr>
          <w:p w14:paraId="7F0F5347" w14:textId="609E8A03" w:rsidR="00325E89" w:rsidRPr="00BE20BD" w:rsidRDefault="00325E89" w:rsidP="006F55F6">
            <w:pPr>
              <w:keepNext/>
              <w:spacing w:line="240" w:lineRule="auto"/>
              <w:jc w:val="center"/>
              <w:rPr>
                <w:rFonts w:eastAsia="Times New Roman" w:cs="Arial"/>
                <w:color w:val="000000"/>
                <w:sz w:val="16"/>
                <w:szCs w:val="16"/>
                <w:lang w:eastAsia="en-GB"/>
              </w:rPr>
            </w:pPr>
          </w:p>
        </w:tc>
      </w:tr>
      <w:tr w:rsidR="00325E89" w:rsidRPr="00BE20BD" w14:paraId="1EF5E37D" w14:textId="77777777" w:rsidTr="00325E89">
        <w:trPr>
          <w:trHeight w:val="250"/>
        </w:trPr>
        <w:tc>
          <w:tcPr>
            <w:tcW w:w="2500" w:type="dxa"/>
            <w:tcBorders>
              <w:top w:val="nil"/>
              <w:left w:val="nil"/>
              <w:bottom w:val="nil"/>
              <w:right w:val="nil"/>
            </w:tcBorders>
            <w:shd w:val="clear" w:color="000000" w:fill="F2F2F2"/>
            <w:vAlign w:val="center"/>
            <w:hideMark/>
          </w:tcPr>
          <w:p w14:paraId="72286E63" w14:textId="77777777" w:rsidR="00325E89" w:rsidRPr="00BE20BD" w:rsidRDefault="00325E89" w:rsidP="00325E89">
            <w:pPr>
              <w:spacing w:line="240" w:lineRule="auto"/>
              <w:rPr>
                <w:rFonts w:eastAsia="Times New Roman" w:cs="Arial"/>
                <w:color w:val="000000"/>
                <w:sz w:val="14"/>
                <w:szCs w:val="14"/>
                <w:lang w:eastAsia="en-GB"/>
              </w:rPr>
            </w:pPr>
            <w:r w:rsidRPr="00BE20BD">
              <w:rPr>
                <w:rFonts w:eastAsia="Times New Roman" w:cs="Arial"/>
                <w:color w:val="000000"/>
                <w:sz w:val="14"/>
                <w:szCs w:val="14"/>
                <w:lang w:eastAsia="en-GB"/>
              </w:rPr>
              <w:t xml:space="preserve"> of which undiscounted new business</w:t>
            </w:r>
          </w:p>
        </w:tc>
        <w:tc>
          <w:tcPr>
            <w:tcW w:w="272" w:type="dxa"/>
            <w:tcBorders>
              <w:top w:val="nil"/>
              <w:left w:val="nil"/>
              <w:bottom w:val="nil"/>
              <w:right w:val="nil"/>
            </w:tcBorders>
            <w:shd w:val="clear" w:color="000000" w:fill="FFFFFF"/>
            <w:noWrap/>
            <w:vAlign w:val="bottom"/>
            <w:hideMark/>
          </w:tcPr>
          <w:p w14:paraId="141FCA99" w14:textId="77777777" w:rsidR="00325E89" w:rsidRPr="00BE20BD" w:rsidRDefault="00325E89" w:rsidP="00325E89">
            <w:pPr>
              <w:spacing w:line="240" w:lineRule="auto"/>
              <w:rPr>
                <w:rFonts w:eastAsia="Times New Roman" w:cs="Arial"/>
                <w:color w:val="000000"/>
                <w:sz w:val="16"/>
                <w:szCs w:val="16"/>
                <w:lang w:eastAsia="en-GB"/>
              </w:rPr>
            </w:pPr>
            <w:r w:rsidRPr="00BE20BD">
              <w:rPr>
                <w:rFonts w:eastAsia="Times New Roman" w:cs="Arial"/>
                <w:color w:val="000000"/>
                <w:sz w:val="16"/>
                <w:szCs w:val="16"/>
                <w:lang w:eastAsia="en-GB"/>
              </w:rPr>
              <w:t> </w:t>
            </w:r>
          </w:p>
        </w:tc>
        <w:tc>
          <w:tcPr>
            <w:tcW w:w="1056" w:type="dxa"/>
            <w:tcBorders>
              <w:top w:val="nil"/>
              <w:left w:val="nil"/>
              <w:bottom w:val="nil"/>
              <w:right w:val="nil"/>
            </w:tcBorders>
            <w:shd w:val="clear" w:color="000000" w:fill="F2F2F2"/>
            <w:vAlign w:val="center"/>
            <w:hideMark/>
          </w:tcPr>
          <w:p w14:paraId="22AC0229" w14:textId="77777777" w:rsidR="00325E89" w:rsidRPr="00BE20BD" w:rsidRDefault="00325E89" w:rsidP="00325E89">
            <w:pPr>
              <w:spacing w:line="240" w:lineRule="auto"/>
              <w:rPr>
                <w:rFonts w:eastAsia="Times New Roman" w:cs="Arial"/>
                <w:color w:val="000000"/>
                <w:sz w:val="16"/>
                <w:szCs w:val="16"/>
                <w:lang w:eastAsia="en-GB"/>
              </w:rPr>
            </w:pPr>
            <w:r w:rsidRPr="00BE20BD">
              <w:rPr>
                <w:rFonts w:eastAsia="Times New Roman" w:cs="Arial"/>
                <w:color w:val="000000"/>
                <w:sz w:val="16"/>
                <w:szCs w:val="16"/>
                <w:lang w:eastAsia="en-GB"/>
              </w:rPr>
              <w:t> </w:t>
            </w:r>
          </w:p>
        </w:tc>
        <w:tc>
          <w:tcPr>
            <w:tcW w:w="856" w:type="dxa"/>
            <w:tcBorders>
              <w:top w:val="nil"/>
              <w:left w:val="nil"/>
              <w:bottom w:val="nil"/>
              <w:right w:val="nil"/>
            </w:tcBorders>
            <w:shd w:val="clear" w:color="000000" w:fill="FFFFFF"/>
            <w:noWrap/>
            <w:vAlign w:val="center"/>
            <w:hideMark/>
          </w:tcPr>
          <w:p w14:paraId="3BDBA9AC" w14:textId="77777777" w:rsidR="00325E89" w:rsidRPr="00BE20BD" w:rsidRDefault="00325E89" w:rsidP="00325E89">
            <w:pPr>
              <w:spacing w:line="240" w:lineRule="auto"/>
              <w:rPr>
                <w:rFonts w:eastAsia="Times New Roman" w:cs="Arial"/>
                <w:color w:val="000000"/>
                <w:sz w:val="16"/>
                <w:szCs w:val="16"/>
                <w:lang w:eastAsia="en-GB"/>
              </w:rPr>
            </w:pPr>
            <w:r w:rsidRPr="00BE20BD">
              <w:rPr>
                <w:rFonts w:eastAsia="Times New Roman" w:cs="Arial"/>
                <w:color w:val="000000"/>
                <w:sz w:val="16"/>
                <w:szCs w:val="16"/>
                <w:lang w:eastAsia="en-GB"/>
              </w:rPr>
              <w:t> </w:t>
            </w:r>
          </w:p>
        </w:tc>
        <w:tc>
          <w:tcPr>
            <w:tcW w:w="276" w:type="dxa"/>
            <w:tcBorders>
              <w:top w:val="nil"/>
              <w:left w:val="nil"/>
              <w:bottom w:val="nil"/>
              <w:right w:val="nil"/>
            </w:tcBorders>
            <w:shd w:val="clear" w:color="000000" w:fill="FFFFFF"/>
            <w:noWrap/>
            <w:vAlign w:val="center"/>
            <w:hideMark/>
          </w:tcPr>
          <w:p w14:paraId="75090FF6" w14:textId="77777777" w:rsidR="00325E89" w:rsidRPr="00BE20BD" w:rsidRDefault="00325E89" w:rsidP="00325E89">
            <w:pPr>
              <w:spacing w:line="240" w:lineRule="auto"/>
              <w:rPr>
                <w:rFonts w:eastAsia="Times New Roman" w:cs="Arial"/>
                <w:color w:val="000000"/>
                <w:sz w:val="14"/>
                <w:szCs w:val="14"/>
                <w:lang w:eastAsia="en-GB"/>
              </w:rPr>
            </w:pPr>
            <w:r w:rsidRPr="00BE20BD">
              <w:rPr>
                <w:rFonts w:eastAsia="Times New Roman" w:cs="Arial"/>
                <w:color w:val="000000"/>
                <w:sz w:val="14"/>
                <w:szCs w:val="14"/>
                <w:lang w:eastAsia="en-GB"/>
              </w:rPr>
              <w:t> </w:t>
            </w:r>
          </w:p>
        </w:tc>
        <w:tc>
          <w:tcPr>
            <w:tcW w:w="1036" w:type="dxa"/>
            <w:tcBorders>
              <w:top w:val="nil"/>
              <w:left w:val="nil"/>
              <w:bottom w:val="nil"/>
              <w:right w:val="nil"/>
            </w:tcBorders>
            <w:shd w:val="clear" w:color="000000" w:fill="F2F2F2"/>
            <w:vAlign w:val="center"/>
            <w:hideMark/>
          </w:tcPr>
          <w:p w14:paraId="77B64075" w14:textId="77777777" w:rsidR="00325E89" w:rsidRPr="00BE20BD" w:rsidRDefault="00325E89" w:rsidP="00325E89">
            <w:pPr>
              <w:spacing w:line="240" w:lineRule="auto"/>
              <w:rPr>
                <w:rFonts w:eastAsia="Times New Roman" w:cs="Arial"/>
                <w:color w:val="000000"/>
                <w:sz w:val="16"/>
                <w:szCs w:val="16"/>
                <w:lang w:eastAsia="en-GB"/>
              </w:rPr>
            </w:pPr>
            <w:r w:rsidRPr="00BE20BD">
              <w:rPr>
                <w:rFonts w:eastAsia="Times New Roman" w:cs="Arial"/>
                <w:color w:val="000000"/>
                <w:sz w:val="16"/>
                <w:szCs w:val="16"/>
                <w:lang w:eastAsia="en-GB"/>
              </w:rPr>
              <w:t> </w:t>
            </w:r>
          </w:p>
        </w:tc>
        <w:tc>
          <w:tcPr>
            <w:tcW w:w="1017" w:type="dxa"/>
            <w:tcBorders>
              <w:top w:val="nil"/>
              <w:left w:val="nil"/>
              <w:bottom w:val="nil"/>
              <w:right w:val="nil"/>
            </w:tcBorders>
            <w:shd w:val="clear" w:color="000000" w:fill="F2F2F2"/>
            <w:vAlign w:val="center"/>
            <w:hideMark/>
          </w:tcPr>
          <w:p w14:paraId="25D3BE85" w14:textId="77777777" w:rsidR="00325E89" w:rsidRPr="00BE20BD" w:rsidRDefault="00325E89" w:rsidP="00325E89">
            <w:pPr>
              <w:spacing w:line="240" w:lineRule="auto"/>
              <w:rPr>
                <w:rFonts w:eastAsia="Times New Roman" w:cs="Arial"/>
                <w:color w:val="000000"/>
                <w:sz w:val="16"/>
                <w:szCs w:val="16"/>
                <w:lang w:eastAsia="en-GB"/>
              </w:rPr>
            </w:pPr>
            <w:r w:rsidRPr="00BE20BD">
              <w:rPr>
                <w:rFonts w:eastAsia="Times New Roman" w:cs="Arial"/>
                <w:color w:val="000000"/>
                <w:sz w:val="16"/>
                <w:szCs w:val="16"/>
                <w:lang w:eastAsia="en-GB"/>
              </w:rPr>
              <w:t> </w:t>
            </w:r>
          </w:p>
        </w:tc>
        <w:tc>
          <w:tcPr>
            <w:tcW w:w="276" w:type="dxa"/>
            <w:tcBorders>
              <w:top w:val="nil"/>
              <w:left w:val="nil"/>
              <w:bottom w:val="nil"/>
              <w:right w:val="nil"/>
            </w:tcBorders>
            <w:shd w:val="clear" w:color="000000" w:fill="FFFFFF"/>
            <w:noWrap/>
            <w:vAlign w:val="center"/>
            <w:hideMark/>
          </w:tcPr>
          <w:p w14:paraId="4740AB17" w14:textId="77777777" w:rsidR="00325E89" w:rsidRPr="00BE20BD" w:rsidRDefault="00325E89" w:rsidP="00325E89">
            <w:pPr>
              <w:spacing w:line="240" w:lineRule="auto"/>
              <w:rPr>
                <w:rFonts w:eastAsia="Times New Roman" w:cs="Arial"/>
                <w:color w:val="000000"/>
                <w:sz w:val="14"/>
                <w:szCs w:val="14"/>
                <w:lang w:eastAsia="en-GB"/>
              </w:rPr>
            </w:pPr>
            <w:r w:rsidRPr="00BE20BD">
              <w:rPr>
                <w:rFonts w:eastAsia="Times New Roman" w:cs="Arial"/>
                <w:color w:val="000000"/>
                <w:sz w:val="14"/>
                <w:szCs w:val="14"/>
                <w:lang w:eastAsia="en-GB"/>
              </w:rPr>
              <w:t> </w:t>
            </w:r>
          </w:p>
        </w:tc>
        <w:tc>
          <w:tcPr>
            <w:tcW w:w="1036" w:type="dxa"/>
            <w:tcBorders>
              <w:top w:val="nil"/>
              <w:left w:val="nil"/>
              <w:bottom w:val="nil"/>
              <w:right w:val="nil"/>
            </w:tcBorders>
            <w:shd w:val="clear" w:color="000000" w:fill="F2F2F2"/>
            <w:vAlign w:val="center"/>
            <w:hideMark/>
          </w:tcPr>
          <w:p w14:paraId="16F062BB" w14:textId="77777777" w:rsidR="00325E89" w:rsidRPr="00BE20BD" w:rsidRDefault="00325E89" w:rsidP="00325E89">
            <w:pPr>
              <w:spacing w:line="240" w:lineRule="auto"/>
              <w:rPr>
                <w:rFonts w:eastAsia="Times New Roman" w:cs="Arial"/>
                <w:color w:val="000000"/>
                <w:sz w:val="16"/>
                <w:szCs w:val="16"/>
                <w:lang w:eastAsia="en-GB"/>
              </w:rPr>
            </w:pPr>
            <w:r w:rsidRPr="00BE20BD">
              <w:rPr>
                <w:rFonts w:eastAsia="Times New Roman" w:cs="Arial"/>
                <w:color w:val="000000"/>
                <w:sz w:val="16"/>
                <w:szCs w:val="16"/>
                <w:lang w:eastAsia="en-GB"/>
              </w:rPr>
              <w:t> </w:t>
            </w:r>
          </w:p>
        </w:tc>
        <w:tc>
          <w:tcPr>
            <w:tcW w:w="1036" w:type="dxa"/>
            <w:tcBorders>
              <w:top w:val="nil"/>
              <w:left w:val="nil"/>
              <w:bottom w:val="nil"/>
              <w:right w:val="nil"/>
            </w:tcBorders>
            <w:shd w:val="clear" w:color="000000" w:fill="F2F2F2"/>
            <w:vAlign w:val="center"/>
            <w:hideMark/>
          </w:tcPr>
          <w:p w14:paraId="1F085D74" w14:textId="77777777" w:rsidR="00325E89" w:rsidRPr="00BE20BD" w:rsidRDefault="00325E89" w:rsidP="00325E89">
            <w:pPr>
              <w:spacing w:line="240" w:lineRule="auto"/>
              <w:rPr>
                <w:rFonts w:eastAsia="Times New Roman" w:cs="Arial"/>
                <w:color w:val="000000"/>
                <w:sz w:val="16"/>
                <w:szCs w:val="16"/>
                <w:lang w:eastAsia="en-GB"/>
              </w:rPr>
            </w:pPr>
            <w:r w:rsidRPr="00BE20BD">
              <w:rPr>
                <w:rFonts w:eastAsia="Times New Roman" w:cs="Arial"/>
                <w:color w:val="000000"/>
                <w:sz w:val="16"/>
                <w:szCs w:val="16"/>
                <w:lang w:eastAsia="en-GB"/>
              </w:rPr>
              <w:t> </w:t>
            </w:r>
          </w:p>
        </w:tc>
      </w:tr>
    </w:tbl>
    <w:p w14:paraId="5A24FCAA" w14:textId="77777777" w:rsidR="00E820EF" w:rsidRPr="00BE20BD" w:rsidRDefault="00E820EF" w:rsidP="00E820EF">
      <w:pPr>
        <w:pStyle w:val="FINMAStandardAbsatz"/>
      </w:pPr>
      <w:r w:rsidRPr="00BE20BD">
        <w:t xml:space="preserve">Explanations on the reasons for the deviations between </w:t>
      </w:r>
    </w:p>
    <w:p w14:paraId="57FDDFD2" w14:textId="77777777" w:rsidR="00E820EF" w:rsidRPr="00BE20BD" w:rsidRDefault="00E820EF" w:rsidP="00E820EF">
      <w:pPr>
        <w:pStyle w:val="FINMAAufzhlungEbene2"/>
        <w:numPr>
          <w:ilvl w:val="0"/>
          <w:numId w:val="23"/>
        </w:numPr>
        <w:ind w:left="765" w:hanging="357"/>
      </w:pPr>
      <w:r w:rsidRPr="00BE20BD">
        <w:t>the most recent re-estimate and the expected undiscounted result of previous years and</w:t>
      </w:r>
    </w:p>
    <w:p w14:paraId="418061DE" w14:textId="77777777" w:rsidR="00E820EF" w:rsidRPr="00BE20BD" w:rsidRDefault="00E820EF" w:rsidP="00E820EF">
      <w:pPr>
        <w:pStyle w:val="FINMAAufzhlungEbene2"/>
        <w:numPr>
          <w:ilvl w:val="0"/>
          <w:numId w:val="23"/>
        </w:numPr>
        <w:ind w:left="765" w:hanging="357"/>
      </w:pPr>
      <w:r w:rsidRPr="00BE20BD">
        <w:t>the expected undiscounted result of last year's SST and this year's SST</w:t>
      </w:r>
    </w:p>
    <w:p w14:paraId="75374EAC" w14:textId="77777777" w:rsidR="00E820EF" w:rsidRPr="00BE20BD" w:rsidRDefault="00E820EF" w:rsidP="00E820EF">
      <w:pPr>
        <w:pStyle w:val="FINMAStandardAbsatz"/>
      </w:pPr>
      <w:r w:rsidRPr="00BE20BD">
        <w:t>indicating the main drivers (run-off losses vs new claims; currency rate changes or inflation assumptions, etc.).</w:t>
      </w:r>
    </w:p>
    <w:p w14:paraId="4FF084BE" w14:textId="292CD7B0" w:rsidR="00EB058A" w:rsidRPr="00BE20BD" w:rsidRDefault="00577F25" w:rsidP="00D60D73">
      <w:pPr>
        <w:pStyle w:val="Heading2"/>
      </w:pPr>
      <w:bookmarkStart w:id="76" w:name="_Toc148445966"/>
      <w:bookmarkStart w:id="77" w:name="_Ref525134375"/>
      <w:bookmarkStart w:id="78" w:name="_Toc534297773"/>
      <w:r w:rsidRPr="00BE20BD">
        <w:t>Effect of the scenarios and additional effects on the target capital</w:t>
      </w:r>
      <w:bookmarkEnd w:id="76"/>
    </w:p>
    <w:p w14:paraId="6DB971AB" w14:textId="77777777" w:rsidR="00EB058A" w:rsidRPr="00BE20BD" w:rsidRDefault="00EB058A" w:rsidP="00D60D73">
      <w:pPr>
        <w:pStyle w:val="Heading3"/>
      </w:pPr>
      <w:bookmarkStart w:id="79" w:name="_Toc148445967"/>
      <w:r w:rsidRPr="00BE20BD">
        <w:t>Scenarios that have been aggregated</w:t>
      </w:r>
      <w:bookmarkEnd w:id="79"/>
    </w:p>
    <w:p w14:paraId="7E4AA501" w14:textId="58378D89" w:rsidR="00EB058A" w:rsidRPr="00BE20BD" w:rsidRDefault="00EB058A" w:rsidP="00D60D73">
      <w:pPr>
        <w:pStyle w:val="FINMAStandardAbsatz"/>
        <w:rPr>
          <w:szCs w:val="22"/>
        </w:rPr>
      </w:pPr>
      <w:r w:rsidRPr="00BE20BD">
        <w:t>Provide a list with a description of scenarios that have been aggregated, particularly the company-specific assumptions; motivation for the aggregation, link to any risk concentrations, sensitivity analysis of the impact of the scenarios on target capital (with/without scenario), indication of whether these are own scenarios or scenarios specified by FINMA.</w:t>
      </w:r>
    </w:p>
    <w:p w14:paraId="10A9092F" w14:textId="5AF90D1A" w:rsidR="00EB058A" w:rsidRPr="00BE20BD" w:rsidRDefault="00EB058A" w:rsidP="00D60D73">
      <w:pPr>
        <w:pStyle w:val="FINMAStandardAbsatz"/>
        <w:rPr>
          <w:szCs w:val="22"/>
        </w:rPr>
      </w:pPr>
      <w:r w:rsidRPr="00BE20BD">
        <w:t xml:space="preserve">If no scenarios have been aggregated, please confirm this explicitly in the interests of clarity: </w:t>
      </w:r>
      <w:r w:rsidRPr="00BE20BD">
        <w:rPr>
          <w:i/>
          <w:szCs w:val="22"/>
        </w:rPr>
        <w:t>“We did not aggregate any scenarios in the SST</w:t>
      </w:r>
      <w:r w:rsidR="007B41EF" w:rsidRPr="00BE20BD">
        <w:rPr>
          <w:i/>
          <w:szCs w:val="22"/>
        </w:rPr>
        <w:t xml:space="preserve"> </w:t>
      </w:r>
      <w:r w:rsidR="00596C13" w:rsidRPr="00BE20BD">
        <w:rPr>
          <w:i/>
          <w:szCs w:val="22"/>
        </w:rPr>
        <w:t>202</w:t>
      </w:r>
      <w:r w:rsidR="00EA28F4" w:rsidRPr="00BE20BD">
        <w:rPr>
          <w:i/>
          <w:szCs w:val="22"/>
        </w:rPr>
        <w:t>4</w:t>
      </w:r>
      <w:r w:rsidRPr="00BE20BD">
        <w:rPr>
          <w:i/>
          <w:szCs w:val="22"/>
        </w:rPr>
        <w:t>.”</w:t>
      </w:r>
    </w:p>
    <w:p w14:paraId="3FD20041" w14:textId="726DD3B3" w:rsidR="00EB058A" w:rsidRPr="00BE20BD" w:rsidRDefault="00467B47" w:rsidP="00D60D73">
      <w:pPr>
        <w:pStyle w:val="Heading3"/>
      </w:pPr>
      <w:bookmarkStart w:id="80" w:name="_Toc148445968"/>
      <w:r w:rsidRPr="00BE20BD">
        <w:lastRenderedPageBreak/>
        <w:t xml:space="preserve">Additional effects </w:t>
      </w:r>
      <w:bookmarkEnd w:id="80"/>
    </w:p>
    <w:p w14:paraId="76608F95" w14:textId="61D271DA" w:rsidR="00EB058A" w:rsidRPr="00BE20BD" w:rsidRDefault="00EB058A" w:rsidP="00D60D73">
      <w:pPr>
        <w:pStyle w:val="FINMAStandardAbsatz"/>
        <w:rPr>
          <w:szCs w:val="22"/>
        </w:rPr>
      </w:pPr>
      <w:r w:rsidRPr="00BE20BD">
        <w:t xml:space="preserve">If </w:t>
      </w:r>
      <w:r w:rsidR="00467B47" w:rsidRPr="00BE20BD">
        <w:t xml:space="preserve">risk-absorbing capital </w:t>
      </w:r>
      <w:r w:rsidRPr="00BE20BD">
        <w:t xml:space="preserve">instruments are held, influence of these instruments on the target capital (with/without instruments). </w:t>
      </w:r>
    </w:p>
    <w:p w14:paraId="21F8758E" w14:textId="42F6E78A" w:rsidR="00467B47" w:rsidRPr="00BE20BD" w:rsidRDefault="00467B47" w:rsidP="00D60D73">
      <w:pPr>
        <w:pStyle w:val="FINMAStandardAbsatz"/>
        <w:rPr>
          <w:iCs/>
        </w:rPr>
      </w:pPr>
      <w:r w:rsidRPr="00BE20BD">
        <w:rPr>
          <w:iCs/>
        </w:rPr>
        <w:t>Any other impact on target capital.</w:t>
      </w:r>
    </w:p>
    <w:p w14:paraId="03DB50EF" w14:textId="4D133042" w:rsidR="00E02925" w:rsidRPr="00BE20BD" w:rsidRDefault="00E02925" w:rsidP="00D60D73">
      <w:pPr>
        <w:pStyle w:val="StyleHeading1"/>
      </w:pPr>
      <w:bookmarkStart w:id="81" w:name="_Toc148445970"/>
      <w:bookmarkEnd w:id="77"/>
      <w:bookmarkEnd w:id="78"/>
      <w:r w:rsidRPr="00BE20BD">
        <w:t>Scenarios that have not been aggregated</w:t>
      </w:r>
      <w:bookmarkEnd w:id="81"/>
    </w:p>
    <w:p w14:paraId="0FBC99FF" w14:textId="490AB9B0" w:rsidR="00E02925" w:rsidRPr="00BE20BD" w:rsidRDefault="00E02925" w:rsidP="00D60D73">
      <w:pPr>
        <w:pStyle w:val="FINMAStandardAbsatz"/>
      </w:pPr>
      <w:r w:rsidRPr="00BE20BD">
        <w:t xml:space="preserve">List of all scenarios analysed but not aggregated with an indication of whether these scenarios were </w:t>
      </w:r>
      <w:r w:rsidR="00917578" w:rsidRPr="00BE20BD">
        <w:t xml:space="preserve">predefined </w:t>
      </w:r>
      <w:r w:rsidRPr="00BE20BD">
        <w:t xml:space="preserve">or are the company’s own. Description of scenarios, particularly the company-specific assumptions. Impact of the scenarios in isolation. </w:t>
      </w:r>
    </w:p>
    <w:p w14:paraId="6608CF35" w14:textId="19BB1874" w:rsidR="00762BD0" w:rsidRPr="00BE20BD" w:rsidRDefault="00472B28" w:rsidP="00D60D73">
      <w:pPr>
        <w:pStyle w:val="StyleHeading1"/>
        <w:numPr>
          <w:ilvl w:val="0"/>
          <w:numId w:val="0"/>
        </w:numPr>
        <w:ind w:left="432" w:hanging="432"/>
      </w:pPr>
      <w:bookmarkStart w:id="82" w:name="_Toc148445971"/>
      <w:r w:rsidRPr="00BE20BD">
        <w:t>Appendix</w:t>
      </w:r>
      <w:bookmarkEnd w:id="82"/>
    </w:p>
    <w:p w14:paraId="793DAB32" w14:textId="3606BF50" w:rsidR="00764F4B" w:rsidRPr="00BE20BD" w:rsidRDefault="00764F4B" w:rsidP="00D60D73">
      <w:pPr>
        <w:pStyle w:val="FINMAStandardAbsatz"/>
      </w:pPr>
      <w:r w:rsidRPr="00BE20BD">
        <w:t xml:space="preserve">Optional. List of any further documentation with a brief description of each. These documents are not part of the SST reporting within the meaning of margin number 162. </w:t>
      </w:r>
    </w:p>
    <w:p w14:paraId="4489BB8A" w14:textId="71E0C7C5" w:rsidR="00D0047A" w:rsidRPr="00FD3DDC" w:rsidRDefault="00764F4B" w:rsidP="00D60D73">
      <w:pPr>
        <w:pStyle w:val="FINMAStandardAbsatz"/>
      </w:pPr>
      <w:r w:rsidRPr="00BE20BD">
        <w:rPr>
          <w:i/>
        </w:rPr>
        <w:t>&lt;Please only send this documentation if explicitly requested by FINMA to do so.&gt;</w:t>
      </w:r>
    </w:p>
    <w:sectPr w:rsidR="00D0047A" w:rsidRPr="00FD3DDC" w:rsidSect="00CA3068">
      <w:footerReference w:type="default" r:id="rId13"/>
      <w:headerReference w:type="first" r:id="rId14"/>
      <w:footerReference w:type="first" r:id="rId15"/>
      <w:type w:val="continuous"/>
      <w:pgSz w:w="11906" w:h="16838" w:code="9"/>
      <w:pgMar w:top="1945" w:right="1134" w:bottom="2126" w:left="1695" w:header="284" w:footer="36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C0003" w14:textId="77777777" w:rsidR="00C46699" w:rsidRDefault="00C46699">
      <w:r>
        <w:separator/>
      </w:r>
    </w:p>
  </w:endnote>
  <w:endnote w:type="continuationSeparator" w:id="0">
    <w:p w14:paraId="22C4CD88" w14:textId="77777777" w:rsidR="00C46699" w:rsidRDefault="00C4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0646" w14:textId="1A2DA802" w:rsidR="00C46699" w:rsidRDefault="00C46699" w:rsidP="003C58C6">
    <w:pPr>
      <w:pStyle w:val="Footer"/>
      <w:tabs>
        <w:tab w:val="clear" w:pos="8618"/>
        <w:tab w:val="right" w:pos="9639"/>
      </w:tabs>
    </w:pPr>
    <w:r>
      <w:rPr>
        <w:sz w:val="12"/>
        <w:szCs w:val="12"/>
      </w:rPr>
      <w:t xml:space="preserve">     </w:t>
    </w:r>
    <w:r>
      <w:tab/>
    </w:r>
    <w:r>
      <w:fldChar w:fldCharType="begin"/>
    </w:r>
    <w:r>
      <w:instrText xml:space="preserve"> PAGE </w:instrText>
    </w:r>
    <w:r>
      <w:fldChar w:fldCharType="separate"/>
    </w:r>
    <w:r>
      <w:rPr>
        <w:noProof/>
      </w:rPr>
      <w:t>17</w:t>
    </w:r>
    <w:r>
      <w:fldChar w:fldCharType="end"/>
    </w:r>
    <w:r>
      <w:t>/</w:t>
    </w:r>
    <w:fldSimple w:instr=" NUMPAGES ">
      <w:r>
        <w:rPr>
          <w:noProof/>
        </w:rPr>
        <w:t>17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8A158" w14:textId="15DC42C3" w:rsidR="00C46699" w:rsidRPr="008754C2" w:rsidRDefault="00C46699" w:rsidP="003C58C6">
    <w:pPr>
      <w:pStyle w:val="Footer"/>
      <w:spacing w:line="240"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3603A" w14:textId="77777777" w:rsidR="00C46699" w:rsidRDefault="00C46699">
      <w:r>
        <w:separator/>
      </w:r>
    </w:p>
  </w:footnote>
  <w:footnote w:type="continuationSeparator" w:id="0">
    <w:p w14:paraId="4731A601" w14:textId="77777777" w:rsidR="00C46699" w:rsidRDefault="00C46699">
      <w:r>
        <w:continuationSeparator/>
      </w:r>
    </w:p>
  </w:footnote>
  <w:footnote w:id="1">
    <w:p w14:paraId="545ECF7C" w14:textId="19B9E6D7" w:rsidR="002B3995" w:rsidRPr="002B3995" w:rsidRDefault="002B3995" w:rsidP="006014F8">
      <w:pPr>
        <w:pStyle w:val="FootnoteText"/>
      </w:pPr>
      <w:r>
        <w:rPr>
          <w:rStyle w:val="FootnoteReference"/>
        </w:rPr>
        <w:footnoteRef/>
      </w:r>
      <w:r>
        <w:t xml:space="preserve"> </w:t>
      </w:r>
      <w:r w:rsidR="006014F8">
        <w:t>RAK: risk-absorbing capital instruments</w:t>
      </w:r>
    </w:p>
  </w:footnote>
  <w:footnote w:id="2">
    <w:p w14:paraId="65D21232" w14:textId="75DB825B" w:rsidR="00325E89" w:rsidRPr="008C3A65" w:rsidRDefault="00325E89" w:rsidP="00E820EF">
      <w:pPr>
        <w:pStyle w:val="FootnoteText"/>
      </w:pPr>
      <w:r w:rsidRPr="00BE20BD">
        <w:rPr>
          <w:rStyle w:val="FootnoteReference"/>
        </w:rPr>
        <w:footnoteRef/>
      </w:r>
      <w:r w:rsidRPr="00BE20BD">
        <w:t xml:space="preserve"> Run-off result = reserves as at the </w:t>
      </w:r>
      <w:r w:rsidR="00B477E8" w:rsidRPr="00BE20BD">
        <w:t xml:space="preserve">SST </w:t>
      </w:r>
      <w:r w:rsidRPr="00BE20BD">
        <w:t xml:space="preserve">reference date </w:t>
      </w:r>
      <w:r w:rsidR="00EB0525" w:rsidRPr="00BE20BD">
        <w:t xml:space="preserve">– </w:t>
      </w:r>
      <w:r w:rsidRPr="00BE20BD">
        <w:t xml:space="preserve">claims payments </w:t>
      </w:r>
      <w:r w:rsidR="00EB0525" w:rsidRPr="00BE20BD">
        <w:t xml:space="preserve">– </w:t>
      </w:r>
      <w:r w:rsidRPr="00BE20BD">
        <w:t>reserves as at the status for the underwriting/claims years before the respective SST reference 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888"/>
      <w:gridCol w:w="4888"/>
    </w:tblGrid>
    <w:tr w:rsidR="00C46699" w14:paraId="00911D9F" w14:textId="77777777" w:rsidTr="00C04F1D">
      <w:trPr>
        <w:trHeight w:val="2041"/>
      </w:trPr>
      <w:tc>
        <w:tcPr>
          <w:tcW w:w="4888" w:type="dxa"/>
        </w:tcPr>
        <w:p w14:paraId="5C061121" w14:textId="77777777" w:rsidR="00C46699" w:rsidRPr="00F72549" w:rsidRDefault="00C46699" w:rsidP="006D29B0"/>
      </w:tc>
      <w:tc>
        <w:tcPr>
          <w:tcW w:w="4888" w:type="dxa"/>
        </w:tcPr>
        <w:p w14:paraId="6FCC02B7" w14:textId="48702456" w:rsidR="00C46699" w:rsidRDefault="00C46699">
          <w:pPr>
            <w:pStyle w:val="Header"/>
          </w:pPr>
        </w:p>
      </w:tc>
    </w:tr>
  </w:tbl>
  <w:p w14:paraId="5A2A090B" w14:textId="77777777" w:rsidR="00C46699" w:rsidRPr="00AE46EB" w:rsidRDefault="00C46699" w:rsidP="003C58C6">
    <w:pPr>
      <w:pStyle w:val="Header"/>
      <w:spacing w:after="120" w:line="240" w:lineRule="auto"/>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E184CB2"/>
    <w:lvl w:ilvl="0">
      <w:numFmt w:val="decimal"/>
      <w:lvlText w:val="*"/>
      <w:lvlJc w:val="left"/>
      <w:pPr>
        <w:ind w:left="0" w:firstLine="0"/>
      </w:pPr>
    </w:lvl>
  </w:abstractNum>
  <w:abstractNum w:abstractNumId="1" w15:restartNumberingAfterBreak="0">
    <w:nsid w:val="073F3C82"/>
    <w:multiLevelType w:val="hybridMultilevel"/>
    <w:tmpl w:val="08E6C1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8014259"/>
    <w:multiLevelType w:val="hybridMultilevel"/>
    <w:tmpl w:val="D6924CCA"/>
    <w:lvl w:ilvl="0" w:tplc="E786A350">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89C0827"/>
    <w:multiLevelType w:val="multilevel"/>
    <w:tmpl w:val="938269BC"/>
    <w:lvl w:ilvl="0">
      <w:numFmt w:val="decimal"/>
      <w:pStyle w:val="Heading1"/>
      <w:lvlText w:val="%1"/>
      <w:lvlJc w:val="left"/>
      <w:pPr>
        <w:tabs>
          <w:tab w:val="num" w:pos="574"/>
        </w:tabs>
        <w:ind w:left="574" w:hanging="432"/>
      </w:pPr>
      <w:rPr>
        <w:rFonts w:hint="default"/>
      </w:rPr>
    </w:lvl>
    <w:lvl w:ilvl="1">
      <w:start w:val="1"/>
      <w:numFmt w:val="decimal"/>
      <w:pStyle w:val="Heading2"/>
      <w:lvlText w:val="%1.%2"/>
      <w:lvlJc w:val="left"/>
      <w:pPr>
        <w:tabs>
          <w:tab w:val="num" w:pos="1285"/>
        </w:tabs>
        <w:ind w:left="1285" w:hanging="576"/>
      </w:pPr>
      <w:rPr>
        <w:rFonts w:hint="default"/>
      </w:rPr>
    </w:lvl>
    <w:lvl w:ilvl="2">
      <w:start w:val="1"/>
      <w:numFmt w:val="decimal"/>
      <w:pStyle w:val="Heading3"/>
      <w:lvlText w:val="%1.%2.%3"/>
      <w:lvlJc w:val="left"/>
      <w:pPr>
        <w:tabs>
          <w:tab w:val="num" w:pos="6107"/>
        </w:tabs>
        <w:ind w:left="6107"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tentative="1">
      <w:start w:val="1"/>
      <w:numFmt w:val="bullet"/>
      <w:lvlText w:val="o"/>
      <w:lvlJc w:val="left"/>
      <w:pPr>
        <w:ind w:left="1848" w:hanging="360"/>
      </w:pPr>
      <w:rPr>
        <w:rFonts w:ascii="Courier New" w:hAnsi="Courier New" w:cs="Courier New" w:hint="default"/>
      </w:rPr>
    </w:lvl>
    <w:lvl w:ilvl="2" w:tplc="08070005" w:tentative="1">
      <w:start w:val="1"/>
      <w:numFmt w:val="bullet"/>
      <w:lvlText w:val=""/>
      <w:lvlJc w:val="left"/>
      <w:pPr>
        <w:ind w:left="2568" w:hanging="360"/>
      </w:pPr>
      <w:rPr>
        <w:rFonts w:ascii="Wingdings" w:hAnsi="Wingdings" w:hint="default"/>
      </w:rPr>
    </w:lvl>
    <w:lvl w:ilvl="3" w:tplc="08070001" w:tentative="1">
      <w:start w:val="1"/>
      <w:numFmt w:val="bullet"/>
      <w:lvlText w:val=""/>
      <w:lvlJc w:val="left"/>
      <w:pPr>
        <w:ind w:left="3288" w:hanging="360"/>
      </w:pPr>
      <w:rPr>
        <w:rFonts w:ascii="Symbol" w:hAnsi="Symbol" w:hint="default"/>
      </w:rPr>
    </w:lvl>
    <w:lvl w:ilvl="4" w:tplc="08070003" w:tentative="1">
      <w:start w:val="1"/>
      <w:numFmt w:val="bullet"/>
      <w:lvlText w:val="o"/>
      <w:lvlJc w:val="left"/>
      <w:pPr>
        <w:ind w:left="4008" w:hanging="360"/>
      </w:pPr>
      <w:rPr>
        <w:rFonts w:ascii="Courier New" w:hAnsi="Courier New" w:cs="Courier New" w:hint="default"/>
      </w:rPr>
    </w:lvl>
    <w:lvl w:ilvl="5" w:tplc="08070005" w:tentative="1">
      <w:start w:val="1"/>
      <w:numFmt w:val="bullet"/>
      <w:lvlText w:val=""/>
      <w:lvlJc w:val="left"/>
      <w:pPr>
        <w:ind w:left="4728" w:hanging="360"/>
      </w:pPr>
      <w:rPr>
        <w:rFonts w:ascii="Wingdings" w:hAnsi="Wingdings" w:hint="default"/>
      </w:rPr>
    </w:lvl>
    <w:lvl w:ilvl="6" w:tplc="08070001" w:tentative="1">
      <w:start w:val="1"/>
      <w:numFmt w:val="bullet"/>
      <w:lvlText w:val=""/>
      <w:lvlJc w:val="left"/>
      <w:pPr>
        <w:ind w:left="5448" w:hanging="360"/>
      </w:pPr>
      <w:rPr>
        <w:rFonts w:ascii="Symbol" w:hAnsi="Symbol" w:hint="default"/>
      </w:rPr>
    </w:lvl>
    <w:lvl w:ilvl="7" w:tplc="08070003" w:tentative="1">
      <w:start w:val="1"/>
      <w:numFmt w:val="bullet"/>
      <w:lvlText w:val="o"/>
      <w:lvlJc w:val="left"/>
      <w:pPr>
        <w:ind w:left="6168" w:hanging="360"/>
      </w:pPr>
      <w:rPr>
        <w:rFonts w:ascii="Courier New" w:hAnsi="Courier New" w:cs="Courier New" w:hint="default"/>
      </w:rPr>
    </w:lvl>
    <w:lvl w:ilvl="8" w:tplc="08070005" w:tentative="1">
      <w:start w:val="1"/>
      <w:numFmt w:val="bullet"/>
      <w:lvlText w:val=""/>
      <w:lvlJc w:val="left"/>
      <w:pPr>
        <w:ind w:left="6888" w:hanging="360"/>
      </w:pPr>
      <w:rPr>
        <w:rFonts w:ascii="Wingdings" w:hAnsi="Wingdings" w:hint="default"/>
      </w:rPr>
    </w:lvl>
  </w:abstractNum>
  <w:abstractNum w:abstractNumId="5" w15:restartNumberingAfterBreak="0">
    <w:nsid w:val="0C136D78"/>
    <w:multiLevelType w:val="hybridMultilevel"/>
    <w:tmpl w:val="A32667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A4F0962"/>
    <w:multiLevelType w:val="hybridMultilevel"/>
    <w:tmpl w:val="4E7A25F4"/>
    <w:lvl w:ilvl="0" w:tplc="C37012C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ED2232C"/>
    <w:multiLevelType w:val="hybridMultilevel"/>
    <w:tmpl w:val="FAD46156"/>
    <w:lvl w:ilvl="0" w:tplc="F20EBA80">
      <w:start w:val="1"/>
      <w:numFmt w:val="bullet"/>
      <w:lvlText w:val=""/>
      <w:lvlJc w:val="left"/>
      <w:pPr>
        <w:ind w:left="1769" w:hanging="360"/>
      </w:pPr>
      <w:rPr>
        <w:rFonts w:ascii="Symbol" w:hAnsi="Symbol" w:hint="default"/>
        <w:sz w:val="20"/>
      </w:rPr>
    </w:lvl>
    <w:lvl w:ilvl="1" w:tplc="08070003" w:tentative="1">
      <w:start w:val="1"/>
      <w:numFmt w:val="bullet"/>
      <w:lvlText w:val="o"/>
      <w:lvlJc w:val="left"/>
      <w:pPr>
        <w:ind w:left="2489" w:hanging="360"/>
      </w:pPr>
      <w:rPr>
        <w:rFonts w:ascii="Courier New" w:hAnsi="Courier New" w:cs="Courier New" w:hint="default"/>
      </w:rPr>
    </w:lvl>
    <w:lvl w:ilvl="2" w:tplc="08070005" w:tentative="1">
      <w:start w:val="1"/>
      <w:numFmt w:val="bullet"/>
      <w:lvlText w:val=""/>
      <w:lvlJc w:val="left"/>
      <w:pPr>
        <w:ind w:left="3209" w:hanging="360"/>
      </w:pPr>
      <w:rPr>
        <w:rFonts w:ascii="Wingdings" w:hAnsi="Wingdings" w:hint="default"/>
      </w:rPr>
    </w:lvl>
    <w:lvl w:ilvl="3" w:tplc="08070001" w:tentative="1">
      <w:start w:val="1"/>
      <w:numFmt w:val="bullet"/>
      <w:lvlText w:val=""/>
      <w:lvlJc w:val="left"/>
      <w:pPr>
        <w:ind w:left="3929" w:hanging="360"/>
      </w:pPr>
      <w:rPr>
        <w:rFonts w:ascii="Symbol" w:hAnsi="Symbol" w:hint="default"/>
      </w:rPr>
    </w:lvl>
    <w:lvl w:ilvl="4" w:tplc="08070003" w:tentative="1">
      <w:start w:val="1"/>
      <w:numFmt w:val="bullet"/>
      <w:lvlText w:val="o"/>
      <w:lvlJc w:val="left"/>
      <w:pPr>
        <w:ind w:left="4649" w:hanging="360"/>
      </w:pPr>
      <w:rPr>
        <w:rFonts w:ascii="Courier New" w:hAnsi="Courier New" w:cs="Courier New" w:hint="default"/>
      </w:rPr>
    </w:lvl>
    <w:lvl w:ilvl="5" w:tplc="08070005" w:tentative="1">
      <w:start w:val="1"/>
      <w:numFmt w:val="bullet"/>
      <w:lvlText w:val=""/>
      <w:lvlJc w:val="left"/>
      <w:pPr>
        <w:ind w:left="5369" w:hanging="360"/>
      </w:pPr>
      <w:rPr>
        <w:rFonts w:ascii="Wingdings" w:hAnsi="Wingdings" w:hint="default"/>
      </w:rPr>
    </w:lvl>
    <w:lvl w:ilvl="6" w:tplc="08070001" w:tentative="1">
      <w:start w:val="1"/>
      <w:numFmt w:val="bullet"/>
      <w:lvlText w:val=""/>
      <w:lvlJc w:val="left"/>
      <w:pPr>
        <w:ind w:left="6089" w:hanging="360"/>
      </w:pPr>
      <w:rPr>
        <w:rFonts w:ascii="Symbol" w:hAnsi="Symbol" w:hint="default"/>
      </w:rPr>
    </w:lvl>
    <w:lvl w:ilvl="7" w:tplc="08070003" w:tentative="1">
      <w:start w:val="1"/>
      <w:numFmt w:val="bullet"/>
      <w:lvlText w:val="o"/>
      <w:lvlJc w:val="left"/>
      <w:pPr>
        <w:ind w:left="6809" w:hanging="360"/>
      </w:pPr>
      <w:rPr>
        <w:rFonts w:ascii="Courier New" w:hAnsi="Courier New" w:cs="Courier New" w:hint="default"/>
      </w:rPr>
    </w:lvl>
    <w:lvl w:ilvl="8" w:tplc="08070005" w:tentative="1">
      <w:start w:val="1"/>
      <w:numFmt w:val="bullet"/>
      <w:lvlText w:val=""/>
      <w:lvlJc w:val="left"/>
      <w:pPr>
        <w:ind w:left="7529" w:hanging="360"/>
      </w:pPr>
      <w:rPr>
        <w:rFonts w:ascii="Wingdings" w:hAnsi="Wingdings" w:hint="default"/>
      </w:rPr>
    </w:lvl>
  </w:abstractNum>
  <w:abstractNum w:abstractNumId="8" w15:restartNumberingAfterBreak="0">
    <w:nsid w:val="1FF9571F"/>
    <w:multiLevelType w:val="hybridMultilevel"/>
    <w:tmpl w:val="122ED75E"/>
    <w:lvl w:ilvl="0" w:tplc="19BC9344">
      <w:start w:val="1"/>
      <w:numFmt w:val="lowerRoman"/>
      <w:lvlText w:val="(%1)"/>
      <w:lvlJc w:val="left"/>
      <w:pPr>
        <w:ind w:left="1429" w:hanging="720"/>
      </w:pPr>
      <w:rPr>
        <w:rFonts w:hint="default"/>
      </w:rPr>
    </w:lvl>
    <w:lvl w:ilvl="1" w:tplc="08070019">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9" w15:restartNumberingAfterBreak="0">
    <w:nsid w:val="21091258"/>
    <w:multiLevelType w:val="multilevel"/>
    <w:tmpl w:val="C9787858"/>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AC44D2C"/>
    <w:multiLevelType w:val="hybridMultilevel"/>
    <w:tmpl w:val="39303D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CB25372"/>
    <w:multiLevelType w:val="hybridMultilevel"/>
    <w:tmpl w:val="62444360"/>
    <w:lvl w:ilvl="0" w:tplc="473E9E10">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3F31FCB"/>
    <w:multiLevelType w:val="hybridMultilevel"/>
    <w:tmpl w:val="9564AEB4"/>
    <w:lvl w:ilvl="0" w:tplc="3306B302">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5F6D6F"/>
    <w:multiLevelType w:val="hybridMultilevel"/>
    <w:tmpl w:val="8A2AE2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57A4785"/>
    <w:multiLevelType w:val="hybridMultilevel"/>
    <w:tmpl w:val="EE166EC2"/>
    <w:lvl w:ilvl="0" w:tplc="F10CFFC2">
      <w:start w:val="1"/>
      <w:numFmt w:val="bullet"/>
      <w:lvlText w:val=""/>
      <w:lvlJc w:val="left"/>
      <w:pPr>
        <w:ind w:left="1440" w:hanging="360"/>
      </w:pPr>
      <w:rPr>
        <w:rFonts w:ascii="Symbol" w:hAnsi="Symbol" w:hint="default"/>
        <w:sz w:val="2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5" w15:restartNumberingAfterBreak="0">
    <w:nsid w:val="39DC6570"/>
    <w:multiLevelType w:val="hybridMultilevel"/>
    <w:tmpl w:val="9BDE31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A797EC9"/>
    <w:multiLevelType w:val="multilevel"/>
    <w:tmpl w:val="1BACF2F4"/>
    <w:lvl w:ilvl="0">
      <w:start w:val="1"/>
      <w:numFmt w:val="bullet"/>
      <w:lvlText w:val="●"/>
      <w:lvlJc w:val="left"/>
      <w:pPr>
        <w:tabs>
          <w:tab w:val="num" w:pos="1592"/>
        </w:tabs>
        <w:ind w:left="1592" w:hanging="360"/>
      </w:pPr>
      <w:rPr>
        <w:rFonts w:ascii="Microsoft Sans Serif" w:hAnsi="Microsoft Sans Serif" w:hint="default"/>
      </w:rPr>
    </w:lvl>
    <w:lvl w:ilvl="1">
      <w:start w:val="1"/>
      <w:numFmt w:val="bullet"/>
      <w:lvlText w:val=""/>
      <w:lvlJc w:val="left"/>
      <w:pPr>
        <w:tabs>
          <w:tab w:val="num" w:pos="1952"/>
        </w:tabs>
        <w:ind w:left="1952" w:hanging="360"/>
      </w:pPr>
      <w:rPr>
        <w:rFonts w:ascii="Symbol" w:hAnsi="Symbol" w:hint="default"/>
        <w:b w:val="0"/>
        <w:i w:val="0"/>
        <w:sz w:val="24"/>
      </w:rPr>
    </w:lvl>
    <w:lvl w:ilvl="2">
      <w:start w:val="1"/>
      <w:numFmt w:val="bullet"/>
      <w:lvlText w:val="-"/>
      <w:lvlJc w:val="left"/>
      <w:pPr>
        <w:tabs>
          <w:tab w:val="num" w:pos="2312"/>
        </w:tabs>
        <w:ind w:left="2312" w:hanging="360"/>
      </w:pPr>
      <w:rPr>
        <w:rFonts w:hint="default"/>
      </w:rPr>
    </w:lvl>
    <w:lvl w:ilvl="3">
      <w:start w:val="1"/>
      <w:numFmt w:val="decimal"/>
      <w:lvlText w:val="(%4)"/>
      <w:lvlJc w:val="left"/>
      <w:pPr>
        <w:tabs>
          <w:tab w:val="num" w:pos="2672"/>
        </w:tabs>
        <w:ind w:left="267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left"/>
      <w:pPr>
        <w:tabs>
          <w:tab w:val="num" w:pos="3392"/>
        </w:tabs>
        <w:ind w:left="3392" w:hanging="360"/>
      </w:pPr>
      <w:rPr>
        <w:rFonts w:hint="default"/>
      </w:rPr>
    </w:lvl>
    <w:lvl w:ilvl="6">
      <w:start w:val="1"/>
      <w:numFmt w:val="decimal"/>
      <w:lvlText w:val="%7."/>
      <w:lvlJc w:val="left"/>
      <w:pPr>
        <w:tabs>
          <w:tab w:val="num" w:pos="3752"/>
        </w:tabs>
        <w:ind w:left="3752" w:hanging="360"/>
      </w:pPr>
      <w:rPr>
        <w:rFonts w:hint="default"/>
      </w:rPr>
    </w:lvl>
    <w:lvl w:ilvl="7">
      <w:start w:val="1"/>
      <w:numFmt w:val="lowerLetter"/>
      <w:lvlText w:val="%8."/>
      <w:lvlJc w:val="left"/>
      <w:pPr>
        <w:tabs>
          <w:tab w:val="num" w:pos="4112"/>
        </w:tabs>
        <w:ind w:left="4112" w:hanging="360"/>
      </w:pPr>
      <w:rPr>
        <w:rFonts w:hint="default"/>
      </w:rPr>
    </w:lvl>
    <w:lvl w:ilvl="8">
      <w:start w:val="1"/>
      <w:numFmt w:val="lowerRoman"/>
      <w:lvlText w:val="%9."/>
      <w:lvlJc w:val="left"/>
      <w:pPr>
        <w:tabs>
          <w:tab w:val="num" w:pos="4472"/>
        </w:tabs>
        <w:ind w:left="4472" w:hanging="360"/>
      </w:pPr>
      <w:rPr>
        <w:rFonts w:hint="default"/>
      </w:rPr>
    </w:lvl>
  </w:abstractNum>
  <w:abstractNum w:abstractNumId="17" w15:restartNumberingAfterBreak="0">
    <w:nsid w:val="3B4163B2"/>
    <w:multiLevelType w:val="hybridMultilevel"/>
    <w:tmpl w:val="D37616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9E9374F"/>
    <w:multiLevelType w:val="hybridMultilevel"/>
    <w:tmpl w:val="3A38E3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A607D97"/>
    <w:multiLevelType w:val="hybridMultilevel"/>
    <w:tmpl w:val="D7462C4A"/>
    <w:lvl w:ilvl="0" w:tplc="5F5EEE46">
      <w:start w:val="1"/>
      <w:numFmt w:val="bullet"/>
      <w:pStyle w:val="FINMAAufzhlungEbene4"/>
      <w:lvlText w:val=""/>
      <w:lvlJc w:val="left"/>
      <w:pPr>
        <w:ind w:left="1769" w:hanging="360"/>
      </w:pPr>
      <w:rPr>
        <w:rFonts w:ascii="Symbol" w:hAnsi="Symbol" w:hint="default"/>
        <w:sz w:val="20"/>
      </w:rPr>
    </w:lvl>
    <w:lvl w:ilvl="1" w:tplc="08070003" w:tentative="1">
      <w:start w:val="1"/>
      <w:numFmt w:val="bullet"/>
      <w:lvlText w:val="o"/>
      <w:lvlJc w:val="left"/>
      <w:pPr>
        <w:ind w:left="2489" w:hanging="360"/>
      </w:pPr>
      <w:rPr>
        <w:rFonts w:ascii="Courier New" w:hAnsi="Courier New" w:cs="Courier New" w:hint="default"/>
      </w:rPr>
    </w:lvl>
    <w:lvl w:ilvl="2" w:tplc="08070005" w:tentative="1">
      <w:start w:val="1"/>
      <w:numFmt w:val="bullet"/>
      <w:lvlText w:val=""/>
      <w:lvlJc w:val="left"/>
      <w:pPr>
        <w:ind w:left="3209" w:hanging="360"/>
      </w:pPr>
      <w:rPr>
        <w:rFonts w:ascii="Wingdings" w:hAnsi="Wingdings" w:hint="default"/>
      </w:rPr>
    </w:lvl>
    <w:lvl w:ilvl="3" w:tplc="08070001" w:tentative="1">
      <w:start w:val="1"/>
      <w:numFmt w:val="bullet"/>
      <w:lvlText w:val=""/>
      <w:lvlJc w:val="left"/>
      <w:pPr>
        <w:ind w:left="3929" w:hanging="360"/>
      </w:pPr>
      <w:rPr>
        <w:rFonts w:ascii="Symbol" w:hAnsi="Symbol" w:hint="default"/>
      </w:rPr>
    </w:lvl>
    <w:lvl w:ilvl="4" w:tplc="08070003" w:tentative="1">
      <w:start w:val="1"/>
      <w:numFmt w:val="bullet"/>
      <w:lvlText w:val="o"/>
      <w:lvlJc w:val="left"/>
      <w:pPr>
        <w:ind w:left="4649" w:hanging="360"/>
      </w:pPr>
      <w:rPr>
        <w:rFonts w:ascii="Courier New" w:hAnsi="Courier New" w:cs="Courier New" w:hint="default"/>
      </w:rPr>
    </w:lvl>
    <w:lvl w:ilvl="5" w:tplc="08070005" w:tentative="1">
      <w:start w:val="1"/>
      <w:numFmt w:val="bullet"/>
      <w:lvlText w:val=""/>
      <w:lvlJc w:val="left"/>
      <w:pPr>
        <w:ind w:left="5369" w:hanging="360"/>
      </w:pPr>
      <w:rPr>
        <w:rFonts w:ascii="Wingdings" w:hAnsi="Wingdings" w:hint="default"/>
      </w:rPr>
    </w:lvl>
    <w:lvl w:ilvl="6" w:tplc="08070001" w:tentative="1">
      <w:start w:val="1"/>
      <w:numFmt w:val="bullet"/>
      <w:lvlText w:val=""/>
      <w:lvlJc w:val="left"/>
      <w:pPr>
        <w:ind w:left="6089" w:hanging="360"/>
      </w:pPr>
      <w:rPr>
        <w:rFonts w:ascii="Symbol" w:hAnsi="Symbol" w:hint="default"/>
      </w:rPr>
    </w:lvl>
    <w:lvl w:ilvl="7" w:tplc="08070003" w:tentative="1">
      <w:start w:val="1"/>
      <w:numFmt w:val="bullet"/>
      <w:lvlText w:val="o"/>
      <w:lvlJc w:val="left"/>
      <w:pPr>
        <w:ind w:left="6809" w:hanging="360"/>
      </w:pPr>
      <w:rPr>
        <w:rFonts w:ascii="Courier New" w:hAnsi="Courier New" w:cs="Courier New" w:hint="default"/>
      </w:rPr>
    </w:lvl>
    <w:lvl w:ilvl="8" w:tplc="08070005" w:tentative="1">
      <w:start w:val="1"/>
      <w:numFmt w:val="bullet"/>
      <w:lvlText w:val=""/>
      <w:lvlJc w:val="left"/>
      <w:pPr>
        <w:ind w:left="7529" w:hanging="360"/>
      </w:pPr>
      <w:rPr>
        <w:rFonts w:ascii="Wingdings" w:hAnsi="Wingdings" w:hint="default"/>
      </w:rPr>
    </w:lvl>
  </w:abstractNum>
  <w:abstractNum w:abstractNumId="20" w15:restartNumberingAfterBreak="0">
    <w:nsid w:val="4C1B5CFD"/>
    <w:multiLevelType w:val="multilevel"/>
    <w:tmpl w:val="6DD2838A"/>
    <w:lvl w:ilvl="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22" w15:restartNumberingAfterBreak="0">
    <w:nsid w:val="5397003D"/>
    <w:multiLevelType w:val="hybridMultilevel"/>
    <w:tmpl w:val="69AEC8DE"/>
    <w:lvl w:ilvl="0" w:tplc="F3581A76">
      <w:start w:val="1"/>
      <w:numFmt w:val="decimal"/>
      <w:pStyle w:val="FINMAGliederungEbene5"/>
      <w:lvlText w:val="%1.1.1.1.1"/>
      <w:lvlJc w:val="left"/>
      <w:pPr>
        <w:ind w:left="360" w:hanging="360"/>
      </w:pPr>
      <w:rPr>
        <w:rFonts w:hint="default"/>
      </w:rPr>
    </w:lvl>
    <w:lvl w:ilvl="1" w:tplc="08070019" w:tentative="1">
      <w:start w:val="1"/>
      <w:numFmt w:val="lowerLetter"/>
      <w:lvlText w:val="%2."/>
      <w:lvlJc w:val="left"/>
      <w:pPr>
        <w:ind w:left="2444" w:hanging="360"/>
      </w:p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23" w15:restartNumberingAfterBreak="0">
    <w:nsid w:val="59C931DC"/>
    <w:multiLevelType w:val="hybridMultilevel"/>
    <w:tmpl w:val="FDDEEA6C"/>
    <w:lvl w:ilvl="0" w:tplc="DB5CDA7E">
      <w:start w:val="1"/>
      <w:numFmt w:val="bullet"/>
      <w:pStyle w:val="FINMAAufzhlungEbene3"/>
      <w:lvlText w:val=""/>
      <w:lvlJc w:val="left"/>
      <w:pPr>
        <w:ind w:left="1440" w:hanging="360"/>
      </w:pPr>
      <w:rPr>
        <w:rFonts w:ascii="Symbol" w:hAnsi="Symbol" w:hint="default"/>
        <w:sz w:val="2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4" w15:restartNumberingAfterBreak="0">
    <w:nsid w:val="62F23787"/>
    <w:multiLevelType w:val="multilevel"/>
    <w:tmpl w:val="053049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4333DD4"/>
    <w:multiLevelType w:val="hybridMultilevel"/>
    <w:tmpl w:val="2EE4291C"/>
    <w:lvl w:ilvl="0" w:tplc="45CC1496">
      <w:numFmt w:val="bullet"/>
      <w:lvlText w:val="-"/>
      <w:lvlJc w:val="left"/>
      <w:pPr>
        <w:ind w:left="720" w:hanging="360"/>
      </w:pPr>
      <w:rPr>
        <w:rFonts w:ascii="Arial" w:eastAsia="SimSu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49A45A8"/>
    <w:multiLevelType w:val="hybridMultilevel"/>
    <w:tmpl w:val="E09693A8"/>
    <w:lvl w:ilvl="0" w:tplc="9A8A15DA">
      <w:start w:val="1"/>
      <w:numFmt w:val="bullet"/>
      <w:lvlText w:val=""/>
      <w:lvlJc w:val="left"/>
      <w:pPr>
        <w:ind w:left="2129" w:hanging="360"/>
      </w:pPr>
      <w:rPr>
        <w:rFonts w:ascii="Symbol" w:hAnsi="Symbol" w:hint="default"/>
      </w:rPr>
    </w:lvl>
    <w:lvl w:ilvl="1" w:tplc="08070003" w:tentative="1">
      <w:start w:val="1"/>
      <w:numFmt w:val="bullet"/>
      <w:lvlText w:val="o"/>
      <w:lvlJc w:val="left"/>
      <w:pPr>
        <w:ind w:left="2849" w:hanging="360"/>
      </w:pPr>
      <w:rPr>
        <w:rFonts w:ascii="Courier New" w:hAnsi="Courier New" w:cs="Courier New" w:hint="default"/>
      </w:rPr>
    </w:lvl>
    <w:lvl w:ilvl="2" w:tplc="08070005" w:tentative="1">
      <w:start w:val="1"/>
      <w:numFmt w:val="bullet"/>
      <w:lvlText w:val=""/>
      <w:lvlJc w:val="left"/>
      <w:pPr>
        <w:ind w:left="3569" w:hanging="360"/>
      </w:pPr>
      <w:rPr>
        <w:rFonts w:ascii="Wingdings" w:hAnsi="Wingdings" w:hint="default"/>
      </w:rPr>
    </w:lvl>
    <w:lvl w:ilvl="3" w:tplc="08070001" w:tentative="1">
      <w:start w:val="1"/>
      <w:numFmt w:val="bullet"/>
      <w:lvlText w:val=""/>
      <w:lvlJc w:val="left"/>
      <w:pPr>
        <w:ind w:left="4289" w:hanging="360"/>
      </w:pPr>
      <w:rPr>
        <w:rFonts w:ascii="Symbol" w:hAnsi="Symbol" w:hint="default"/>
      </w:rPr>
    </w:lvl>
    <w:lvl w:ilvl="4" w:tplc="08070003" w:tentative="1">
      <w:start w:val="1"/>
      <w:numFmt w:val="bullet"/>
      <w:lvlText w:val="o"/>
      <w:lvlJc w:val="left"/>
      <w:pPr>
        <w:ind w:left="5009" w:hanging="360"/>
      </w:pPr>
      <w:rPr>
        <w:rFonts w:ascii="Courier New" w:hAnsi="Courier New" w:cs="Courier New" w:hint="default"/>
      </w:rPr>
    </w:lvl>
    <w:lvl w:ilvl="5" w:tplc="08070005" w:tentative="1">
      <w:start w:val="1"/>
      <w:numFmt w:val="bullet"/>
      <w:lvlText w:val=""/>
      <w:lvlJc w:val="left"/>
      <w:pPr>
        <w:ind w:left="5729" w:hanging="360"/>
      </w:pPr>
      <w:rPr>
        <w:rFonts w:ascii="Wingdings" w:hAnsi="Wingdings" w:hint="default"/>
      </w:rPr>
    </w:lvl>
    <w:lvl w:ilvl="6" w:tplc="08070001" w:tentative="1">
      <w:start w:val="1"/>
      <w:numFmt w:val="bullet"/>
      <w:lvlText w:val=""/>
      <w:lvlJc w:val="left"/>
      <w:pPr>
        <w:ind w:left="6449" w:hanging="360"/>
      </w:pPr>
      <w:rPr>
        <w:rFonts w:ascii="Symbol" w:hAnsi="Symbol" w:hint="default"/>
      </w:rPr>
    </w:lvl>
    <w:lvl w:ilvl="7" w:tplc="08070003" w:tentative="1">
      <w:start w:val="1"/>
      <w:numFmt w:val="bullet"/>
      <w:lvlText w:val="o"/>
      <w:lvlJc w:val="left"/>
      <w:pPr>
        <w:ind w:left="7169" w:hanging="360"/>
      </w:pPr>
      <w:rPr>
        <w:rFonts w:ascii="Courier New" w:hAnsi="Courier New" w:cs="Courier New" w:hint="default"/>
      </w:rPr>
    </w:lvl>
    <w:lvl w:ilvl="8" w:tplc="08070005" w:tentative="1">
      <w:start w:val="1"/>
      <w:numFmt w:val="bullet"/>
      <w:lvlText w:val=""/>
      <w:lvlJc w:val="left"/>
      <w:pPr>
        <w:ind w:left="7889" w:hanging="360"/>
      </w:pPr>
      <w:rPr>
        <w:rFonts w:ascii="Wingdings" w:hAnsi="Wingdings" w:hint="default"/>
      </w:rPr>
    </w:lvl>
  </w:abstractNum>
  <w:abstractNum w:abstractNumId="27" w15:restartNumberingAfterBreak="0">
    <w:nsid w:val="64FB3D93"/>
    <w:multiLevelType w:val="hybridMultilevel"/>
    <w:tmpl w:val="19CAD606"/>
    <w:lvl w:ilvl="0" w:tplc="53403248">
      <w:start w:val="1"/>
      <w:numFmt w:val="bullet"/>
      <w:lvlText w:val=""/>
      <w:lvlJc w:val="left"/>
      <w:pPr>
        <w:ind w:left="768" w:hanging="360"/>
      </w:pPr>
      <w:rPr>
        <w:rFonts w:ascii="Symbol" w:hAnsi="Symbol" w:hint="default"/>
        <w:sz w:val="20"/>
      </w:rPr>
    </w:lvl>
    <w:lvl w:ilvl="1" w:tplc="08070003" w:tentative="1">
      <w:start w:val="1"/>
      <w:numFmt w:val="bullet"/>
      <w:lvlText w:val="o"/>
      <w:lvlJc w:val="left"/>
      <w:pPr>
        <w:ind w:left="1848" w:hanging="360"/>
      </w:pPr>
      <w:rPr>
        <w:rFonts w:ascii="Courier New" w:hAnsi="Courier New" w:cs="Courier New" w:hint="default"/>
      </w:rPr>
    </w:lvl>
    <w:lvl w:ilvl="2" w:tplc="08070005" w:tentative="1">
      <w:start w:val="1"/>
      <w:numFmt w:val="bullet"/>
      <w:lvlText w:val=""/>
      <w:lvlJc w:val="left"/>
      <w:pPr>
        <w:ind w:left="2568" w:hanging="360"/>
      </w:pPr>
      <w:rPr>
        <w:rFonts w:ascii="Wingdings" w:hAnsi="Wingdings" w:hint="default"/>
      </w:rPr>
    </w:lvl>
    <w:lvl w:ilvl="3" w:tplc="08070001" w:tentative="1">
      <w:start w:val="1"/>
      <w:numFmt w:val="bullet"/>
      <w:lvlText w:val=""/>
      <w:lvlJc w:val="left"/>
      <w:pPr>
        <w:ind w:left="3288" w:hanging="360"/>
      </w:pPr>
      <w:rPr>
        <w:rFonts w:ascii="Symbol" w:hAnsi="Symbol" w:hint="default"/>
      </w:rPr>
    </w:lvl>
    <w:lvl w:ilvl="4" w:tplc="08070003" w:tentative="1">
      <w:start w:val="1"/>
      <w:numFmt w:val="bullet"/>
      <w:lvlText w:val="o"/>
      <w:lvlJc w:val="left"/>
      <w:pPr>
        <w:ind w:left="4008" w:hanging="360"/>
      </w:pPr>
      <w:rPr>
        <w:rFonts w:ascii="Courier New" w:hAnsi="Courier New" w:cs="Courier New" w:hint="default"/>
      </w:rPr>
    </w:lvl>
    <w:lvl w:ilvl="5" w:tplc="08070005" w:tentative="1">
      <w:start w:val="1"/>
      <w:numFmt w:val="bullet"/>
      <w:lvlText w:val=""/>
      <w:lvlJc w:val="left"/>
      <w:pPr>
        <w:ind w:left="4728" w:hanging="360"/>
      </w:pPr>
      <w:rPr>
        <w:rFonts w:ascii="Wingdings" w:hAnsi="Wingdings" w:hint="default"/>
      </w:rPr>
    </w:lvl>
    <w:lvl w:ilvl="6" w:tplc="08070001" w:tentative="1">
      <w:start w:val="1"/>
      <w:numFmt w:val="bullet"/>
      <w:lvlText w:val=""/>
      <w:lvlJc w:val="left"/>
      <w:pPr>
        <w:ind w:left="5448" w:hanging="360"/>
      </w:pPr>
      <w:rPr>
        <w:rFonts w:ascii="Symbol" w:hAnsi="Symbol" w:hint="default"/>
      </w:rPr>
    </w:lvl>
    <w:lvl w:ilvl="7" w:tplc="08070003" w:tentative="1">
      <w:start w:val="1"/>
      <w:numFmt w:val="bullet"/>
      <w:lvlText w:val="o"/>
      <w:lvlJc w:val="left"/>
      <w:pPr>
        <w:ind w:left="6168" w:hanging="360"/>
      </w:pPr>
      <w:rPr>
        <w:rFonts w:ascii="Courier New" w:hAnsi="Courier New" w:cs="Courier New" w:hint="default"/>
      </w:rPr>
    </w:lvl>
    <w:lvl w:ilvl="8" w:tplc="08070005" w:tentative="1">
      <w:start w:val="1"/>
      <w:numFmt w:val="bullet"/>
      <w:lvlText w:val=""/>
      <w:lvlJc w:val="left"/>
      <w:pPr>
        <w:ind w:left="6888" w:hanging="360"/>
      </w:pPr>
      <w:rPr>
        <w:rFonts w:ascii="Wingdings" w:hAnsi="Wingdings" w:hint="default"/>
      </w:rPr>
    </w:lvl>
  </w:abstractNum>
  <w:abstractNum w:abstractNumId="28" w15:restartNumberingAfterBreak="0">
    <w:nsid w:val="681E187D"/>
    <w:multiLevelType w:val="hybridMultilevel"/>
    <w:tmpl w:val="6F0EDF10"/>
    <w:lvl w:ilvl="0" w:tplc="58BC97AA">
      <w:start w:val="1"/>
      <w:numFmt w:val="bullet"/>
      <w:lvlText w:val=""/>
      <w:lvlJc w:val="left"/>
      <w:pPr>
        <w:ind w:left="1800" w:hanging="360"/>
      </w:pPr>
      <w:rPr>
        <w:rFonts w:ascii="Symbol" w:hAnsi="Symbol"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29" w15:restartNumberingAfterBreak="0">
    <w:nsid w:val="6BE461E3"/>
    <w:multiLevelType w:val="hybridMultilevel"/>
    <w:tmpl w:val="1B108C8A"/>
    <w:lvl w:ilvl="0" w:tplc="08070001">
      <w:start w:val="1"/>
      <w:numFmt w:val="bullet"/>
      <w:lvlText w:val=""/>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30" w15:restartNumberingAfterBreak="0">
    <w:nsid w:val="6F223802"/>
    <w:multiLevelType w:val="hybridMultilevel"/>
    <w:tmpl w:val="E602A2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7E71F2B"/>
    <w:multiLevelType w:val="hybridMultilevel"/>
    <w:tmpl w:val="DA6277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8E53705"/>
    <w:multiLevelType w:val="hybridMultilevel"/>
    <w:tmpl w:val="E0C811B0"/>
    <w:lvl w:ilvl="0" w:tplc="90720CC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C3F6373"/>
    <w:multiLevelType w:val="hybridMultilevel"/>
    <w:tmpl w:val="FE42F418"/>
    <w:lvl w:ilvl="0" w:tplc="085E8072">
      <w:start w:val="1"/>
      <w:numFmt w:val="bullet"/>
      <w:lvlText w:val=""/>
      <w:lvlJc w:val="left"/>
      <w:pPr>
        <w:ind w:left="1128" w:hanging="360"/>
      </w:pPr>
      <w:rPr>
        <w:rFonts w:ascii="Symbol" w:hAnsi="Symbol" w:hint="default"/>
      </w:rPr>
    </w:lvl>
    <w:lvl w:ilvl="1" w:tplc="08070003" w:tentative="1">
      <w:start w:val="1"/>
      <w:numFmt w:val="bullet"/>
      <w:lvlText w:val="o"/>
      <w:lvlJc w:val="left"/>
      <w:pPr>
        <w:ind w:left="1848" w:hanging="360"/>
      </w:pPr>
      <w:rPr>
        <w:rFonts w:ascii="Courier New" w:hAnsi="Courier New" w:cs="Courier New" w:hint="default"/>
      </w:rPr>
    </w:lvl>
    <w:lvl w:ilvl="2" w:tplc="08070005" w:tentative="1">
      <w:start w:val="1"/>
      <w:numFmt w:val="bullet"/>
      <w:lvlText w:val=""/>
      <w:lvlJc w:val="left"/>
      <w:pPr>
        <w:ind w:left="2568" w:hanging="360"/>
      </w:pPr>
      <w:rPr>
        <w:rFonts w:ascii="Wingdings" w:hAnsi="Wingdings" w:hint="default"/>
      </w:rPr>
    </w:lvl>
    <w:lvl w:ilvl="3" w:tplc="08070001" w:tentative="1">
      <w:start w:val="1"/>
      <w:numFmt w:val="bullet"/>
      <w:lvlText w:val=""/>
      <w:lvlJc w:val="left"/>
      <w:pPr>
        <w:ind w:left="3288" w:hanging="360"/>
      </w:pPr>
      <w:rPr>
        <w:rFonts w:ascii="Symbol" w:hAnsi="Symbol" w:hint="default"/>
      </w:rPr>
    </w:lvl>
    <w:lvl w:ilvl="4" w:tplc="08070003" w:tentative="1">
      <w:start w:val="1"/>
      <w:numFmt w:val="bullet"/>
      <w:lvlText w:val="o"/>
      <w:lvlJc w:val="left"/>
      <w:pPr>
        <w:ind w:left="4008" w:hanging="360"/>
      </w:pPr>
      <w:rPr>
        <w:rFonts w:ascii="Courier New" w:hAnsi="Courier New" w:cs="Courier New" w:hint="default"/>
      </w:rPr>
    </w:lvl>
    <w:lvl w:ilvl="5" w:tplc="08070005" w:tentative="1">
      <w:start w:val="1"/>
      <w:numFmt w:val="bullet"/>
      <w:lvlText w:val=""/>
      <w:lvlJc w:val="left"/>
      <w:pPr>
        <w:ind w:left="4728" w:hanging="360"/>
      </w:pPr>
      <w:rPr>
        <w:rFonts w:ascii="Wingdings" w:hAnsi="Wingdings" w:hint="default"/>
      </w:rPr>
    </w:lvl>
    <w:lvl w:ilvl="6" w:tplc="08070001" w:tentative="1">
      <w:start w:val="1"/>
      <w:numFmt w:val="bullet"/>
      <w:lvlText w:val=""/>
      <w:lvlJc w:val="left"/>
      <w:pPr>
        <w:ind w:left="5448" w:hanging="360"/>
      </w:pPr>
      <w:rPr>
        <w:rFonts w:ascii="Symbol" w:hAnsi="Symbol" w:hint="default"/>
      </w:rPr>
    </w:lvl>
    <w:lvl w:ilvl="7" w:tplc="08070003" w:tentative="1">
      <w:start w:val="1"/>
      <w:numFmt w:val="bullet"/>
      <w:lvlText w:val="o"/>
      <w:lvlJc w:val="left"/>
      <w:pPr>
        <w:ind w:left="6168" w:hanging="360"/>
      </w:pPr>
      <w:rPr>
        <w:rFonts w:ascii="Courier New" w:hAnsi="Courier New" w:cs="Courier New" w:hint="default"/>
      </w:rPr>
    </w:lvl>
    <w:lvl w:ilvl="8" w:tplc="08070005" w:tentative="1">
      <w:start w:val="1"/>
      <w:numFmt w:val="bullet"/>
      <w:lvlText w:val=""/>
      <w:lvlJc w:val="left"/>
      <w:pPr>
        <w:ind w:left="6888" w:hanging="360"/>
      </w:pPr>
      <w:rPr>
        <w:rFonts w:ascii="Wingdings" w:hAnsi="Wingdings" w:hint="default"/>
      </w:rPr>
    </w:lvl>
  </w:abstractNum>
  <w:num w:numId="1" w16cid:durableId="2083871058">
    <w:abstractNumId w:val="0"/>
    <w:lvlOverride w:ilvl="0">
      <w:lvl w:ilvl="0">
        <w:numFmt w:val="bullet"/>
        <w:lvlText w:val=""/>
        <w:lvlJc w:val="left"/>
        <w:pPr>
          <w:tabs>
            <w:tab w:val="num" w:pos="717"/>
          </w:tabs>
          <w:ind w:left="640" w:hanging="283"/>
        </w:pPr>
        <w:rPr>
          <w:rFonts w:ascii="Symbol" w:hAnsi="Symbol" w:hint="default"/>
          <w:sz w:val="28"/>
        </w:rPr>
      </w:lvl>
    </w:lvlOverride>
  </w:num>
  <w:num w:numId="2" w16cid:durableId="1272127994">
    <w:abstractNumId w:val="16"/>
  </w:num>
  <w:num w:numId="3" w16cid:durableId="1956015165">
    <w:abstractNumId w:val="21"/>
  </w:num>
  <w:num w:numId="4" w16cid:durableId="1512598026">
    <w:abstractNumId w:val="27"/>
  </w:num>
  <w:num w:numId="5" w16cid:durableId="746342835">
    <w:abstractNumId w:val="14"/>
  </w:num>
  <w:num w:numId="6" w16cid:durableId="1350107342">
    <w:abstractNumId w:val="7"/>
  </w:num>
  <w:num w:numId="7" w16cid:durableId="1887598475">
    <w:abstractNumId w:val="9"/>
  </w:num>
  <w:num w:numId="8" w16cid:durableId="1859350604">
    <w:abstractNumId w:val="12"/>
  </w:num>
  <w:num w:numId="9" w16cid:durableId="1052342856">
    <w:abstractNumId w:val="3"/>
  </w:num>
  <w:num w:numId="10" w16cid:durableId="569923885">
    <w:abstractNumId w:val="15"/>
  </w:num>
  <w:num w:numId="11" w16cid:durableId="620455817">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44403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5311636">
    <w:abstractNumId w:val="6"/>
  </w:num>
  <w:num w:numId="14" w16cid:durableId="591860156">
    <w:abstractNumId w:val="33"/>
  </w:num>
  <w:num w:numId="15" w16cid:durableId="578174276">
    <w:abstractNumId w:val="28"/>
  </w:num>
  <w:num w:numId="16" w16cid:durableId="2047020260">
    <w:abstractNumId w:val="26"/>
  </w:num>
  <w:num w:numId="17" w16cid:durableId="555242304">
    <w:abstractNumId w:val="32"/>
  </w:num>
  <w:num w:numId="18" w16cid:durableId="1544516306">
    <w:abstractNumId w:val="9"/>
  </w:num>
  <w:num w:numId="19" w16cid:durableId="1683358279">
    <w:abstractNumId w:val="9"/>
  </w:num>
  <w:num w:numId="20" w16cid:durableId="1126125294">
    <w:abstractNumId w:val="9"/>
  </w:num>
  <w:num w:numId="21" w16cid:durableId="1483765929">
    <w:abstractNumId w:val="9"/>
  </w:num>
  <w:num w:numId="22" w16cid:durableId="1867475855">
    <w:abstractNumId w:val="21"/>
  </w:num>
  <w:num w:numId="23" w16cid:durableId="1466853331">
    <w:abstractNumId w:val="4"/>
  </w:num>
  <w:num w:numId="24" w16cid:durableId="1910651340">
    <w:abstractNumId w:val="23"/>
  </w:num>
  <w:num w:numId="25" w16cid:durableId="690692614">
    <w:abstractNumId w:val="19"/>
  </w:num>
  <w:num w:numId="26" w16cid:durableId="1447308848">
    <w:abstractNumId w:val="9"/>
  </w:num>
  <w:num w:numId="27" w16cid:durableId="500589643">
    <w:abstractNumId w:val="9"/>
  </w:num>
  <w:num w:numId="28" w16cid:durableId="851803640">
    <w:abstractNumId w:val="9"/>
  </w:num>
  <w:num w:numId="29" w16cid:durableId="266013064">
    <w:abstractNumId w:val="9"/>
  </w:num>
  <w:num w:numId="30" w16cid:durableId="1983924845">
    <w:abstractNumId w:val="4"/>
  </w:num>
  <w:num w:numId="31" w16cid:durableId="1860967698">
    <w:abstractNumId w:val="22"/>
  </w:num>
  <w:num w:numId="32" w16cid:durableId="1273441508">
    <w:abstractNumId w:val="20"/>
  </w:num>
  <w:num w:numId="33" w16cid:durableId="46736137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245082">
    <w:abstractNumId w:val="18"/>
  </w:num>
  <w:num w:numId="35" w16cid:durableId="1638338427">
    <w:abstractNumId w:val="3"/>
  </w:num>
  <w:num w:numId="36" w16cid:durableId="258294318">
    <w:abstractNumId w:val="25"/>
  </w:num>
  <w:num w:numId="37" w16cid:durableId="576869332">
    <w:abstractNumId w:val="3"/>
  </w:num>
  <w:num w:numId="38" w16cid:durableId="933174926">
    <w:abstractNumId w:val="3"/>
  </w:num>
  <w:num w:numId="39" w16cid:durableId="1904490483">
    <w:abstractNumId w:val="8"/>
  </w:num>
  <w:num w:numId="40" w16cid:durableId="1301377972">
    <w:abstractNumId w:val="13"/>
  </w:num>
  <w:num w:numId="41" w16cid:durableId="692920554">
    <w:abstractNumId w:val="31"/>
  </w:num>
  <w:num w:numId="42" w16cid:durableId="668946878">
    <w:abstractNumId w:val="1"/>
  </w:num>
  <w:num w:numId="43" w16cid:durableId="537157573">
    <w:abstractNumId w:val="5"/>
  </w:num>
  <w:num w:numId="44" w16cid:durableId="1080446953">
    <w:abstractNumId w:val="17"/>
  </w:num>
  <w:num w:numId="45" w16cid:durableId="593173256">
    <w:abstractNumId w:val="10"/>
  </w:num>
  <w:num w:numId="46" w16cid:durableId="1415322383">
    <w:abstractNumId w:val="30"/>
  </w:num>
  <w:num w:numId="47" w16cid:durableId="1235386261">
    <w:abstractNumId w:val="3"/>
  </w:num>
  <w:num w:numId="48" w16cid:durableId="133202517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46378541">
    <w:abstractNumId w:val="11"/>
  </w:num>
  <w:num w:numId="50" w16cid:durableId="188752848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DateAndTime/>
  <w:hideSpellingErrors/>
  <w:hideGrammaticalErrors/>
  <w:activeWritingStyle w:appName="MSWord" w:lang="de-CH" w:vendorID="64" w:dllVersion="6" w:nlCheck="1" w:checkStyle="0"/>
  <w:activeWritingStyle w:appName="MSWord" w:lang="fr-CH" w:vendorID="64" w:dllVersion="6" w:nlCheck="1" w:checkStyle="0"/>
  <w:activeWritingStyle w:appName="MSWord" w:lang="en-US" w:vendorID="64" w:dllVersion="6" w:nlCheck="1" w:checkStyle="1"/>
  <w:activeWritingStyle w:appName="MSWord" w:lang="it-IT" w:vendorID="64" w:dllVersion="6" w:nlCheck="1" w:checkStyle="0"/>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de-CH" w:vendorID="64" w:dllVersion="0" w:nlCheck="1" w:checkStyle="0"/>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WINDOWS\Temp\1\ADR_COO.2075.100.4.413716.DOC"/>
    <w:odso/>
  </w:mailMerge>
  <w:defaultTabStop w:val="709"/>
  <w:autoHyphenation/>
  <w:hyphenationZone w:val="425"/>
  <w:doNotHyphenateCaps/>
  <w:drawingGridHorizontalSpacing w:val="110"/>
  <w:displayHorizontalDrawingGridEvery w:val="2"/>
  <w:noPunctuationKerning/>
  <w:characterSpacingControl w:val="doNotCompress"/>
  <w:hdrShapeDefaults>
    <o:shapedefaults v:ext="edit" spidmax="267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E2A"/>
    <w:rsid w:val="00001197"/>
    <w:rsid w:val="000011ED"/>
    <w:rsid w:val="00002353"/>
    <w:rsid w:val="00002811"/>
    <w:rsid w:val="00002C8B"/>
    <w:rsid w:val="00003889"/>
    <w:rsid w:val="00005C09"/>
    <w:rsid w:val="00010475"/>
    <w:rsid w:val="0001063E"/>
    <w:rsid w:val="00011FD8"/>
    <w:rsid w:val="000129D4"/>
    <w:rsid w:val="00012B80"/>
    <w:rsid w:val="0001338C"/>
    <w:rsid w:val="0001726D"/>
    <w:rsid w:val="00017765"/>
    <w:rsid w:val="00017B7E"/>
    <w:rsid w:val="000215D7"/>
    <w:rsid w:val="0002698E"/>
    <w:rsid w:val="0002720E"/>
    <w:rsid w:val="0002788F"/>
    <w:rsid w:val="00027CF3"/>
    <w:rsid w:val="00030271"/>
    <w:rsid w:val="00030445"/>
    <w:rsid w:val="0003081B"/>
    <w:rsid w:val="00030910"/>
    <w:rsid w:val="00030AA3"/>
    <w:rsid w:val="00032048"/>
    <w:rsid w:val="000327E0"/>
    <w:rsid w:val="000328E0"/>
    <w:rsid w:val="00033001"/>
    <w:rsid w:val="00033682"/>
    <w:rsid w:val="00035248"/>
    <w:rsid w:val="000360ED"/>
    <w:rsid w:val="00037ABE"/>
    <w:rsid w:val="0004070D"/>
    <w:rsid w:val="00041D8B"/>
    <w:rsid w:val="000422F3"/>
    <w:rsid w:val="0004334B"/>
    <w:rsid w:val="000435FD"/>
    <w:rsid w:val="00043913"/>
    <w:rsid w:val="000451CB"/>
    <w:rsid w:val="00046350"/>
    <w:rsid w:val="000465CF"/>
    <w:rsid w:val="000467CF"/>
    <w:rsid w:val="0004728B"/>
    <w:rsid w:val="000473BC"/>
    <w:rsid w:val="00047D1A"/>
    <w:rsid w:val="00047FC2"/>
    <w:rsid w:val="0005034D"/>
    <w:rsid w:val="000516A3"/>
    <w:rsid w:val="0005296A"/>
    <w:rsid w:val="00052A0B"/>
    <w:rsid w:val="00052F76"/>
    <w:rsid w:val="00053CF3"/>
    <w:rsid w:val="000549F3"/>
    <w:rsid w:val="00054F24"/>
    <w:rsid w:val="00054FC9"/>
    <w:rsid w:val="00060DE9"/>
    <w:rsid w:val="00061EEF"/>
    <w:rsid w:val="00062982"/>
    <w:rsid w:val="00065943"/>
    <w:rsid w:val="00067162"/>
    <w:rsid w:val="00067918"/>
    <w:rsid w:val="00067A85"/>
    <w:rsid w:val="00067C65"/>
    <w:rsid w:val="000702B8"/>
    <w:rsid w:val="0007215A"/>
    <w:rsid w:val="00072834"/>
    <w:rsid w:val="00072B06"/>
    <w:rsid w:val="000731B6"/>
    <w:rsid w:val="0007339A"/>
    <w:rsid w:val="0007446E"/>
    <w:rsid w:val="000749D1"/>
    <w:rsid w:val="0007738A"/>
    <w:rsid w:val="00077ED2"/>
    <w:rsid w:val="00081824"/>
    <w:rsid w:val="00083164"/>
    <w:rsid w:val="00083BF6"/>
    <w:rsid w:val="000848B2"/>
    <w:rsid w:val="00085234"/>
    <w:rsid w:val="00085DA3"/>
    <w:rsid w:val="0008601A"/>
    <w:rsid w:val="00087BD3"/>
    <w:rsid w:val="00090A58"/>
    <w:rsid w:val="00091A5E"/>
    <w:rsid w:val="00091AC8"/>
    <w:rsid w:val="0009202F"/>
    <w:rsid w:val="000924CC"/>
    <w:rsid w:val="000927A6"/>
    <w:rsid w:val="00092BD4"/>
    <w:rsid w:val="00092C2F"/>
    <w:rsid w:val="00092D67"/>
    <w:rsid w:val="00094416"/>
    <w:rsid w:val="0009494D"/>
    <w:rsid w:val="00094E54"/>
    <w:rsid w:val="00096595"/>
    <w:rsid w:val="0009703C"/>
    <w:rsid w:val="00097FE7"/>
    <w:rsid w:val="000A07B6"/>
    <w:rsid w:val="000A10D1"/>
    <w:rsid w:val="000A4DE3"/>
    <w:rsid w:val="000A5629"/>
    <w:rsid w:val="000A5BF3"/>
    <w:rsid w:val="000A66A7"/>
    <w:rsid w:val="000A7B20"/>
    <w:rsid w:val="000B052E"/>
    <w:rsid w:val="000B1216"/>
    <w:rsid w:val="000B2CE5"/>
    <w:rsid w:val="000B2F1C"/>
    <w:rsid w:val="000B30BB"/>
    <w:rsid w:val="000B7AA8"/>
    <w:rsid w:val="000C0F79"/>
    <w:rsid w:val="000C2BEE"/>
    <w:rsid w:val="000C329A"/>
    <w:rsid w:val="000C3533"/>
    <w:rsid w:val="000C4F08"/>
    <w:rsid w:val="000C54AF"/>
    <w:rsid w:val="000C60A2"/>
    <w:rsid w:val="000C61CB"/>
    <w:rsid w:val="000C6DAC"/>
    <w:rsid w:val="000D0BCA"/>
    <w:rsid w:val="000D0F79"/>
    <w:rsid w:val="000D1F72"/>
    <w:rsid w:val="000D226B"/>
    <w:rsid w:val="000D2BA1"/>
    <w:rsid w:val="000D3713"/>
    <w:rsid w:val="000D378B"/>
    <w:rsid w:val="000D4927"/>
    <w:rsid w:val="000D4E87"/>
    <w:rsid w:val="000D4EEF"/>
    <w:rsid w:val="000D5D94"/>
    <w:rsid w:val="000D7F7F"/>
    <w:rsid w:val="000E3521"/>
    <w:rsid w:val="000E35DF"/>
    <w:rsid w:val="000E36C0"/>
    <w:rsid w:val="000E4660"/>
    <w:rsid w:val="000E54D3"/>
    <w:rsid w:val="000E5750"/>
    <w:rsid w:val="000E6985"/>
    <w:rsid w:val="000F03BD"/>
    <w:rsid w:val="000F091F"/>
    <w:rsid w:val="000F3F63"/>
    <w:rsid w:val="000F4988"/>
    <w:rsid w:val="000F4ED0"/>
    <w:rsid w:val="000F5F4C"/>
    <w:rsid w:val="000F6892"/>
    <w:rsid w:val="000F6A92"/>
    <w:rsid w:val="000F6C1D"/>
    <w:rsid w:val="000F72FC"/>
    <w:rsid w:val="00101800"/>
    <w:rsid w:val="0010237F"/>
    <w:rsid w:val="00103FBD"/>
    <w:rsid w:val="00104035"/>
    <w:rsid w:val="00104392"/>
    <w:rsid w:val="00105BA3"/>
    <w:rsid w:val="0010731E"/>
    <w:rsid w:val="00110768"/>
    <w:rsid w:val="00111166"/>
    <w:rsid w:val="0011143E"/>
    <w:rsid w:val="00111506"/>
    <w:rsid w:val="0011312E"/>
    <w:rsid w:val="001150F2"/>
    <w:rsid w:val="00117F7C"/>
    <w:rsid w:val="00120DD3"/>
    <w:rsid w:val="00122C83"/>
    <w:rsid w:val="00123CC2"/>
    <w:rsid w:val="00124F42"/>
    <w:rsid w:val="00124F47"/>
    <w:rsid w:val="001250B6"/>
    <w:rsid w:val="001258D8"/>
    <w:rsid w:val="00127A0C"/>
    <w:rsid w:val="00127E61"/>
    <w:rsid w:val="00130767"/>
    <w:rsid w:val="001308AD"/>
    <w:rsid w:val="00130DF6"/>
    <w:rsid w:val="0013175E"/>
    <w:rsid w:val="00131A1A"/>
    <w:rsid w:val="001336ED"/>
    <w:rsid w:val="00133798"/>
    <w:rsid w:val="00134239"/>
    <w:rsid w:val="001342DE"/>
    <w:rsid w:val="00135085"/>
    <w:rsid w:val="001363D1"/>
    <w:rsid w:val="00136575"/>
    <w:rsid w:val="001371F1"/>
    <w:rsid w:val="001373B7"/>
    <w:rsid w:val="00140DA1"/>
    <w:rsid w:val="001413B3"/>
    <w:rsid w:val="001438E1"/>
    <w:rsid w:val="00145589"/>
    <w:rsid w:val="00146410"/>
    <w:rsid w:val="0015078D"/>
    <w:rsid w:val="0015101C"/>
    <w:rsid w:val="00153477"/>
    <w:rsid w:val="00153561"/>
    <w:rsid w:val="0015368C"/>
    <w:rsid w:val="00154A11"/>
    <w:rsid w:val="00156390"/>
    <w:rsid w:val="00156F11"/>
    <w:rsid w:val="00157223"/>
    <w:rsid w:val="00157537"/>
    <w:rsid w:val="001603C9"/>
    <w:rsid w:val="001606B5"/>
    <w:rsid w:val="00162407"/>
    <w:rsid w:val="00162B6D"/>
    <w:rsid w:val="00162F4F"/>
    <w:rsid w:val="0016398C"/>
    <w:rsid w:val="00163A0D"/>
    <w:rsid w:val="00163D9A"/>
    <w:rsid w:val="0016522C"/>
    <w:rsid w:val="00165710"/>
    <w:rsid w:val="001703BA"/>
    <w:rsid w:val="0017155A"/>
    <w:rsid w:val="00174E6D"/>
    <w:rsid w:val="00175918"/>
    <w:rsid w:val="00175F60"/>
    <w:rsid w:val="00176B2C"/>
    <w:rsid w:val="00176C77"/>
    <w:rsid w:val="00176F18"/>
    <w:rsid w:val="001802AE"/>
    <w:rsid w:val="00180678"/>
    <w:rsid w:val="00183D9C"/>
    <w:rsid w:val="0018434F"/>
    <w:rsid w:val="00184404"/>
    <w:rsid w:val="00184B6B"/>
    <w:rsid w:val="001858AE"/>
    <w:rsid w:val="00185B12"/>
    <w:rsid w:val="001873D9"/>
    <w:rsid w:val="001878BC"/>
    <w:rsid w:val="00187F5F"/>
    <w:rsid w:val="001930BE"/>
    <w:rsid w:val="00194D45"/>
    <w:rsid w:val="00194D73"/>
    <w:rsid w:val="001952F0"/>
    <w:rsid w:val="00196065"/>
    <w:rsid w:val="001970DB"/>
    <w:rsid w:val="00197448"/>
    <w:rsid w:val="00197C57"/>
    <w:rsid w:val="001A166B"/>
    <w:rsid w:val="001A28D6"/>
    <w:rsid w:val="001A2FE6"/>
    <w:rsid w:val="001A3360"/>
    <w:rsid w:val="001A46D7"/>
    <w:rsid w:val="001A62DE"/>
    <w:rsid w:val="001A6478"/>
    <w:rsid w:val="001A6E7F"/>
    <w:rsid w:val="001B1A71"/>
    <w:rsid w:val="001B46E4"/>
    <w:rsid w:val="001B4A8B"/>
    <w:rsid w:val="001B6F3C"/>
    <w:rsid w:val="001C0C47"/>
    <w:rsid w:val="001C1F1B"/>
    <w:rsid w:val="001C3F75"/>
    <w:rsid w:val="001C7A47"/>
    <w:rsid w:val="001D022A"/>
    <w:rsid w:val="001D1195"/>
    <w:rsid w:val="001D2F7D"/>
    <w:rsid w:val="001D320E"/>
    <w:rsid w:val="001D3C17"/>
    <w:rsid w:val="001D4412"/>
    <w:rsid w:val="001D4FF4"/>
    <w:rsid w:val="001D683C"/>
    <w:rsid w:val="001E1F1D"/>
    <w:rsid w:val="001E24E5"/>
    <w:rsid w:val="001E2991"/>
    <w:rsid w:val="001E395A"/>
    <w:rsid w:val="001E3BB2"/>
    <w:rsid w:val="001E3F74"/>
    <w:rsid w:val="001E4230"/>
    <w:rsid w:val="001E466C"/>
    <w:rsid w:val="001E542E"/>
    <w:rsid w:val="001E6AEE"/>
    <w:rsid w:val="001E6C7A"/>
    <w:rsid w:val="001E7A0F"/>
    <w:rsid w:val="001E7CBE"/>
    <w:rsid w:val="001F3D6B"/>
    <w:rsid w:val="001F3F77"/>
    <w:rsid w:val="001F4427"/>
    <w:rsid w:val="001F4EA8"/>
    <w:rsid w:val="001F50A4"/>
    <w:rsid w:val="001F56E3"/>
    <w:rsid w:val="001F6604"/>
    <w:rsid w:val="00200D9E"/>
    <w:rsid w:val="0020122C"/>
    <w:rsid w:val="00201753"/>
    <w:rsid w:val="00201846"/>
    <w:rsid w:val="002022C4"/>
    <w:rsid w:val="00202F0F"/>
    <w:rsid w:val="002059EE"/>
    <w:rsid w:val="00207A60"/>
    <w:rsid w:val="002107C5"/>
    <w:rsid w:val="002112D7"/>
    <w:rsid w:val="002116D8"/>
    <w:rsid w:val="00213FF2"/>
    <w:rsid w:val="002163F8"/>
    <w:rsid w:val="00217E17"/>
    <w:rsid w:val="00220E2B"/>
    <w:rsid w:val="00222445"/>
    <w:rsid w:val="00222FC5"/>
    <w:rsid w:val="00224E50"/>
    <w:rsid w:val="00226975"/>
    <w:rsid w:val="00230ACE"/>
    <w:rsid w:val="00230C3A"/>
    <w:rsid w:val="00232417"/>
    <w:rsid w:val="002324F7"/>
    <w:rsid w:val="00232B98"/>
    <w:rsid w:val="00235D97"/>
    <w:rsid w:val="002370B6"/>
    <w:rsid w:val="00240584"/>
    <w:rsid w:val="002411CE"/>
    <w:rsid w:val="00241EE1"/>
    <w:rsid w:val="0024322B"/>
    <w:rsid w:val="0024373A"/>
    <w:rsid w:val="002443E5"/>
    <w:rsid w:val="00244C76"/>
    <w:rsid w:val="00245F56"/>
    <w:rsid w:val="002465F8"/>
    <w:rsid w:val="002502C1"/>
    <w:rsid w:val="002503DF"/>
    <w:rsid w:val="0025054C"/>
    <w:rsid w:val="00252E99"/>
    <w:rsid w:val="00252EAC"/>
    <w:rsid w:val="00252EC5"/>
    <w:rsid w:val="00254707"/>
    <w:rsid w:val="00255D01"/>
    <w:rsid w:val="00256B06"/>
    <w:rsid w:val="00260A07"/>
    <w:rsid w:val="002611CD"/>
    <w:rsid w:val="00261778"/>
    <w:rsid w:val="00263D0D"/>
    <w:rsid w:val="0026569E"/>
    <w:rsid w:val="00265A22"/>
    <w:rsid w:val="002665A9"/>
    <w:rsid w:val="002669C3"/>
    <w:rsid w:val="00266B87"/>
    <w:rsid w:val="002672A5"/>
    <w:rsid w:val="002705F9"/>
    <w:rsid w:val="002722ED"/>
    <w:rsid w:val="00272FB6"/>
    <w:rsid w:val="0027378F"/>
    <w:rsid w:val="00274FB1"/>
    <w:rsid w:val="00277161"/>
    <w:rsid w:val="0027725D"/>
    <w:rsid w:val="00280A7F"/>
    <w:rsid w:val="00281AA1"/>
    <w:rsid w:val="00282D93"/>
    <w:rsid w:val="00283202"/>
    <w:rsid w:val="00284AE6"/>
    <w:rsid w:val="00285931"/>
    <w:rsid w:val="00285A70"/>
    <w:rsid w:val="00285C82"/>
    <w:rsid w:val="002867D0"/>
    <w:rsid w:val="0028784E"/>
    <w:rsid w:val="00287DB0"/>
    <w:rsid w:val="00290099"/>
    <w:rsid w:val="00290BF5"/>
    <w:rsid w:val="00290F98"/>
    <w:rsid w:val="00292A79"/>
    <w:rsid w:val="00292BED"/>
    <w:rsid w:val="00293B4B"/>
    <w:rsid w:val="00296315"/>
    <w:rsid w:val="00296B89"/>
    <w:rsid w:val="00297AD0"/>
    <w:rsid w:val="002A174A"/>
    <w:rsid w:val="002A20BA"/>
    <w:rsid w:val="002A2226"/>
    <w:rsid w:val="002A2262"/>
    <w:rsid w:val="002A27FE"/>
    <w:rsid w:val="002A3223"/>
    <w:rsid w:val="002A4859"/>
    <w:rsid w:val="002A4890"/>
    <w:rsid w:val="002A7656"/>
    <w:rsid w:val="002A7AF7"/>
    <w:rsid w:val="002A7BE8"/>
    <w:rsid w:val="002B0326"/>
    <w:rsid w:val="002B08F9"/>
    <w:rsid w:val="002B22FC"/>
    <w:rsid w:val="002B28F1"/>
    <w:rsid w:val="002B321F"/>
    <w:rsid w:val="002B3995"/>
    <w:rsid w:val="002B45E2"/>
    <w:rsid w:val="002B5591"/>
    <w:rsid w:val="002C03D9"/>
    <w:rsid w:val="002C08BA"/>
    <w:rsid w:val="002C158C"/>
    <w:rsid w:val="002C1C38"/>
    <w:rsid w:val="002C28B9"/>
    <w:rsid w:val="002C3B53"/>
    <w:rsid w:val="002C43AB"/>
    <w:rsid w:val="002C510C"/>
    <w:rsid w:val="002C56F0"/>
    <w:rsid w:val="002C5ED1"/>
    <w:rsid w:val="002C5FC7"/>
    <w:rsid w:val="002C6D5C"/>
    <w:rsid w:val="002D023C"/>
    <w:rsid w:val="002D0469"/>
    <w:rsid w:val="002D0959"/>
    <w:rsid w:val="002D0EBD"/>
    <w:rsid w:val="002D12FD"/>
    <w:rsid w:val="002E0182"/>
    <w:rsid w:val="002E078D"/>
    <w:rsid w:val="002E2796"/>
    <w:rsid w:val="002E29E5"/>
    <w:rsid w:val="002F0606"/>
    <w:rsid w:val="002F1CEC"/>
    <w:rsid w:val="002F2F0C"/>
    <w:rsid w:val="002F4D54"/>
    <w:rsid w:val="002F4DC7"/>
    <w:rsid w:val="002F5631"/>
    <w:rsid w:val="002F5CE4"/>
    <w:rsid w:val="002F6089"/>
    <w:rsid w:val="002F7694"/>
    <w:rsid w:val="003006D1"/>
    <w:rsid w:val="00301A1E"/>
    <w:rsid w:val="00301DE8"/>
    <w:rsid w:val="00305153"/>
    <w:rsid w:val="003074FC"/>
    <w:rsid w:val="00307D02"/>
    <w:rsid w:val="00310CAA"/>
    <w:rsid w:val="0031141D"/>
    <w:rsid w:val="00311958"/>
    <w:rsid w:val="00312049"/>
    <w:rsid w:val="003131E0"/>
    <w:rsid w:val="0031505C"/>
    <w:rsid w:val="00315CE3"/>
    <w:rsid w:val="00316A08"/>
    <w:rsid w:val="00320244"/>
    <w:rsid w:val="00320BFE"/>
    <w:rsid w:val="00320E44"/>
    <w:rsid w:val="00321891"/>
    <w:rsid w:val="00324487"/>
    <w:rsid w:val="0032524A"/>
    <w:rsid w:val="00325292"/>
    <w:rsid w:val="00325E89"/>
    <w:rsid w:val="00330609"/>
    <w:rsid w:val="00330C02"/>
    <w:rsid w:val="00331143"/>
    <w:rsid w:val="00331B4F"/>
    <w:rsid w:val="00331BF4"/>
    <w:rsid w:val="00331E6D"/>
    <w:rsid w:val="003325A2"/>
    <w:rsid w:val="00332D60"/>
    <w:rsid w:val="003351CE"/>
    <w:rsid w:val="003353F1"/>
    <w:rsid w:val="00336533"/>
    <w:rsid w:val="0033679D"/>
    <w:rsid w:val="00337536"/>
    <w:rsid w:val="00340D0C"/>
    <w:rsid w:val="003428E4"/>
    <w:rsid w:val="00345112"/>
    <w:rsid w:val="0034518A"/>
    <w:rsid w:val="003459B5"/>
    <w:rsid w:val="00345C8A"/>
    <w:rsid w:val="00347353"/>
    <w:rsid w:val="0035034B"/>
    <w:rsid w:val="00350562"/>
    <w:rsid w:val="003507AB"/>
    <w:rsid w:val="00351D81"/>
    <w:rsid w:val="00353F70"/>
    <w:rsid w:val="00355A1C"/>
    <w:rsid w:val="00356D40"/>
    <w:rsid w:val="0035705E"/>
    <w:rsid w:val="00357B6A"/>
    <w:rsid w:val="00360AFB"/>
    <w:rsid w:val="0036340D"/>
    <w:rsid w:val="00364855"/>
    <w:rsid w:val="00364A0C"/>
    <w:rsid w:val="00365232"/>
    <w:rsid w:val="00365C8D"/>
    <w:rsid w:val="00366894"/>
    <w:rsid w:val="00366B51"/>
    <w:rsid w:val="00366E21"/>
    <w:rsid w:val="00367866"/>
    <w:rsid w:val="0037193F"/>
    <w:rsid w:val="00371E08"/>
    <w:rsid w:val="003728AC"/>
    <w:rsid w:val="003730CA"/>
    <w:rsid w:val="00373215"/>
    <w:rsid w:val="003732D1"/>
    <w:rsid w:val="003733C2"/>
    <w:rsid w:val="00373C6F"/>
    <w:rsid w:val="0037448D"/>
    <w:rsid w:val="00374629"/>
    <w:rsid w:val="00374796"/>
    <w:rsid w:val="00374FE9"/>
    <w:rsid w:val="00375D02"/>
    <w:rsid w:val="00375E2A"/>
    <w:rsid w:val="00377FB1"/>
    <w:rsid w:val="003803CE"/>
    <w:rsid w:val="00381BCB"/>
    <w:rsid w:val="00381E11"/>
    <w:rsid w:val="00383656"/>
    <w:rsid w:val="00385987"/>
    <w:rsid w:val="00386847"/>
    <w:rsid w:val="003868A0"/>
    <w:rsid w:val="00387185"/>
    <w:rsid w:val="00387A0D"/>
    <w:rsid w:val="0039067F"/>
    <w:rsid w:val="00392633"/>
    <w:rsid w:val="00393AAB"/>
    <w:rsid w:val="003940C0"/>
    <w:rsid w:val="0039434F"/>
    <w:rsid w:val="00395295"/>
    <w:rsid w:val="0039617B"/>
    <w:rsid w:val="003966DA"/>
    <w:rsid w:val="003A0EF0"/>
    <w:rsid w:val="003A3788"/>
    <w:rsid w:val="003A3974"/>
    <w:rsid w:val="003A4E50"/>
    <w:rsid w:val="003A4ED9"/>
    <w:rsid w:val="003A5F47"/>
    <w:rsid w:val="003A684F"/>
    <w:rsid w:val="003B08C9"/>
    <w:rsid w:val="003B11FF"/>
    <w:rsid w:val="003B149C"/>
    <w:rsid w:val="003B1586"/>
    <w:rsid w:val="003B303C"/>
    <w:rsid w:val="003B516B"/>
    <w:rsid w:val="003B7B26"/>
    <w:rsid w:val="003C133E"/>
    <w:rsid w:val="003C24FD"/>
    <w:rsid w:val="003C58C6"/>
    <w:rsid w:val="003C59D6"/>
    <w:rsid w:val="003C7137"/>
    <w:rsid w:val="003D15E7"/>
    <w:rsid w:val="003D1B5D"/>
    <w:rsid w:val="003D1DBE"/>
    <w:rsid w:val="003D1E5F"/>
    <w:rsid w:val="003D496A"/>
    <w:rsid w:val="003D5138"/>
    <w:rsid w:val="003D55A5"/>
    <w:rsid w:val="003D7865"/>
    <w:rsid w:val="003E0368"/>
    <w:rsid w:val="003E079A"/>
    <w:rsid w:val="003E0B29"/>
    <w:rsid w:val="003E219E"/>
    <w:rsid w:val="003E25CA"/>
    <w:rsid w:val="003E3426"/>
    <w:rsid w:val="003E36DB"/>
    <w:rsid w:val="003E67D0"/>
    <w:rsid w:val="003F0431"/>
    <w:rsid w:val="003F060E"/>
    <w:rsid w:val="003F1461"/>
    <w:rsid w:val="003F1D19"/>
    <w:rsid w:val="003F3787"/>
    <w:rsid w:val="003F3E1E"/>
    <w:rsid w:val="003F407D"/>
    <w:rsid w:val="003F4C84"/>
    <w:rsid w:val="003F530E"/>
    <w:rsid w:val="003F6827"/>
    <w:rsid w:val="003F6AB9"/>
    <w:rsid w:val="003F6C85"/>
    <w:rsid w:val="003F6DC8"/>
    <w:rsid w:val="003F79AE"/>
    <w:rsid w:val="003F7B9B"/>
    <w:rsid w:val="0040174E"/>
    <w:rsid w:val="00402D8C"/>
    <w:rsid w:val="004045D2"/>
    <w:rsid w:val="00406910"/>
    <w:rsid w:val="0041117B"/>
    <w:rsid w:val="00411676"/>
    <w:rsid w:val="004121AF"/>
    <w:rsid w:val="004128E4"/>
    <w:rsid w:val="00416854"/>
    <w:rsid w:val="00416A87"/>
    <w:rsid w:val="00416B4F"/>
    <w:rsid w:val="0041746A"/>
    <w:rsid w:val="00417D3E"/>
    <w:rsid w:val="00417E6E"/>
    <w:rsid w:val="00420EFD"/>
    <w:rsid w:val="00424FDF"/>
    <w:rsid w:val="00425390"/>
    <w:rsid w:val="004270AE"/>
    <w:rsid w:val="004307CE"/>
    <w:rsid w:val="00430897"/>
    <w:rsid w:val="0043147F"/>
    <w:rsid w:val="00433163"/>
    <w:rsid w:val="00435FE5"/>
    <w:rsid w:val="0043682C"/>
    <w:rsid w:val="004407D8"/>
    <w:rsid w:val="00441CAA"/>
    <w:rsid w:val="00442BD9"/>
    <w:rsid w:val="004440B6"/>
    <w:rsid w:val="0044454E"/>
    <w:rsid w:val="004445B4"/>
    <w:rsid w:val="004454D5"/>
    <w:rsid w:val="00445669"/>
    <w:rsid w:val="00446174"/>
    <w:rsid w:val="004468CC"/>
    <w:rsid w:val="00447B68"/>
    <w:rsid w:val="00447B84"/>
    <w:rsid w:val="00452D5F"/>
    <w:rsid w:val="004549BB"/>
    <w:rsid w:val="00455FC9"/>
    <w:rsid w:val="0045683C"/>
    <w:rsid w:val="00460F52"/>
    <w:rsid w:val="00461A06"/>
    <w:rsid w:val="00461A1E"/>
    <w:rsid w:val="0046258A"/>
    <w:rsid w:val="00462F52"/>
    <w:rsid w:val="00464C09"/>
    <w:rsid w:val="00466A50"/>
    <w:rsid w:val="00466A74"/>
    <w:rsid w:val="00467B47"/>
    <w:rsid w:val="00467F00"/>
    <w:rsid w:val="00467FA6"/>
    <w:rsid w:val="0047070F"/>
    <w:rsid w:val="00471D7F"/>
    <w:rsid w:val="00471E3B"/>
    <w:rsid w:val="00472B28"/>
    <w:rsid w:val="004737C0"/>
    <w:rsid w:val="00473EE2"/>
    <w:rsid w:val="004752DE"/>
    <w:rsid w:val="0047543A"/>
    <w:rsid w:val="004759D6"/>
    <w:rsid w:val="00475BFE"/>
    <w:rsid w:val="00477633"/>
    <w:rsid w:val="00477D5F"/>
    <w:rsid w:val="0048012F"/>
    <w:rsid w:val="0048050D"/>
    <w:rsid w:val="00481DA6"/>
    <w:rsid w:val="00481FC1"/>
    <w:rsid w:val="00482A65"/>
    <w:rsid w:val="00483103"/>
    <w:rsid w:val="004859FA"/>
    <w:rsid w:val="0048751F"/>
    <w:rsid w:val="004908AB"/>
    <w:rsid w:val="0049129F"/>
    <w:rsid w:val="0049155A"/>
    <w:rsid w:val="0049258E"/>
    <w:rsid w:val="004932F9"/>
    <w:rsid w:val="00496B88"/>
    <w:rsid w:val="00496EC1"/>
    <w:rsid w:val="00497D13"/>
    <w:rsid w:val="004A2706"/>
    <w:rsid w:val="004A3DB6"/>
    <w:rsid w:val="004A4B32"/>
    <w:rsid w:val="004A67E8"/>
    <w:rsid w:val="004A6A43"/>
    <w:rsid w:val="004A7814"/>
    <w:rsid w:val="004B0317"/>
    <w:rsid w:val="004B0CD6"/>
    <w:rsid w:val="004B1D07"/>
    <w:rsid w:val="004B1E54"/>
    <w:rsid w:val="004B2382"/>
    <w:rsid w:val="004B2B9B"/>
    <w:rsid w:val="004B41DE"/>
    <w:rsid w:val="004B4B51"/>
    <w:rsid w:val="004B5989"/>
    <w:rsid w:val="004C1A6D"/>
    <w:rsid w:val="004C494E"/>
    <w:rsid w:val="004C4C92"/>
    <w:rsid w:val="004C4F95"/>
    <w:rsid w:val="004C6375"/>
    <w:rsid w:val="004D0478"/>
    <w:rsid w:val="004D094A"/>
    <w:rsid w:val="004D10F8"/>
    <w:rsid w:val="004D4FE9"/>
    <w:rsid w:val="004E01F2"/>
    <w:rsid w:val="004E09CF"/>
    <w:rsid w:val="004E1934"/>
    <w:rsid w:val="004E480B"/>
    <w:rsid w:val="004E561D"/>
    <w:rsid w:val="004E709F"/>
    <w:rsid w:val="004E7875"/>
    <w:rsid w:val="004F2191"/>
    <w:rsid w:val="004F2780"/>
    <w:rsid w:val="004F2828"/>
    <w:rsid w:val="004F5324"/>
    <w:rsid w:val="004F7954"/>
    <w:rsid w:val="00500247"/>
    <w:rsid w:val="00500DE5"/>
    <w:rsid w:val="0050141E"/>
    <w:rsid w:val="00503CB5"/>
    <w:rsid w:val="00504E84"/>
    <w:rsid w:val="00507804"/>
    <w:rsid w:val="00510A5A"/>
    <w:rsid w:val="00511A3A"/>
    <w:rsid w:val="005135CB"/>
    <w:rsid w:val="00513741"/>
    <w:rsid w:val="00513E4D"/>
    <w:rsid w:val="00514727"/>
    <w:rsid w:val="00514BDD"/>
    <w:rsid w:val="0051648B"/>
    <w:rsid w:val="00516F07"/>
    <w:rsid w:val="00526E17"/>
    <w:rsid w:val="00527EC7"/>
    <w:rsid w:val="005308BB"/>
    <w:rsid w:val="00530CDB"/>
    <w:rsid w:val="00531259"/>
    <w:rsid w:val="00531726"/>
    <w:rsid w:val="00531DE8"/>
    <w:rsid w:val="00532003"/>
    <w:rsid w:val="00533D61"/>
    <w:rsid w:val="00534BAA"/>
    <w:rsid w:val="00535142"/>
    <w:rsid w:val="00535401"/>
    <w:rsid w:val="00535C9D"/>
    <w:rsid w:val="005367A4"/>
    <w:rsid w:val="005368D7"/>
    <w:rsid w:val="00536D43"/>
    <w:rsid w:val="00540B0B"/>
    <w:rsid w:val="00541426"/>
    <w:rsid w:val="00543948"/>
    <w:rsid w:val="0054404B"/>
    <w:rsid w:val="005452D4"/>
    <w:rsid w:val="00545595"/>
    <w:rsid w:val="00547BC9"/>
    <w:rsid w:val="005501A5"/>
    <w:rsid w:val="00550C65"/>
    <w:rsid w:val="00551B16"/>
    <w:rsid w:val="005521A7"/>
    <w:rsid w:val="00552E71"/>
    <w:rsid w:val="00552FB6"/>
    <w:rsid w:val="005538E5"/>
    <w:rsid w:val="00553A39"/>
    <w:rsid w:val="005561B8"/>
    <w:rsid w:val="00556738"/>
    <w:rsid w:val="00557346"/>
    <w:rsid w:val="005573DA"/>
    <w:rsid w:val="00557561"/>
    <w:rsid w:val="00562724"/>
    <w:rsid w:val="00563170"/>
    <w:rsid w:val="00564C84"/>
    <w:rsid w:val="00565A3D"/>
    <w:rsid w:val="00566233"/>
    <w:rsid w:val="00567A5F"/>
    <w:rsid w:val="00572403"/>
    <w:rsid w:val="00572955"/>
    <w:rsid w:val="005757DB"/>
    <w:rsid w:val="005764A6"/>
    <w:rsid w:val="00577F25"/>
    <w:rsid w:val="0058136B"/>
    <w:rsid w:val="00581E01"/>
    <w:rsid w:val="005820E2"/>
    <w:rsid w:val="00584F04"/>
    <w:rsid w:val="0059154B"/>
    <w:rsid w:val="005924DD"/>
    <w:rsid w:val="00593927"/>
    <w:rsid w:val="00593DCC"/>
    <w:rsid w:val="00596C13"/>
    <w:rsid w:val="00597EF1"/>
    <w:rsid w:val="005A01F2"/>
    <w:rsid w:val="005A0210"/>
    <w:rsid w:val="005A02D9"/>
    <w:rsid w:val="005A0586"/>
    <w:rsid w:val="005A0ACB"/>
    <w:rsid w:val="005A0DE4"/>
    <w:rsid w:val="005A10FD"/>
    <w:rsid w:val="005A1902"/>
    <w:rsid w:val="005A33F9"/>
    <w:rsid w:val="005A3863"/>
    <w:rsid w:val="005A4564"/>
    <w:rsid w:val="005A467A"/>
    <w:rsid w:val="005A47F5"/>
    <w:rsid w:val="005A5308"/>
    <w:rsid w:val="005A5611"/>
    <w:rsid w:val="005A6D32"/>
    <w:rsid w:val="005A760F"/>
    <w:rsid w:val="005B04CC"/>
    <w:rsid w:val="005B2625"/>
    <w:rsid w:val="005B48C1"/>
    <w:rsid w:val="005B65F1"/>
    <w:rsid w:val="005B758F"/>
    <w:rsid w:val="005B7730"/>
    <w:rsid w:val="005B77B4"/>
    <w:rsid w:val="005B7F01"/>
    <w:rsid w:val="005C221F"/>
    <w:rsid w:val="005C270C"/>
    <w:rsid w:val="005C2A9C"/>
    <w:rsid w:val="005C3827"/>
    <w:rsid w:val="005C5C69"/>
    <w:rsid w:val="005C68AE"/>
    <w:rsid w:val="005C77AA"/>
    <w:rsid w:val="005D0084"/>
    <w:rsid w:val="005D23BA"/>
    <w:rsid w:val="005D30E8"/>
    <w:rsid w:val="005D4336"/>
    <w:rsid w:val="005D542B"/>
    <w:rsid w:val="005D5D55"/>
    <w:rsid w:val="005D6AA4"/>
    <w:rsid w:val="005D7908"/>
    <w:rsid w:val="005E1D83"/>
    <w:rsid w:val="005E492A"/>
    <w:rsid w:val="005E593B"/>
    <w:rsid w:val="005E5EA5"/>
    <w:rsid w:val="005E723A"/>
    <w:rsid w:val="005F0280"/>
    <w:rsid w:val="005F051D"/>
    <w:rsid w:val="005F2124"/>
    <w:rsid w:val="005F23D8"/>
    <w:rsid w:val="005F2842"/>
    <w:rsid w:val="005F6388"/>
    <w:rsid w:val="005F7454"/>
    <w:rsid w:val="005F7A19"/>
    <w:rsid w:val="006014F8"/>
    <w:rsid w:val="00601639"/>
    <w:rsid w:val="006018AE"/>
    <w:rsid w:val="00601A41"/>
    <w:rsid w:val="00602BC6"/>
    <w:rsid w:val="00603AC9"/>
    <w:rsid w:val="00603C2A"/>
    <w:rsid w:val="00605A12"/>
    <w:rsid w:val="00607E4C"/>
    <w:rsid w:val="00607F95"/>
    <w:rsid w:val="006122B4"/>
    <w:rsid w:val="00612687"/>
    <w:rsid w:val="006128EC"/>
    <w:rsid w:val="00612D84"/>
    <w:rsid w:val="006160F4"/>
    <w:rsid w:val="00616102"/>
    <w:rsid w:val="00616FC0"/>
    <w:rsid w:val="00617112"/>
    <w:rsid w:val="006204FF"/>
    <w:rsid w:val="00620B18"/>
    <w:rsid w:val="00620C71"/>
    <w:rsid w:val="00622FEE"/>
    <w:rsid w:val="006247FB"/>
    <w:rsid w:val="00624930"/>
    <w:rsid w:val="00624EFA"/>
    <w:rsid w:val="006300CC"/>
    <w:rsid w:val="00630247"/>
    <w:rsid w:val="00631C71"/>
    <w:rsid w:val="006335DB"/>
    <w:rsid w:val="00633DB5"/>
    <w:rsid w:val="006344F2"/>
    <w:rsid w:val="006348A4"/>
    <w:rsid w:val="00636C88"/>
    <w:rsid w:val="00637322"/>
    <w:rsid w:val="00641C14"/>
    <w:rsid w:val="00642CDC"/>
    <w:rsid w:val="00642D96"/>
    <w:rsid w:val="00642FA7"/>
    <w:rsid w:val="00643151"/>
    <w:rsid w:val="00643921"/>
    <w:rsid w:val="0064413A"/>
    <w:rsid w:val="00647F29"/>
    <w:rsid w:val="0065000E"/>
    <w:rsid w:val="006501B6"/>
    <w:rsid w:val="0065038D"/>
    <w:rsid w:val="00650AA6"/>
    <w:rsid w:val="00651189"/>
    <w:rsid w:val="00651637"/>
    <w:rsid w:val="00651F02"/>
    <w:rsid w:val="0065350B"/>
    <w:rsid w:val="006546B2"/>
    <w:rsid w:val="00655611"/>
    <w:rsid w:val="006558CB"/>
    <w:rsid w:val="0065645D"/>
    <w:rsid w:val="00657FF8"/>
    <w:rsid w:val="0066199B"/>
    <w:rsid w:val="00663A56"/>
    <w:rsid w:val="006707B3"/>
    <w:rsid w:val="0067109C"/>
    <w:rsid w:val="0067170C"/>
    <w:rsid w:val="0067227A"/>
    <w:rsid w:val="00672DEB"/>
    <w:rsid w:val="0067456A"/>
    <w:rsid w:val="00675F64"/>
    <w:rsid w:val="00675FAC"/>
    <w:rsid w:val="006829FE"/>
    <w:rsid w:val="00683F68"/>
    <w:rsid w:val="0068487A"/>
    <w:rsid w:val="00685CAD"/>
    <w:rsid w:val="00691A95"/>
    <w:rsid w:val="00692F71"/>
    <w:rsid w:val="006948D2"/>
    <w:rsid w:val="006963A1"/>
    <w:rsid w:val="00697313"/>
    <w:rsid w:val="00697A58"/>
    <w:rsid w:val="00697D89"/>
    <w:rsid w:val="006A0108"/>
    <w:rsid w:val="006A0382"/>
    <w:rsid w:val="006A0674"/>
    <w:rsid w:val="006A0803"/>
    <w:rsid w:val="006A2FD6"/>
    <w:rsid w:val="006A3C4C"/>
    <w:rsid w:val="006A4B1C"/>
    <w:rsid w:val="006A56AC"/>
    <w:rsid w:val="006A65B6"/>
    <w:rsid w:val="006A6EB7"/>
    <w:rsid w:val="006B0CE2"/>
    <w:rsid w:val="006B1785"/>
    <w:rsid w:val="006B1E7D"/>
    <w:rsid w:val="006B2CB5"/>
    <w:rsid w:val="006B3DED"/>
    <w:rsid w:val="006B420C"/>
    <w:rsid w:val="006B4C95"/>
    <w:rsid w:val="006B5532"/>
    <w:rsid w:val="006B5B74"/>
    <w:rsid w:val="006B6109"/>
    <w:rsid w:val="006C0CAC"/>
    <w:rsid w:val="006C1457"/>
    <w:rsid w:val="006C1F2B"/>
    <w:rsid w:val="006C2A09"/>
    <w:rsid w:val="006C2A10"/>
    <w:rsid w:val="006C2A39"/>
    <w:rsid w:val="006C2B8C"/>
    <w:rsid w:val="006C2CF5"/>
    <w:rsid w:val="006C2ED4"/>
    <w:rsid w:val="006C4F01"/>
    <w:rsid w:val="006C7462"/>
    <w:rsid w:val="006C7BED"/>
    <w:rsid w:val="006D1ED1"/>
    <w:rsid w:val="006D2075"/>
    <w:rsid w:val="006D27D9"/>
    <w:rsid w:val="006D29B0"/>
    <w:rsid w:val="006D34E4"/>
    <w:rsid w:val="006D42A5"/>
    <w:rsid w:val="006D47A3"/>
    <w:rsid w:val="006E1AA0"/>
    <w:rsid w:val="006E2C4F"/>
    <w:rsid w:val="006E49FE"/>
    <w:rsid w:val="006E51DA"/>
    <w:rsid w:val="006E5996"/>
    <w:rsid w:val="006E647D"/>
    <w:rsid w:val="006E6854"/>
    <w:rsid w:val="006F0229"/>
    <w:rsid w:val="006F07D6"/>
    <w:rsid w:val="006F0FAE"/>
    <w:rsid w:val="006F0FD1"/>
    <w:rsid w:val="006F28B0"/>
    <w:rsid w:val="006F2EBD"/>
    <w:rsid w:val="006F3488"/>
    <w:rsid w:val="006F35CF"/>
    <w:rsid w:val="006F413B"/>
    <w:rsid w:val="006F47BF"/>
    <w:rsid w:val="006F55F6"/>
    <w:rsid w:val="006F5616"/>
    <w:rsid w:val="006F5B99"/>
    <w:rsid w:val="006F7612"/>
    <w:rsid w:val="006F7C18"/>
    <w:rsid w:val="006F7C74"/>
    <w:rsid w:val="00700C5F"/>
    <w:rsid w:val="00701200"/>
    <w:rsid w:val="00703DDB"/>
    <w:rsid w:val="007047AC"/>
    <w:rsid w:val="007049D8"/>
    <w:rsid w:val="0070569F"/>
    <w:rsid w:val="00707538"/>
    <w:rsid w:val="00707FFA"/>
    <w:rsid w:val="00711FB6"/>
    <w:rsid w:val="007141F3"/>
    <w:rsid w:val="00715901"/>
    <w:rsid w:val="007169EA"/>
    <w:rsid w:val="00716BF8"/>
    <w:rsid w:val="007177F3"/>
    <w:rsid w:val="007224AC"/>
    <w:rsid w:val="00722878"/>
    <w:rsid w:val="00722A31"/>
    <w:rsid w:val="007273AE"/>
    <w:rsid w:val="00730993"/>
    <w:rsid w:val="00730FB3"/>
    <w:rsid w:val="00732221"/>
    <w:rsid w:val="00732423"/>
    <w:rsid w:val="0073314E"/>
    <w:rsid w:val="00734868"/>
    <w:rsid w:val="00734914"/>
    <w:rsid w:val="00735D3B"/>
    <w:rsid w:val="0073736F"/>
    <w:rsid w:val="00737390"/>
    <w:rsid w:val="007375DA"/>
    <w:rsid w:val="00742AF6"/>
    <w:rsid w:val="007435AD"/>
    <w:rsid w:val="00743856"/>
    <w:rsid w:val="007441BC"/>
    <w:rsid w:val="00745821"/>
    <w:rsid w:val="007458D3"/>
    <w:rsid w:val="00746B80"/>
    <w:rsid w:val="00746E62"/>
    <w:rsid w:val="007509CB"/>
    <w:rsid w:val="00753295"/>
    <w:rsid w:val="0075362C"/>
    <w:rsid w:val="00753EE2"/>
    <w:rsid w:val="007544E8"/>
    <w:rsid w:val="00755496"/>
    <w:rsid w:val="007557B3"/>
    <w:rsid w:val="007559C7"/>
    <w:rsid w:val="00755FFD"/>
    <w:rsid w:val="007562E0"/>
    <w:rsid w:val="007566E0"/>
    <w:rsid w:val="00756DDE"/>
    <w:rsid w:val="0076056D"/>
    <w:rsid w:val="00760F2E"/>
    <w:rsid w:val="007616C1"/>
    <w:rsid w:val="007617C1"/>
    <w:rsid w:val="007620EF"/>
    <w:rsid w:val="00762BD0"/>
    <w:rsid w:val="0076328E"/>
    <w:rsid w:val="00764970"/>
    <w:rsid w:val="00764F4B"/>
    <w:rsid w:val="00772698"/>
    <w:rsid w:val="00774B39"/>
    <w:rsid w:val="0077534F"/>
    <w:rsid w:val="00775E3F"/>
    <w:rsid w:val="007769A8"/>
    <w:rsid w:val="0077737A"/>
    <w:rsid w:val="00777F03"/>
    <w:rsid w:val="007805C3"/>
    <w:rsid w:val="00780B5A"/>
    <w:rsid w:val="007819A5"/>
    <w:rsid w:val="007821BB"/>
    <w:rsid w:val="00785E90"/>
    <w:rsid w:val="00786423"/>
    <w:rsid w:val="00786C73"/>
    <w:rsid w:val="00791B26"/>
    <w:rsid w:val="0079431A"/>
    <w:rsid w:val="00794567"/>
    <w:rsid w:val="00796774"/>
    <w:rsid w:val="007A0243"/>
    <w:rsid w:val="007A0444"/>
    <w:rsid w:val="007A0CF8"/>
    <w:rsid w:val="007A1E0C"/>
    <w:rsid w:val="007A42F1"/>
    <w:rsid w:val="007A6AB0"/>
    <w:rsid w:val="007A6ECD"/>
    <w:rsid w:val="007A7580"/>
    <w:rsid w:val="007B1F6D"/>
    <w:rsid w:val="007B41EF"/>
    <w:rsid w:val="007B54BE"/>
    <w:rsid w:val="007B5B40"/>
    <w:rsid w:val="007B5FDE"/>
    <w:rsid w:val="007B65A5"/>
    <w:rsid w:val="007B6743"/>
    <w:rsid w:val="007B6C5E"/>
    <w:rsid w:val="007C07C8"/>
    <w:rsid w:val="007C29E7"/>
    <w:rsid w:val="007C32F6"/>
    <w:rsid w:val="007C3A6D"/>
    <w:rsid w:val="007C42E3"/>
    <w:rsid w:val="007C5CB5"/>
    <w:rsid w:val="007D0372"/>
    <w:rsid w:val="007D193E"/>
    <w:rsid w:val="007D26C7"/>
    <w:rsid w:val="007D3FA5"/>
    <w:rsid w:val="007E0619"/>
    <w:rsid w:val="007E13D8"/>
    <w:rsid w:val="007E1C9D"/>
    <w:rsid w:val="007E44EB"/>
    <w:rsid w:val="007E66E4"/>
    <w:rsid w:val="007E6F5D"/>
    <w:rsid w:val="007E7707"/>
    <w:rsid w:val="007F23EE"/>
    <w:rsid w:val="007F283D"/>
    <w:rsid w:val="007F2B34"/>
    <w:rsid w:val="007F4DBC"/>
    <w:rsid w:val="00800C8D"/>
    <w:rsid w:val="00800F98"/>
    <w:rsid w:val="00805ABB"/>
    <w:rsid w:val="008068B0"/>
    <w:rsid w:val="0080773C"/>
    <w:rsid w:val="00807D65"/>
    <w:rsid w:val="00810883"/>
    <w:rsid w:val="00811FCD"/>
    <w:rsid w:val="00812D50"/>
    <w:rsid w:val="008148D8"/>
    <w:rsid w:val="0081790F"/>
    <w:rsid w:val="00820CAD"/>
    <w:rsid w:val="00821852"/>
    <w:rsid w:val="008220E5"/>
    <w:rsid w:val="008224DF"/>
    <w:rsid w:val="00823385"/>
    <w:rsid w:val="008236BB"/>
    <w:rsid w:val="008245B5"/>
    <w:rsid w:val="008255E0"/>
    <w:rsid w:val="00825876"/>
    <w:rsid w:val="00825AAA"/>
    <w:rsid w:val="00826674"/>
    <w:rsid w:val="00830066"/>
    <w:rsid w:val="00830665"/>
    <w:rsid w:val="00831513"/>
    <w:rsid w:val="0083240C"/>
    <w:rsid w:val="00832DEA"/>
    <w:rsid w:val="00832F49"/>
    <w:rsid w:val="0083407F"/>
    <w:rsid w:val="00835407"/>
    <w:rsid w:val="0083576D"/>
    <w:rsid w:val="00836106"/>
    <w:rsid w:val="00836A33"/>
    <w:rsid w:val="00836FCF"/>
    <w:rsid w:val="008374F5"/>
    <w:rsid w:val="00837C3C"/>
    <w:rsid w:val="0084417B"/>
    <w:rsid w:val="00844D35"/>
    <w:rsid w:val="00845482"/>
    <w:rsid w:val="00845DF5"/>
    <w:rsid w:val="00846103"/>
    <w:rsid w:val="00847147"/>
    <w:rsid w:val="00847D79"/>
    <w:rsid w:val="00850DA5"/>
    <w:rsid w:val="00851890"/>
    <w:rsid w:val="00852F97"/>
    <w:rsid w:val="00853A1E"/>
    <w:rsid w:val="00854338"/>
    <w:rsid w:val="00854FDB"/>
    <w:rsid w:val="00856E16"/>
    <w:rsid w:val="008602AD"/>
    <w:rsid w:val="00861E49"/>
    <w:rsid w:val="00861EE8"/>
    <w:rsid w:val="008621B5"/>
    <w:rsid w:val="008679EC"/>
    <w:rsid w:val="00867AD9"/>
    <w:rsid w:val="008747A2"/>
    <w:rsid w:val="00877DFE"/>
    <w:rsid w:val="00877E47"/>
    <w:rsid w:val="00877FB5"/>
    <w:rsid w:val="00880822"/>
    <w:rsid w:val="00881072"/>
    <w:rsid w:val="00881614"/>
    <w:rsid w:val="008816B5"/>
    <w:rsid w:val="00882838"/>
    <w:rsid w:val="00882943"/>
    <w:rsid w:val="00882A9A"/>
    <w:rsid w:val="00882B02"/>
    <w:rsid w:val="00884EF6"/>
    <w:rsid w:val="008871D1"/>
    <w:rsid w:val="008873E1"/>
    <w:rsid w:val="00887699"/>
    <w:rsid w:val="00890453"/>
    <w:rsid w:val="00891076"/>
    <w:rsid w:val="00891E07"/>
    <w:rsid w:val="008938F7"/>
    <w:rsid w:val="00893F16"/>
    <w:rsid w:val="00894085"/>
    <w:rsid w:val="00894514"/>
    <w:rsid w:val="00894CB0"/>
    <w:rsid w:val="008950DA"/>
    <w:rsid w:val="00895185"/>
    <w:rsid w:val="00897962"/>
    <w:rsid w:val="008A0B73"/>
    <w:rsid w:val="008A1C6F"/>
    <w:rsid w:val="008A2458"/>
    <w:rsid w:val="008A3D74"/>
    <w:rsid w:val="008A4671"/>
    <w:rsid w:val="008B021F"/>
    <w:rsid w:val="008B040A"/>
    <w:rsid w:val="008B0955"/>
    <w:rsid w:val="008B0C5D"/>
    <w:rsid w:val="008B19CC"/>
    <w:rsid w:val="008B2245"/>
    <w:rsid w:val="008B23B9"/>
    <w:rsid w:val="008B410F"/>
    <w:rsid w:val="008B4B33"/>
    <w:rsid w:val="008B5A38"/>
    <w:rsid w:val="008B629D"/>
    <w:rsid w:val="008B67C6"/>
    <w:rsid w:val="008B6E00"/>
    <w:rsid w:val="008B7A9F"/>
    <w:rsid w:val="008C150D"/>
    <w:rsid w:val="008C649A"/>
    <w:rsid w:val="008C6ECB"/>
    <w:rsid w:val="008C79D2"/>
    <w:rsid w:val="008D0A4E"/>
    <w:rsid w:val="008D1660"/>
    <w:rsid w:val="008D234A"/>
    <w:rsid w:val="008D2F33"/>
    <w:rsid w:val="008D4F77"/>
    <w:rsid w:val="008D5507"/>
    <w:rsid w:val="008D55D0"/>
    <w:rsid w:val="008D5A94"/>
    <w:rsid w:val="008D79D6"/>
    <w:rsid w:val="008D7BAF"/>
    <w:rsid w:val="008E0CCD"/>
    <w:rsid w:val="008E2028"/>
    <w:rsid w:val="008E238D"/>
    <w:rsid w:val="008E382E"/>
    <w:rsid w:val="008E403B"/>
    <w:rsid w:val="008E4331"/>
    <w:rsid w:val="008E476A"/>
    <w:rsid w:val="008F06D8"/>
    <w:rsid w:val="008F2186"/>
    <w:rsid w:val="008F294F"/>
    <w:rsid w:val="008F31E0"/>
    <w:rsid w:val="008F36A8"/>
    <w:rsid w:val="0090063D"/>
    <w:rsid w:val="009006DF"/>
    <w:rsid w:val="009022C1"/>
    <w:rsid w:val="009024E5"/>
    <w:rsid w:val="00903055"/>
    <w:rsid w:val="0090401F"/>
    <w:rsid w:val="0090438C"/>
    <w:rsid w:val="009060C7"/>
    <w:rsid w:val="0090668A"/>
    <w:rsid w:val="00910A3C"/>
    <w:rsid w:val="00910E8A"/>
    <w:rsid w:val="00911139"/>
    <w:rsid w:val="00911EBD"/>
    <w:rsid w:val="009137E6"/>
    <w:rsid w:val="009155FC"/>
    <w:rsid w:val="00917210"/>
    <w:rsid w:val="00917578"/>
    <w:rsid w:val="00922261"/>
    <w:rsid w:val="00922B84"/>
    <w:rsid w:val="00924628"/>
    <w:rsid w:val="00924E1E"/>
    <w:rsid w:val="009251E0"/>
    <w:rsid w:val="00925A3B"/>
    <w:rsid w:val="00926455"/>
    <w:rsid w:val="00930381"/>
    <w:rsid w:val="00930D28"/>
    <w:rsid w:val="00931836"/>
    <w:rsid w:val="00931A05"/>
    <w:rsid w:val="00931C3F"/>
    <w:rsid w:val="00931D2D"/>
    <w:rsid w:val="009353B7"/>
    <w:rsid w:val="00935580"/>
    <w:rsid w:val="009355E0"/>
    <w:rsid w:val="00935866"/>
    <w:rsid w:val="0094040D"/>
    <w:rsid w:val="0094257F"/>
    <w:rsid w:val="009429CB"/>
    <w:rsid w:val="00942CE5"/>
    <w:rsid w:val="00946371"/>
    <w:rsid w:val="009474CC"/>
    <w:rsid w:val="00947A2B"/>
    <w:rsid w:val="009522DE"/>
    <w:rsid w:val="0095719E"/>
    <w:rsid w:val="00957F79"/>
    <w:rsid w:val="0096173B"/>
    <w:rsid w:val="00964098"/>
    <w:rsid w:val="00967A18"/>
    <w:rsid w:val="00970D34"/>
    <w:rsid w:val="00971927"/>
    <w:rsid w:val="00971952"/>
    <w:rsid w:val="009724F1"/>
    <w:rsid w:val="0097303C"/>
    <w:rsid w:val="00973BE6"/>
    <w:rsid w:val="00973C05"/>
    <w:rsid w:val="00974155"/>
    <w:rsid w:val="009741E5"/>
    <w:rsid w:val="00974D95"/>
    <w:rsid w:val="00974F61"/>
    <w:rsid w:val="009750A6"/>
    <w:rsid w:val="009765A1"/>
    <w:rsid w:val="009777F3"/>
    <w:rsid w:val="009806F5"/>
    <w:rsid w:val="00980CEA"/>
    <w:rsid w:val="0098134D"/>
    <w:rsid w:val="009868A3"/>
    <w:rsid w:val="00987198"/>
    <w:rsid w:val="00987F9F"/>
    <w:rsid w:val="0099027E"/>
    <w:rsid w:val="009905AE"/>
    <w:rsid w:val="00990AFD"/>
    <w:rsid w:val="00990D8C"/>
    <w:rsid w:val="009915CB"/>
    <w:rsid w:val="00992543"/>
    <w:rsid w:val="009930E3"/>
    <w:rsid w:val="00993E48"/>
    <w:rsid w:val="0099416E"/>
    <w:rsid w:val="009943C1"/>
    <w:rsid w:val="00995853"/>
    <w:rsid w:val="0099699B"/>
    <w:rsid w:val="00997FC1"/>
    <w:rsid w:val="009A02DE"/>
    <w:rsid w:val="009A1289"/>
    <w:rsid w:val="009A1A0A"/>
    <w:rsid w:val="009A421C"/>
    <w:rsid w:val="009A4BFD"/>
    <w:rsid w:val="009B0E03"/>
    <w:rsid w:val="009B1F5D"/>
    <w:rsid w:val="009B209E"/>
    <w:rsid w:val="009B2763"/>
    <w:rsid w:val="009B367B"/>
    <w:rsid w:val="009B44BE"/>
    <w:rsid w:val="009B499F"/>
    <w:rsid w:val="009B5DD2"/>
    <w:rsid w:val="009B5E70"/>
    <w:rsid w:val="009C241C"/>
    <w:rsid w:val="009C2DC8"/>
    <w:rsid w:val="009C3610"/>
    <w:rsid w:val="009C50AD"/>
    <w:rsid w:val="009D18D1"/>
    <w:rsid w:val="009D33AD"/>
    <w:rsid w:val="009D3444"/>
    <w:rsid w:val="009D417C"/>
    <w:rsid w:val="009D4C12"/>
    <w:rsid w:val="009D719C"/>
    <w:rsid w:val="009D7964"/>
    <w:rsid w:val="009D7C4C"/>
    <w:rsid w:val="009E0857"/>
    <w:rsid w:val="009E0AEF"/>
    <w:rsid w:val="009E30FA"/>
    <w:rsid w:val="009E56CE"/>
    <w:rsid w:val="009E5AB6"/>
    <w:rsid w:val="009E5BD4"/>
    <w:rsid w:val="009E6EC5"/>
    <w:rsid w:val="009F09BB"/>
    <w:rsid w:val="009F0E08"/>
    <w:rsid w:val="009F196D"/>
    <w:rsid w:val="009F2D91"/>
    <w:rsid w:val="009F3A8C"/>
    <w:rsid w:val="009F48FA"/>
    <w:rsid w:val="009F4B1E"/>
    <w:rsid w:val="009F4E82"/>
    <w:rsid w:val="009F633D"/>
    <w:rsid w:val="009F74D4"/>
    <w:rsid w:val="00A00BC3"/>
    <w:rsid w:val="00A012C0"/>
    <w:rsid w:val="00A01EB8"/>
    <w:rsid w:val="00A0280B"/>
    <w:rsid w:val="00A02D1A"/>
    <w:rsid w:val="00A032A5"/>
    <w:rsid w:val="00A06FA2"/>
    <w:rsid w:val="00A10FD1"/>
    <w:rsid w:val="00A12CA8"/>
    <w:rsid w:val="00A15B07"/>
    <w:rsid w:val="00A17515"/>
    <w:rsid w:val="00A212C9"/>
    <w:rsid w:val="00A23811"/>
    <w:rsid w:val="00A23FD2"/>
    <w:rsid w:val="00A26324"/>
    <w:rsid w:val="00A26E6B"/>
    <w:rsid w:val="00A30A5B"/>
    <w:rsid w:val="00A30CEB"/>
    <w:rsid w:val="00A31A3E"/>
    <w:rsid w:val="00A32F87"/>
    <w:rsid w:val="00A3381D"/>
    <w:rsid w:val="00A350FA"/>
    <w:rsid w:val="00A35297"/>
    <w:rsid w:val="00A354ED"/>
    <w:rsid w:val="00A36612"/>
    <w:rsid w:val="00A36B76"/>
    <w:rsid w:val="00A41D7F"/>
    <w:rsid w:val="00A41E90"/>
    <w:rsid w:val="00A424A6"/>
    <w:rsid w:val="00A42672"/>
    <w:rsid w:val="00A43582"/>
    <w:rsid w:val="00A44286"/>
    <w:rsid w:val="00A4535E"/>
    <w:rsid w:val="00A45E0C"/>
    <w:rsid w:val="00A46F11"/>
    <w:rsid w:val="00A479FA"/>
    <w:rsid w:val="00A508A2"/>
    <w:rsid w:val="00A51477"/>
    <w:rsid w:val="00A51544"/>
    <w:rsid w:val="00A52A57"/>
    <w:rsid w:val="00A52F38"/>
    <w:rsid w:val="00A52FD7"/>
    <w:rsid w:val="00A53D70"/>
    <w:rsid w:val="00A5475B"/>
    <w:rsid w:val="00A55F70"/>
    <w:rsid w:val="00A60291"/>
    <w:rsid w:val="00A60851"/>
    <w:rsid w:val="00A60AD4"/>
    <w:rsid w:val="00A612C2"/>
    <w:rsid w:val="00A6396F"/>
    <w:rsid w:val="00A651B6"/>
    <w:rsid w:val="00A65A9E"/>
    <w:rsid w:val="00A715B2"/>
    <w:rsid w:val="00A7176D"/>
    <w:rsid w:val="00A719C7"/>
    <w:rsid w:val="00A71F65"/>
    <w:rsid w:val="00A7537F"/>
    <w:rsid w:val="00A81872"/>
    <w:rsid w:val="00A84966"/>
    <w:rsid w:val="00A85BBF"/>
    <w:rsid w:val="00A86CE8"/>
    <w:rsid w:val="00A93428"/>
    <w:rsid w:val="00A94CE5"/>
    <w:rsid w:val="00A967E7"/>
    <w:rsid w:val="00A96871"/>
    <w:rsid w:val="00A97832"/>
    <w:rsid w:val="00AA1295"/>
    <w:rsid w:val="00AA1A7E"/>
    <w:rsid w:val="00AA2FB6"/>
    <w:rsid w:val="00AA4659"/>
    <w:rsid w:val="00AA4D9A"/>
    <w:rsid w:val="00AA55DB"/>
    <w:rsid w:val="00AA6656"/>
    <w:rsid w:val="00AA7833"/>
    <w:rsid w:val="00AB0096"/>
    <w:rsid w:val="00AB03C7"/>
    <w:rsid w:val="00AB43CB"/>
    <w:rsid w:val="00AB4904"/>
    <w:rsid w:val="00AB4EBA"/>
    <w:rsid w:val="00AB4EE0"/>
    <w:rsid w:val="00AB5347"/>
    <w:rsid w:val="00AB5B38"/>
    <w:rsid w:val="00AB62DB"/>
    <w:rsid w:val="00AB7F35"/>
    <w:rsid w:val="00AC02C6"/>
    <w:rsid w:val="00AC0F1B"/>
    <w:rsid w:val="00AC13BF"/>
    <w:rsid w:val="00AC13CA"/>
    <w:rsid w:val="00AC16D4"/>
    <w:rsid w:val="00AC16F0"/>
    <w:rsid w:val="00AC1F98"/>
    <w:rsid w:val="00AC25C6"/>
    <w:rsid w:val="00AC39E7"/>
    <w:rsid w:val="00AC4232"/>
    <w:rsid w:val="00AC55F8"/>
    <w:rsid w:val="00AC5BAF"/>
    <w:rsid w:val="00AC6AF6"/>
    <w:rsid w:val="00AC6D2A"/>
    <w:rsid w:val="00AC7A19"/>
    <w:rsid w:val="00AD006E"/>
    <w:rsid w:val="00AD1708"/>
    <w:rsid w:val="00AD2473"/>
    <w:rsid w:val="00AD24D8"/>
    <w:rsid w:val="00AD2663"/>
    <w:rsid w:val="00AD2CB0"/>
    <w:rsid w:val="00AD37A8"/>
    <w:rsid w:val="00AD4231"/>
    <w:rsid w:val="00AD432C"/>
    <w:rsid w:val="00AD4E08"/>
    <w:rsid w:val="00AD59C2"/>
    <w:rsid w:val="00AD7309"/>
    <w:rsid w:val="00AE053E"/>
    <w:rsid w:val="00AE0F83"/>
    <w:rsid w:val="00AE1C75"/>
    <w:rsid w:val="00AE1D5D"/>
    <w:rsid w:val="00AE25A6"/>
    <w:rsid w:val="00AE2C9C"/>
    <w:rsid w:val="00AE46EB"/>
    <w:rsid w:val="00AE48DA"/>
    <w:rsid w:val="00AE517D"/>
    <w:rsid w:val="00AE63F4"/>
    <w:rsid w:val="00AE6646"/>
    <w:rsid w:val="00AE672D"/>
    <w:rsid w:val="00AE6A99"/>
    <w:rsid w:val="00AF0A08"/>
    <w:rsid w:val="00AF236A"/>
    <w:rsid w:val="00AF2679"/>
    <w:rsid w:val="00AF45D6"/>
    <w:rsid w:val="00AF60CC"/>
    <w:rsid w:val="00AF7062"/>
    <w:rsid w:val="00B0082B"/>
    <w:rsid w:val="00B00A2A"/>
    <w:rsid w:val="00B00EFD"/>
    <w:rsid w:val="00B105A8"/>
    <w:rsid w:val="00B1188C"/>
    <w:rsid w:val="00B12B80"/>
    <w:rsid w:val="00B17675"/>
    <w:rsid w:val="00B176DB"/>
    <w:rsid w:val="00B17D20"/>
    <w:rsid w:val="00B17FAF"/>
    <w:rsid w:val="00B20547"/>
    <w:rsid w:val="00B20FFE"/>
    <w:rsid w:val="00B212AA"/>
    <w:rsid w:val="00B2377F"/>
    <w:rsid w:val="00B25BFE"/>
    <w:rsid w:val="00B25E0E"/>
    <w:rsid w:val="00B261A9"/>
    <w:rsid w:val="00B301E8"/>
    <w:rsid w:val="00B30BA2"/>
    <w:rsid w:val="00B30D8F"/>
    <w:rsid w:val="00B31426"/>
    <w:rsid w:val="00B32312"/>
    <w:rsid w:val="00B32D1C"/>
    <w:rsid w:val="00B352B9"/>
    <w:rsid w:val="00B361AA"/>
    <w:rsid w:val="00B36C70"/>
    <w:rsid w:val="00B40935"/>
    <w:rsid w:val="00B42721"/>
    <w:rsid w:val="00B42D0D"/>
    <w:rsid w:val="00B4657F"/>
    <w:rsid w:val="00B46905"/>
    <w:rsid w:val="00B469F1"/>
    <w:rsid w:val="00B477E8"/>
    <w:rsid w:val="00B50169"/>
    <w:rsid w:val="00B50B39"/>
    <w:rsid w:val="00B51B4D"/>
    <w:rsid w:val="00B52888"/>
    <w:rsid w:val="00B55049"/>
    <w:rsid w:val="00B56A6A"/>
    <w:rsid w:val="00B56BFD"/>
    <w:rsid w:val="00B63AED"/>
    <w:rsid w:val="00B64B1D"/>
    <w:rsid w:val="00B64CE4"/>
    <w:rsid w:val="00B662A0"/>
    <w:rsid w:val="00B662AC"/>
    <w:rsid w:val="00B664E9"/>
    <w:rsid w:val="00B6685D"/>
    <w:rsid w:val="00B6697A"/>
    <w:rsid w:val="00B67BD4"/>
    <w:rsid w:val="00B70783"/>
    <w:rsid w:val="00B7113D"/>
    <w:rsid w:val="00B72990"/>
    <w:rsid w:val="00B72FD7"/>
    <w:rsid w:val="00B732B7"/>
    <w:rsid w:val="00B7331E"/>
    <w:rsid w:val="00B753B4"/>
    <w:rsid w:val="00B7573D"/>
    <w:rsid w:val="00B7608F"/>
    <w:rsid w:val="00B76255"/>
    <w:rsid w:val="00B81C2B"/>
    <w:rsid w:val="00B83A73"/>
    <w:rsid w:val="00B84CEE"/>
    <w:rsid w:val="00B853AE"/>
    <w:rsid w:val="00B85584"/>
    <w:rsid w:val="00B85C13"/>
    <w:rsid w:val="00B85F57"/>
    <w:rsid w:val="00B862EB"/>
    <w:rsid w:val="00B86313"/>
    <w:rsid w:val="00B8723E"/>
    <w:rsid w:val="00B87358"/>
    <w:rsid w:val="00B903A8"/>
    <w:rsid w:val="00B90CF8"/>
    <w:rsid w:val="00B934FD"/>
    <w:rsid w:val="00B95EE9"/>
    <w:rsid w:val="00B969ED"/>
    <w:rsid w:val="00B96BF8"/>
    <w:rsid w:val="00B975F3"/>
    <w:rsid w:val="00BA16A0"/>
    <w:rsid w:val="00BA1E52"/>
    <w:rsid w:val="00BA2DE5"/>
    <w:rsid w:val="00BA41C3"/>
    <w:rsid w:val="00BA4470"/>
    <w:rsid w:val="00BA4A41"/>
    <w:rsid w:val="00BA50C8"/>
    <w:rsid w:val="00BA56F4"/>
    <w:rsid w:val="00BB1882"/>
    <w:rsid w:val="00BB36E0"/>
    <w:rsid w:val="00BB422A"/>
    <w:rsid w:val="00BB5B63"/>
    <w:rsid w:val="00BB64BA"/>
    <w:rsid w:val="00BC26D9"/>
    <w:rsid w:val="00BC5F32"/>
    <w:rsid w:val="00BC6D06"/>
    <w:rsid w:val="00BC7527"/>
    <w:rsid w:val="00BC7C9B"/>
    <w:rsid w:val="00BD0371"/>
    <w:rsid w:val="00BD080B"/>
    <w:rsid w:val="00BD1785"/>
    <w:rsid w:val="00BD1BB9"/>
    <w:rsid w:val="00BD247C"/>
    <w:rsid w:val="00BD2E8F"/>
    <w:rsid w:val="00BD3327"/>
    <w:rsid w:val="00BD4357"/>
    <w:rsid w:val="00BD5E89"/>
    <w:rsid w:val="00BD649E"/>
    <w:rsid w:val="00BD6BC2"/>
    <w:rsid w:val="00BD7C58"/>
    <w:rsid w:val="00BE0F0E"/>
    <w:rsid w:val="00BE20BD"/>
    <w:rsid w:val="00BE3C77"/>
    <w:rsid w:val="00BE44FA"/>
    <w:rsid w:val="00BE5A1F"/>
    <w:rsid w:val="00BE7DD4"/>
    <w:rsid w:val="00BF2C4E"/>
    <w:rsid w:val="00BF40A6"/>
    <w:rsid w:val="00BF445A"/>
    <w:rsid w:val="00BF7074"/>
    <w:rsid w:val="00C03D4F"/>
    <w:rsid w:val="00C044AA"/>
    <w:rsid w:val="00C04F1D"/>
    <w:rsid w:val="00C05450"/>
    <w:rsid w:val="00C057FA"/>
    <w:rsid w:val="00C065AC"/>
    <w:rsid w:val="00C10D81"/>
    <w:rsid w:val="00C11380"/>
    <w:rsid w:val="00C117A8"/>
    <w:rsid w:val="00C11A9B"/>
    <w:rsid w:val="00C11BBA"/>
    <w:rsid w:val="00C1249D"/>
    <w:rsid w:val="00C146E2"/>
    <w:rsid w:val="00C16616"/>
    <w:rsid w:val="00C16ABB"/>
    <w:rsid w:val="00C17AC3"/>
    <w:rsid w:val="00C20FE0"/>
    <w:rsid w:val="00C22B42"/>
    <w:rsid w:val="00C2345B"/>
    <w:rsid w:val="00C2427E"/>
    <w:rsid w:val="00C25A8A"/>
    <w:rsid w:val="00C25DB8"/>
    <w:rsid w:val="00C26C5D"/>
    <w:rsid w:val="00C301DA"/>
    <w:rsid w:val="00C33DD5"/>
    <w:rsid w:val="00C340F4"/>
    <w:rsid w:val="00C36DAE"/>
    <w:rsid w:val="00C36F55"/>
    <w:rsid w:val="00C41952"/>
    <w:rsid w:val="00C44802"/>
    <w:rsid w:val="00C44FF1"/>
    <w:rsid w:val="00C455CD"/>
    <w:rsid w:val="00C45E1C"/>
    <w:rsid w:val="00C45EFC"/>
    <w:rsid w:val="00C4633A"/>
    <w:rsid w:val="00C46699"/>
    <w:rsid w:val="00C47711"/>
    <w:rsid w:val="00C47AB5"/>
    <w:rsid w:val="00C47B14"/>
    <w:rsid w:val="00C50876"/>
    <w:rsid w:val="00C524FD"/>
    <w:rsid w:val="00C53A4F"/>
    <w:rsid w:val="00C53B03"/>
    <w:rsid w:val="00C54CF3"/>
    <w:rsid w:val="00C55CB7"/>
    <w:rsid w:val="00C55CDB"/>
    <w:rsid w:val="00C576C3"/>
    <w:rsid w:val="00C601A6"/>
    <w:rsid w:val="00C61B09"/>
    <w:rsid w:val="00C6315B"/>
    <w:rsid w:val="00C640BC"/>
    <w:rsid w:val="00C6469F"/>
    <w:rsid w:val="00C667B9"/>
    <w:rsid w:val="00C70182"/>
    <w:rsid w:val="00C704A1"/>
    <w:rsid w:val="00C713E8"/>
    <w:rsid w:val="00C7426F"/>
    <w:rsid w:val="00C748CD"/>
    <w:rsid w:val="00C76BC3"/>
    <w:rsid w:val="00C77BB7"/>
    <w:rsid w:val="00C77C61"/>
    <w:rsid w:val="00C77E29"/>
    <w:rsid w:val="00C80B48"/>
    <w:rsid w:val="00C80D48"/>
    <w:rsid w:val="00C82D4C"/>
    <w:rsid w:val="00C8328A"/>
    <w:rsid w:val="00C836F8"/>
    <w:rsid w:val="00C84E1F"/>
    <w:rsid w:val="00C85522"/>
    <w:rsid w:val="00C85BD1"/>
    <w:rsid w:val="00C904E4"/>
    <w:rsid w:val="00C90B4E"/>
    <w:rsid w:val="00C90BC0"/>
    <w:rsid w:val="00C91546"/>
    <w:rsid w:val="00C91719"/>
    <w:rsid w:val="00C9269D"/>
    <w:rsid w:val="00C9336D"/>
    <w:rsid w:val="00C93797"/>
    <w:rsid w:val="00C961B4"/>
    <w:rsid w:val="00CA06E4"/>
    <w:rsid w:val="00CA131E"/>
    <w:rsid w:val="00CA2203"/>
    <w:rsid w:val="00CA2AF1"/>
    <w:rsid w:val="00CA2D7F"/>
    <w:rsid w:val="00CA2FBA"/>
    <w:rsid w:val="00CA3068"/>
    <w:rsid w:val="00CA34CF"/>
    <w:rsid w:val="00CA3500"/>
    <w:rsid w:val="00CA3ED7"/>
    <w:rsid w:val="00CA5303"/>
    <w:rsid w:val="00CA6AA2"/>
    <w:rsid w:val="00CB0B1D"/>
    <w:rsid w:val="00CB23B1"/>
    <w:rsid w:val="00CB2A8C"/>
    <w:rsid w:val="00CB30DF"/>
    <w:rsid w:val="00CB40A9"/>
    <w:rsid w:val="00CB4836"/>
    <w:rsid w:val="00CB59CE"/>
    <w:rsid w:val="00CB6971"/>
    <w:rsid w:val="00CB765D"/>
    <w:rsid w:val="00CC146F"/>
    <w:rsid w:val="00CC15E1"/>
    <w:rsid w:val="00CC17C1"/>
    <w:rsid w:val="00CC212B"/>
    <w:rsid w:val="00CC2DC5"/>
    <w:rsid w:val="00CC38A3"/>
    <w:rsid w:val="00CC4334"/>
    <w:rsid w:val="00CC6D75"/>
    <w:rsid w:val="00CD1136"/>
    <w:rsid w:val="00CD3C38"/>
    <w:rsid w:val="00CD407B"/>
    <w:rsid w:val="00CD4882"/>
    <w:rsid w:val="00CD5352"/>
    <w:rsid w:val="00CD6CBA"/>
    <w:rsid w:val="00CE090C"/>
    <w:rsid w:val="00CE2F3B"/>
    <w:rsid w:val="00CE350B"/>
    <w:rsid w:val="00CE624F"/>
    <w:rsid w:val="00CE7136"/>
    <w:rsid w:val="00CE73A3"/>
    <w:rsid w:val="00CF1B91"/>
    <w:rsid w:val="00CF1DB1"/>
    <w:rsid w:val="00CF1FF9"/>
    <w:rsid w:val="00CF2C8D"/>
    <w:rsid w:val="00CF3F20"/>
    <w:rsid w:val="00CF48E7"/>
    <w:rsid w:val="00CF5183"/>
    <w:rsid w:val="00CF6545"/>
    <w:rsid w:val="00CF6F28"/>
    <w:rsid w:val="00D0047A"/>
    <w:rsid w:val="00D02D10"/>
    <w:rsid w:val="00D041B3"/>
    <w:rsid w:val="00D044ED"/>
    <w:rsid w:val="00D04AC1"/>
    <w:rsid w:val="00D07184"/>
    <w:rsid w:val="00D07B53"/>
    <w:rsid w:val="00D123F5"/>
    <w:rsid w:val="00D13BD3"/>
    <w:rsid w:val="00D14497"/>
    <w:rsid w:val="00D14931"/>
    <w:rsid w:val="00D15C42"/>
    <w:rsid w:val="00D15D24"/>
    <w:rsid w:val="00D17510"/>
    <w:rsid w:val="00D17EB9"/>
    <w:rsid w:val="00D20CC7"/>
    <w:rsid w:val="00D20E5E"/>
    <w:rsid w:val="00D21FC0"/>
    <w:rsid w:val="00D2546E"/>
    <w:rsid w:val="00D27577"/>
    <w:rsid w:val="00D315C4"/>
    <w:rsid w:val="00D31C35"/>
    <w:rsid w:val="00D33750"/>
    <w:rsid w:val="00D337C1"/>
    <w:rsid w:val="00D345EA"/>
    <w:rsid w:val="00D34895"/>
    <w:rsid w:val="00D34F31"/>
    <w:rsid w:val="00D358F5"/>
    <w:rsid w:val="00D36917"/>
    <w:rsid w:val="00D37E40"/>
    <w:rsid w:val="00D41EB0"/>
    <w:rsid w:val="00D41F45"/>
    <w:rsid w:val="00D442D9"/>
    <w:rsid w:val="00D44DC0"/>
    <w:rsid w:val="00D44DD6"/>
    <w:rsid w:val="00D457D6"/>
    <w:rsid w:val="00D459CB"/>
    <w:rsid w:val="00D46205"/>
    <w:rsid w:val="00D47F6C"/>
    <w:rsid w:val="00D47FE7"/>
    <w:rsid w:val="00D527B5"/>
    <w:rsid w:val="00D537BE"/>
    <w:rsid w:val="00D5387E"/>
    <w:rsid w:val="00D57657"/>
    <w:rsid w:val="00D57712"/>
    <w:rsid w:val="00D577EF"/>
    <w:rsid w:val="00D60D73"/>
    <w:rsid w:val="00D615F4"/>
    <w:rsid w:val="00D61BC1"/>
    <w:rsid w:val="00D63B4B"/>
    <w:rsid w:val="00D63C7B"/>
    <w:rsid w:val="00D65C22"/>
    <w:rsid w:val="00D66337"/>
    <w:rsid w:val="00D67059"/>
    <w:rsid w:val="00D67C4D"/>
    <w:rsid w:val="00D73482"/>
    <w:rsid w:val="00D75071"/>
    <w:rsid w:val="00D7513E"/>
    <w:rsid w:val="00D7589C"/>
    <w:rsid w:val="00D762D2"/>
    <w:rsid w:val="00D76561"/>
    <w:rsid w:val="00D76D32"/>
    <w:rsid w:val="00D76EF5"/>
    <w:rsid w:val="00D777E1"/>
    <w:rsid w:val="00D80990"/>
    <w:rsid w:val="00D80F3E"/>
    <w:rsid w:val="00D81CE8"/>
    <w:rsid w:val="00D81F8B"/>
    <w:rsid w:val="00D84047"/>
    <w:rsid w:val="00D86602"/>
    <w:rsid w:val="00D918AD"/>
    <w:rsid w:val="00D91E4C"/>
    <w:rsid w:val="00D93A08"/>
    <w:rsid w:val="00D95364"/>
    <w:rsid w:val="00DA00C3"/>
    <w:rsid w:val="00DA067A"/>
    <w:rsid w:val="00DA1563"/>
    <w:rsid w:val="00DA1C6D"/>
    <w:rsid w:val="00DA253C"/>
    <w:rsid w:val="00DA3321"/>
    <w:rsid w:val="00DA3F3F"/>
    <w:rsid w:val="00DA6FA8"/>
    <w:rsid w:val="00DB4CFD"/>
    <w:rsid w:val="00DB68F0"/>
    <w:rsid w:val="00DB6BA6"/>
    <w:rsid w:val="00DB71C7"/>
    <w:rsid w:val="00DB7213"/>
    <w:rsid w:val="00DB7E46"/>
    <w:rsid w:val="00DC0CDC"/>
    <w:rsid w:val="00DC2BE9"/>
    <w:rsid w:val="00DC2CD5"/>
    <w:rsid w:val="00DC4508"/>
    <w:rsid w:val="00DC4A84"/>
    <w:rsid w:val="00DC728D"/>
    <w:rsid w:val="00DD086C"/>
    <w:rsid w:val="00DD0A37"/>
    <w:rsid w:val="00DD0E17"/>
    <w:rsid w:val="00DD33CB"/>
    <w:rsid w:val="00DD46FB"/>
    <w:rsid w:val="00DD54A9"/>
    <w:rsid w:val="00DD60E2"/>
    <w:rsid w:val="00DD6694"/>
    <w:rsid w:val="00DD6C64"/>
    <w:rsid w:val="00DD6FF4"/>
    <w:rsid w:val="00DD7421"/>
    <w:rsid w:val="00DD783C"/>
    <w:rsid w:val="00DE1036"/>
    <w:rsid w:val="00DE3C26"/>
    <w:rsid w:val="00DE3FDB"/>
    <w:rsid w:val="00DE407E"/>
    <w:rsid w:val="00DE41C6"/>
    <w:rsid w:val="00DE59F1"/>
    <w:rsid w:val="00DE5AFA"/>
    <w:rsid w:val="00DE5F22"/>
    <w:rsid w:val="00DE76E3"/>
    <w:rsid w:val="00DF01D0"/>
    <w:rsid w:val="00DF1106"/>
    <w:rsid w:val="00DF18F5"/>
    <w:rsid w:val="00DF1FB6"/>
    <w:rsid w:val="00DF2F2E"/>
    <w:rsid w:val="00E00E08"/>
    <w:rsid w:val="00E02925"/>
    <w:rsid w:val="00E048BF"/>
    <w:rsid w:val="00E05571"/>
    <w:rsid w:val="00E05820"/>
    <w:rsid w:val="00E074DF"/>
    <w:rsid w:val="00E10EAF"/>
    <w:rsid w:val="00E12EDA"/>
    <w:rsid w:val="00E135A5"/>
    <w:rsid w:val="00E135B1"/>
    <w:rsid w:val="00E1408D"/>
    <w:rsid w:val="00E16456"/>
    <w:rsid w:val="00E17836"/>
    <w:rsid w:val="00E205AB"/>
    <w:rsid w:val="00E20A44"/>
    <w:rsid w:val="00E2184B"/>
    <w:rsid w:val="00E21AB1"/>
    <w:rsid w:val="00E21B83"/>
    <w:rsid w:val="00E22301"/>
    <w:rsid w:val="00E25123"/>
    <w:rsid w:val="00E30953"/>
    <w:rsid w:val="00E31CAB"/>
    <w:rsid w:val="00E343A4"/>
    <w:rsid w:val="00E350F1"/>
    <w:rsid w:val="00E3695A"/>
    <w:rsid w:val="00E36E30"/>
    <w:rsid w:val="00E404F0"/>
    <w:rsid w:val="00E40A57"/>
    <w:rsid w:val="00E40BBD"/>
    <w:rsid w:val="00E4311F"/>
    <w:rsid w:val="00E4319A"/>
    <w:rsid w:val="00E44013"/>
    <w:rsid w:val="00E44EA5"/>
    <w:rsid w:val="00E45216"/>
    <w:rsid w:val="00E452E5"/>
    <w:rsid w:val="00E456E6"/>
    <w:rsid w:val="00E45CB1"/>
    <w:rsid w:val="00E47A75"/>
    <w:rsid w:val="00E50BCB"/>
    <w:rsid w:val="00E51573"/>
    <w:rsid w:val="00E540ED"/>
    <w:rsid w:val="00E5425A"/>
    <w:rsid w:val="00E549A3"/>
    <w:rsid w:val="00E54C35"/>
    <w:rsid w:val="00E56AF0"/>
    <w:rsid w:val="00E571B4"/>
    <w:rsid w:val="00E6034B"/>
    <w:rsid w:val="00E61F40"/>
    <w:rsid w:val="00E61FCC"/>
    <w:rsid w:val="00E634E0"/>
    <w:rsid w:val="00E63E6A"/>
    <w:rsid w:val="00E649AA"/>
    <w:rsid w:val="00E673BC"/>
    <w:rsid w:val="00E67B87"/>
    <w:rsid w:val="00E7114C"/>
    <w:rsid w:val="00E71211"/>
    <w:rsid w:val="00E7133A"/>
    <w:rsid w:val="00E71AA3"/>
    <w:rsid w:val="00E73605"/>
    <w:rsid w:val="00E73E32"/>
    <w:rsid w:val="00E74A87"/>
    <w:rsid w:val="00E751BF"/>
    <w:rsid w:val="00E75C5F"/>
    <w:rsid w:val="00E77774"/>
    <w:rsid w:val="00E77DB0"/>
    <w:rsid w:val="00E81087"/>
    <w:rsid w:val="00E8135A"/>
    <w:rsid w:val="00E819D8"/>
    <w:rsid w:val="00E8202D"/>
    <w:rsid w:val="00E820EF"/>
    <w:rsid w:val="00E82A21"/>
    <w:rsid w:val="00E82C25"/>
    <w:rsid w:val="00E86B3B"/>
    <w:rsid w:val="00E8724C"/>
    <w:rsid w:val="00E87D5C"/>
    <w:rsid w:val="00E904B4"/>
    <w:rsid w:val="00E91C10"/>
    <w:rsid w:val="00E92A3D"/>
    <w:rsid w:val="00E92C71"/>
    <w:rsid w:val="00E93CBB"/>
    <w:rsid w:val="00E9640A"/>
    <w:rsid w:val="00E96888"/>
    <w:rsid w:val="00E96B41"/>
    <w:rsid w:val="00EA10BC"/>
    <w:rsid w:val="00EA28F4"/>
    <w:rsid w:val="00EA30B2"/>
    <w:rsid w:val="00EA38B6"/>
    <w:rsid w:val="00EA5A76"/>
    <w:rsid w:val="00EA5B21"/>
    <w:rsid w:val="00EA5C41"/>
    <w:rsid w:val="00EA6543"/>
    <w:rsid w:val="00EA7A86"/>
    <w:rsid w:val="00EA7B93"/>
    <w:rsid w:val="00EB0525"/>
    <w:rsid w:val="00EB058A"/>
    <w:rsid w:val="00EB176F"/>
    <w:rsid w:val="00EB27B0"/>
    <w:rsid w:val="00EB294A"/>
    <w:rsid w:val="00EB3860"/>
    <w:rsid w:val="00EB4AF2"/>
    <w:rsid w:val="00EB519F"/>
    <w:rsid w:val="00EB6499"/>
    <w:rsid w:val="00EB7DC3"/>
    <w:rsid w:val="00EC03DA"/>
    <w:rsid w:val="00EC084B"/>
    <w:rsid w:val="00EC26BC"/>
    <w:rsid w:val="00EC3253"/>
    <w:rsid w:val="00EC41D8"/>
    <w:rsid w:val="00EC6AE6"/>
    <w:rsid w:val="00EC6B4E"/>
    <w:rsid w:val="00EC715A"/>
    <w:rsid w:val="00EC79E7"/>
    <w:rsid w:val="00ED035F"/>
    <w:rsid w:val="00ED0AFC"/>
    <w:rsid w:val="00ED1B86"/>
    <w:rsid w:val="00ED1FF9"/>
    <w:rsid w:val="00ED2294"/>
    <w:rsid w:val="00ED25AA"/>
    <w:rsid w:val="00ED2AA1"/>
    <w:rsid w:val="00ED2B32"/>
    <w:rsid w:val="00ED2B48"/>
    <w:rsid w:val="00ED41D9"/>
    <w:rsid w:val="00ED43C3"/>
    <w:rsid w:val="00ED58B7"/>
    <w:rsid w:val="00ED5B4F"/>
    <w:rsid w:val="00ED6A50"/>
    <w:rsid w:val="00ED6C56"/>
    <w:rsid w:val="00ED6E93"/>
    <w:rsid w:val="00ED7145"/>
    <w:rsid w:val="00EE4412"/>
    <w:rsid w:val="00EE59C9"/>
    <w:rsid w:val="00EE6ECF"/>
    <w:rsid w:val="00EE700B"/>
    <w:rsid w:val="00EE76A7"/>
    <w:rsid w:val="00EE77E7"/>
    <w:rsid w:val="00EE7E88"/>
    <w:rsid w:val="00EF0366"/>
    <w:rsid w:val="00EF0BC2"/>
    <w:rsid w:val="00EF300F"/>
    <w:rsid w:val="00EF32C1"/>
    <w:rsid w:val="00EF32D7"/>
    <w:rsid w:val="00EF616A"/>
    <w:rsid w:val="00EF619D"/>
    <w:rsid w:val="00EF6383"/>
    <w:rsid w:val="00EF7C08"/>
    <w:rsid w:val="00F0000E"/>
    <w:rsid w:val="00F00168"/>
    <w:rsid w:val="00F011D2"/>
    <w:rsid w:val="00F01CDC"/>
    <w:rsid w:val="00F0213B"/>
    <w:rsid w:val="00F03310"/>
    <w:rsid w:val="00F06A60"/>
    <w:rsid w:val="00F06ADC"/>
    <w:rsid w:val="00F07651"/>
    <w:rsid w:val="00F10AD1"/>
    <w:rsid w:val="00F11209"/>
    <w:rsid w:val="00F11B9C"/>
    <w:rsid w:val="00F12298"/>
    <w:rsid w:val="00F1428A"/>
    <w:rsid w:val="00F1623D"/>
    <w:rsid w:val="00F21010"/>
    <w:rsid w:val="00F25046"/>
    <w:rsid w:val="00F309F8"/>
    <w:rsid w:val="00F309FE"/>
    <w:rsid w:val="00F31325"/>
    <w:rsid w:val="00F334E3"/>
    <w:rsid w:val="00F34A8B"/>
    <w:rsid w:val="00F350E5"/>
    <w:rsid w:val="00F35FFD"/>
    <w:rsid w:val="00F378E4"/>
    <w:rsid w:val="00F37D05"/>
    <w:rsid w:val="00F410BB"/>
    <w:rsid w:val="00F41A5E"/>
    <w:rsid w:val="00F4321D"/>
    <w:rsid w:val="00F45B57"/>
    <w:rsid w:val="00F4739A"/>
    <w:rsid w:val="00F5035B"/>
    <w:rsid w:val="00F50D4A"/>
    <w:rsid w:val="00F51228"/>
    <w:rsid w:val="00F518D6"/>
    <w:rsid w:val="00F5198E"/>
    <w:rsid w:val="00F52168"/>
    <w:rsid w:val="00F52A49"/>
    <w:rsid w:val="00F52B40"/>
    <w:rsid w:val="00F562B4"/>
    <w:rsid w:val="00F56364"/>
    <w:rsid w:val="00F60A8C"/>
    <w:rsid w:val="00F612B5"/>
    <w:rsid w:val="00F61BD3"/>
    <w:rsid w:val="00F61F4F"/>
    <w:rsid w:val="00F65976"/>
    <w:rsid w:val="00F66169"/>
    <w:rsid w:val="00F66972"/>
    <w:rsid w:val="00F66A7B"/>
    <w:rsid w:val="00F67A78"/>
    <w:rsid w:val="00F70373"/>
    <w:rsid w:val="00F718CB"/>
    <w:rsid w:val="00F72549"/>
    <w:rsid w:val="00F72C19"/>
    <w:rsid w:val="00F74B6A"/>
    <w:rsid w:val="00F7502C"/>
    <w:rsid w:val="00F76C8E"/>
    <w:rsid w:val="00F778CA"/>
    <w:rsid w:val="00F807F3"/>
    <w:rsid w:val="00F80995"/>
    <w:rsid w:val="00F818E5"/>
    <w:rsid w:val="00F84689"/>
    <w:rsid w:val="00F8490C"/>
    <w:rsid w:val="00F864AF"/>
    <w:rsid w:val="00F866F5"/>
    <w:rsid w:val="00F90A68"/>
    <w:rsid w:val="00F92826"/>
    <w:rsid w:val="00F93728"/>
    <w:rsid w:val="00F93C74"/>
    <w:rsid w:val="00F95A8A"/>
    <w:rsid w:val="00F9607C"/>
    <w:rsid w:val="00FA04F3"/>
    <w:rsid w:val="00FA06D9"/>
    <w:rsid w:val="00FA234B"/>
    <w:rsid w:val="00FA3DBF"/>
    <w:rsid w:val="00FA5785"/>
    <w:rsid w:val="00FA5810"/>
    <w:rsid w:val="00FA5F20"/>
    <w:rsid w:val="00FB085D"/>
    <w:rsid w:val="00FB1AB2"/>
    <w:rsid w:val="00FB29D1"/>
    <w:rsid w:val="00FB41EE"/>
    <w:rsid w:val="00FB48FD"/>
    <w:rsid w:val="00FB4F42"/>
    <w:rsid w:val="00FB53E0"/>
    <w:rsid w:val="00FB7193"/>
    <w:rsid w:val="00FB7B5D"/>
    <w:rsid w:val="00FC0068"/>
    <w:rsid w:val="00FC0B7C"/>
    <w:rsid w:val="00FC2000"/>
    <w:rsid w:val="00FC2462"/>
    <w:rsid w:val="00FC3733"/>
    <w:rsid w:val="00FC3880"/>
    <w:rsid w:val="00FC4055"/>
    <w:rsid w:val="00FC6A13"/>
    <w:rsid w:val="00FC6D7A"/>
    <w:rsid w:val="00FC7363"/>
    <w:rsid w:val="00FD1237"/>
    <w:rsid w:val="00FD2119"/>
    <w:rsid w:val="00FD2612"/>
    <w:rsid w:val="00FD2819"/>
    <w:rsid w:val="00FD3905"/>
    <w:rsid w:val="00FD3DDC"/>
    <w:rsid w:val="00FD4B1C"/>
    <w:rsid w:val="00FD54D0"/>
    <w:rsid w:val="00FD5DF7"/>
    <w:rsid w:val="00FD64DD"/>
    <w:rsid w:val="00FD6FC3"/>
    <w:rsid w:val="00FE339A"/>
    <w:rsid w:val="00FE6AF2"/>
    <w:rsid w:val="00FE6B7A"/>
    <w:rsid w:val="00FE7362"/>
    <w:rsid w:val="00FE7731"/>
    <w:rsid w:val="00FE7C8E"/>
    <w:rsid w:val="00FE7DEA"/>
    <w:rsid w:val="00FF0430"/>
    <w:rsid w:val="00FF15D9"/>
    <w:rsid w:val="00FF2FB0"/>
    <w:rsid w:val="00FF3EB3"/>
    <w:rsid w:val="00FF679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7265"/>
    <o:shapelayout v:ext="edit">
      <o:idmap v:ext="edit" data="1"/>
    </o:shapelayout>
  </w:shapeDefaults>
  <w:decimalSymbol w:val="."/>
  <w:listSeparator w:val=","/>
  <w14:docId w14:val="692274EB"/>
  <w15:chartTrackingRefBased/>
  <w15:docId w15:val="{3DA2AD09-C8E7-4387-8D50-2CC1D81C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Default Paragraph Font" w:uiPriority="1"/>
    <w:lsdException w:name="Hyperlink"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FINMA Standard"/>
    <w:qFormat/>
    <w:rsid w:val="000A7B20"/>
    <w:pPr>
      <w:spacing w:line="260" w:lineRule="atLeast"/>
    </w:pPr>
    <w:rPr>
      <w:rFonts w:ascii="Arial" w:eastAsia="SimSun" w:hAnsi="Arial"/>
      <w:sz w:val="22"/>
      <w:lang w:eastAsia="zh-CN"/>
    </w:rPr>
  </w:style>
  <w:style w:type="paragraph" w:styleId="Heading1">
    <w:name w:val="heading 1"/>
    <w:aliases w:val="FINMA Überschrift 1"/>
    <w:basedOn w:val="Normal"/>
    <w:next w:val="FINMAStandardAbsatz"/>
    <w:link w:val="Heading1Char"/>
    <w:qFormat/>
    <w:rsid w:val="003B516B"/>
    <w:pPr>
      <w:keepNext/>
      <w:numPr>
        <w:numId w:val="9"/>
      </w:numPr>
      <w:pBdr>
        <w:bottom w:val="single" w:sz="4" w:space="1" w:color="auto"/>
      </w:pBdr>
      <w:shd w:val="clear" w:color="auto" w:fill="A6A6A6"/>
      <w:tabs>
        <w:tab w:val="clear" w:pos="574"/>
        <w:tab w:val="num" w:pos="432"/>
      </w:tabs>
      <w:spacing w:before="600" w:after="480"/>
      <w:ind w:left="432"/>
      <w:outlineLvl w:val="0"/>
    </w:pPr>
    <w:rPr>
      <w:rFonts w:cs="Arial"/>
      <w:bCs/>
      <w:kern w:val="32"/>
      <w:sz w:val="24"/>
      <w:szCs w:val="24"/>
    </w:rPr>
  </w:style>
  <w:style w:type="paragraph" w:styleId="Heading2">
    <w:name w:val="heading 2"/>
    <w:aliases w:val="FINMA Überschrift 2"/>
    <w:basedOn w:val="Normal"/>
    <w:next w:val="FINMAStandardAbsatz"/>
    <w:link w:val="Heading2Char"/>
    <w:qFormat/>
    <w:rsid w:val="00336533"/>
    <w:pPr>
      <w:keepNext/>
      <w:numPr>
        <w:ilvl w:val="1"/>
        <w:numId w:val="9"/>
      </w:numPr>
      <w:tabs>
        <w:tab w:val="clear" w:pos="1285"/>
        <w:tab w:val="num" w:pos="576"/>
      </w:tabs>
      <w:spacing w:before="360" w:after="240"/>
      <w:ind w:left="576" w:right="-23"/>
      <w:outlineLvl w:val="1"/>
    </w:pPr>
    <w:rPr>
      <w:rFonts w:cs="Arial"/>
      <w:sz w:val="24"/>
    </w:rPr>
  </w:style>
  <w:style w:type="paragraph" w:styleId="Heading3">
    <w:name w:val="heading 3"/>
    <w:aliases w:val="FINMA Überschrift 3"/>
    <w:basedOn w:val="Normal"/>
    <w:next w:val="FINMAStandardAbsatz"/>
    <w:link w:val="Heading3Char"/>
    <w:qFormat/>
    <w:rsid w:val="006B1E7D"/>
    <w:pPr>
      <w:keepNext/>
      <w:numPr>
        <w:ilvl w:val="2"/>
        <w:numId w:val="9"/>
      </w:numPr>
      <w:tabs>
        <w:tab w:val="clear" w:pos="6107"/>
        <w:tab w:val="num" w:pos="720"/>
      </w:tabs>
      <w:spacing w:before="360" w:after="240"/>
      <w:ind w:left="720"/>
      <w:outlineLvl w:val="2"/>
    </w:pPr>
    <w:rPr>
      <w:rFonts w:cs="Arial"/>
      <w:bCs/>
      <w:sz w:val="20"/>
      <w:szCs w:val="26"/>
      <w:u w:val="single"/>
    </w:rPr>
  </w:style>
  <w:style w:type="paragraph" w:styleId="Heading4">
    <w:name w:val="heading 4"/>
    <w:aliases w:val="FINMA Überschrift 4"/>
    <w:basedOn w:val="Normal"/>
    <w:next w:val="FINMAStandardAbsatz"/>
    <w:qFormat/>
    <w:rsid w:val="00F66972"/>
    <w:pPr>
      <w:keepNext/>
      <w:numPr>
        <w:ilvl w:val="3"/>
        <w:numId w:val="9"/>
      </w:numPr>
      <w:spacing w:before="360" w:after="240"/>
      <w:outlineLvl w:val="3"/>
    </w:pPr>
    <w:rPr>
      <w:rFonts w:cs="Arial"/>
      <w:bCs/>
      <w:szCs w:val="28"/>
    </w:rPr>
  </w:style>
  <w:style w:type="paragraph" w:styleId="Heading5">
    <w:name w:val="heading 5"/>
    <w:aliases w:val="FINMA Überschrift 5"/>
    <w:basedOn w:val="Normal"/>
    <w:next w:val="FINMAStandardAbsatz"/>
    <w:qFormat/>
    <w:rsid w:val="00F66972"/>
    <w:pPr>
      <w:numPr>
        <w:ilvl w:val="4"/>
        <w:numId w:val="9"/>
      </w:numPr>
      <w:spacing w:before="360" w:after="240"/>
      <w:outlineLvl w:val="4"/>
    </w:pPr>
    <w:rPr>
      <w:bCs/>
      <w:szCs w:val="26"/>
    </w:rPr>
  </w:style>
  <w:style w:type="paragraph" w:styleId="Heading6">
    <w:name w:val="heading 6"/>
    <w:aliases w:val="FINMA Überschrift 6"/>
    <w:basedOn w:val="Normal"/>
    <w:next w:val="FINMAStandardAbsatz"/>
    <w:qFormat/>
    <w:rsid w:val="00F66972"/>
    <w:pPr>
      <w:numPr>
        <w:ilvl w:val="5"/>
        <w:numId w:val="9"/>
      </w:numPr>
      <w:spacing w:before="360" w:after="240"/>
      <w:outlineLvl w:val="5"/>
    </w:pPr>
    <w:rPr>
      <w:rFonts w:cs="Arial"/>
      <w:bCs/>
    </w:rPr>
  </w:style>
  <w:style w:type="paragraph" w:styleId="Heading7">
    <w:name w:val="heading 7"/>
    <w:aliases w:val="FINMA Überschrift 7"/>
    <w:basedOn w:val="Normal"/>
    <w:next w:val="FINMAStandardAbsatz"/>
    <w:qFormat/>
    <w:rsid w:val="00F66972"/>
    <w:pPr>
      <w:numPr>
        <w:ilvl w:val="6"/>
        <w:numId w:val="9"/>
      </w:numPr>
      <w:spacing w:before="360" w:after="240"/>
      <w:outlineLvl w:val="6"/>
    </w:pPr>
    <w:rPr>
      <w:rFonts w:cs="Arial"/>
      <w:bCs/>
      <w:szCs w:val="24"/>
    </w:rPr>
  </w:style>
  <w:style w:type="paragraph" w:styleId="Heading8">
    <w:name w:val="heading 8"/>
    <w:aliases w:val="FINMA Überschrift 8"/>
    <w:basedOn w:val="Normal"/>
    <w:next w:val="FINMAStandardAbsatz"/>
    <w:qFormat/>
    <w:rsid w:val="00F66972"/>
    <w:pPr>
      <w:numPr>
        <w:ilvl w:val="7"/>
        <w:numId w:val="9"/>
      </w:numPr>
      <w:spacing w:before="360" w:after="240"/>
      <w:outlineLvl w:val="7"/>
    </w:pPr>
    <w:rPr>
      <w:rFonts w:cs="Arial"/>
      <w:bCs/>
      <w:szCs w:val="24"/>
    </w:rPr>
  </w:style>
  <w:style w:type="paragraph" w:styleId="Heading9">
    <w:name w:val="heading 9"/>
    <w:aliases w:val="FINMA Überschrift 9"/>
    <w:basedOn w:val="Normal"/>
    <w:next w:val="FINMAStandardAbsatz"/>
    <w:qFormat/>
    <w:rsid w:val="00F66972"/>
    <w:pPr>
      <w:numPr>
        <w:ilvl w:val="8"/>
        <w:numId w:val="9"/>
      </w:numPr>
      <w:spacing w:before="360" w:after="240"/>
      <w:outlineLvl w:val="8"/>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NMAStandardAbsatz">
    <w:name w:val="FINMA Standard Absatz"/>
    <w:basedOn w:val="Normal"/>
    <w:qFormat/>
    <w:rsid w:val="000702B8"/>
    <w:pPr>
      <w:spacing w:before="260" w:after="260"/>
      <w:jc w:val="both"/>
    </w:pPr>
    <w:rPr>
      <w:sz w:val="20"/>
    </w:rPr>
  </w:style>
  <w:style w:type="paragraph" w:styleId="Salutation">
    <w:name w:val="Salutation"/>
    <w:aliases w:val="FINMA Anrede"/>
    <w:basedOn w:val="Normal"/>
    <w:next w:val="FINMAStandardAbsatz"/>
    <w:link w:val="SalutationChar"/>
    <w:rsid w:val="003F4C84"/>
    <w:pPr>
      <w:spacing w:before="260" w:after="260"/>
    </w:pPr>
    <w:rPr>
      <w:noProof/>
    </w:rPr>
  </w:style>
  <w:style w:type="character" w:customStyle="1" w:styleId="SalutationChar">
    <w:name w:val="Salutation Char"/>
    <w:aliases w:val="FINMA Anrede Char"/>
    <w:link w:val="Salutation"/>
    <w:rsid w:val="001C3F75"/>
    <w:rPr>
      <w:rFonts w:ascii="Arial" w:hAnsi="Arial"/>
      <w:noProof/>
      <w:lang w:eastAsia="de-DE"/>
    </w:rPr>
  </w:style>
  <w:style w:type="paragraph" w:customStyle="1" w:styleId="FINMABeilagen">
    <w:name w:val="FINMA Beilagen"/>
    <w:basedOn w:val="Normal"/>
    <w:next w:val="FINMAStandardAbsatz"/>
    <w:rsid w:val="000C54AF"/>
    <w:pPr>
      <w:tabs>
        <w:tab w:val="left" w:pos="1260"/>
      </w:tabs>
      <w:spacing w:before="840" w:after="260"/>
      <w:ind w:left="1259" w:hanging="1259"/>
    </w:pPr>
    <w:rPr>
      <w:szCs w:val="22"/>
    </w:rPr>
  </w:style>
  <w:style w:type="paragraph" w:customStyle="1" w:styleId="FINMAGrussformelFINMA">
    <w:name w:val="FINMA Grussformel FINMA"/>
    <w:basedOn w:val="Normal"/>
    <w:next w:val="FINMABeilagen"/>
    <w:rsid w:val="000C54AF"/>
    <w:pPr>
      <w:tabs>
        <w:tab w:val="left" w:pos="5400"/>
      </w:tabs>
      <w:spacing w:before="520"/>
    </w:pPr>
    <w:rPr>
      <w:rFonts w:cs="Arial"/>
      <w:szCs w:val="22"/>
    </w:rPr>
  </w:style>
  <w:style w:type="paragraph" w:styleId="TOC1">
    <w:name w:val="toc 1"/>
    <w:basedOn w:val="Normal"/>
    <w:next w:val="Normal"/>
    <w:autoRedefine/>
    <w:uiPriority w:val="39"/>
    <w:rsid w:val="000702B8"/>
    <w:pPr>
      <w:tabs>
        <w:tab w:val="left" w:pos="360"/>
        <w:tab w:val="right" w:leader="dot" w:pos="9072"/>
      </w:tabs>
      <w:spacing w:before="480" w:after="240"/>
      <w:ind w:left="357" w:hanging="357"/>
    </w:pPr>
    <w:rPr>
      <w:rFonts w:cs="Arial"/>
      <w:b/>
      <w:bCs/>
      <w:noProof/>
      <w:szCs w:val="22"/>
      <w:lang w:eastAsia="de-CH"/>
    </w:rPr>
  </w:style>
  <w:style w:type="paragraph" w:styleId="TOC2">
    <w:name w:val="toc 2"/>
    <w:basedOn w:val="Normal"/>
    <w:next w:val="FINMAStandardAbsatz"/>
    <w:autoRedefine/>
    <w:uiPriority w:val="39"/>
    <w:rsid w:val="00BE20BD"/>
    <w:pPr>
      <w:tabs>
        <w:tab w:val="left" w:pos="900"/>
        <w:tab w:val="right" w:leader="dot" w:pos="9072"/>
      </w:tabs>
      <w:spacing w:after="120"/>
      <w:ind w:left="896" w:hanging="561"/>
    </w:pPr>
    <w:rPr>
      <w:rFonts w:cs="Arial"/>
      <w:iCs/>
      <w:noProof/>
      <w:sz w:val="20"/>
      <w:lang w:eastAsia="de-CH"/>
    </w:rPr>
  </w:style>
  <w:style w:type="paragraph" w:styleId="TOC3">
    <w:name w:val="toc 3"/>
    <w:basedOn w:val="Normal"/>
    <w:next w:val="FINMAStandardAbsatz"/>
    <w:autoRedefine/>
    <w:uiPriority w:val="39"/>
    <w:rsid w:val="00BE20BD"/>
    <w:pPr>
      <w:tabs>
        <w:tab w:val="left" w:pos="1980"/>
        <w:tab w:val="right" w:leader="dot" w:pos="9072"/>
      </w:tabs>
      <w:spacing w:after="120"/>
      <w:ind w:left="1979" w:hanging="1077"/>
    </w:pPr>
    <w:rPr>
      <w:rFonts w:cs="Arial"/>
      <w:sz w:val="20"/>
      <w:lang w:eastAsia="de-CH"/>
    </w:rPr>
  </w:style>
  <w:style w:type="paragraph" w:styleId="TOC4">
    <w:name w:val="toc 4"/>
    <w:basedOn w:val="Normal"/>
    <w:next w:val="FINMAStandardAbsatz"/>
    <w:autoRedefine/>
    <w:semiHidden/>
    <w:rsid w:val="00F66972"/>
    <w:pPr>
      <w:tabs>
        <w:tab w:val="left" w:pos="1980"/>
        <w:tab w:val="right" w:leader="dot" w:pos="8278"/>
      </w:tabs>
      <w:spacing w:after="120"/>
      <w:ind w:left="1979" w:right="822" w:hanging="1077"/>
    </w:pPr>
    <w:rPr>
      <w:rFonts w:cs="Arial"/>
      <w:lang w:eastAsia="de-CH"/>
    </w:rPr>
  </w:style>
  <w:style w:type="paragraph" w:styleId="TOC5">
    <w:name w:val="toc 5"/>
    <w:basedOn w:val="Normal"/>
    <w:next w:val="FINMAStandardAbsatz"/>
    <w:autoRedefine/>
    <w:semiHidden/>
    <w:rsid w:val="00F66972"/>
    <w:pPr>
      <w:tabs>
        <w:tab w:val="left" w:pos="1980"/>
        <w:tab w:val="right" w:leader="dot" w:pos="8278"/>
      </w:tabs>
      <w:spacing w:after="120"/>
      <w:ind w:left="1979" w:right="822" w:hanging="1100"/>
    </w:pPr>
  </w:style>
  <w:style w:type="paragraph" w:styleId="TOC6">
    <w:name w:val="toc 6"/>
    <w:basedOn w:val="Normal"/>
    <w:next w:val="FINMAStandardAbsatz"/>
    <w:autoRedefine/>
    <w:semiHidden/>
    <w:rsid w:val="00F66972"/>
    <w:pPr>
      <w:tabs>
        <w:tab w:val="left" w:pos="1980"/>
        <w:tab w:val="right" w:leader="dot" w:pos="8273"/>
      </w:tabs>
      <w:spacing w:after="120"/>
      <w:ind w:left="1979" w:right="822" w:hanging="1072"/>
    </w:pPr>
    <w:rPr>
      <w:rFonts w:cs="Arial"/>
      <w:noProof/>
    </w:rPr>
  </w:style>
  <w:style w:type="paragraph" w:styleId="TOC7">
    <w:name w:val="toc 7"/>
    <w:basedOn w:val="Normal"/>
    <w:next w:val="FINMAStandardAbsatz"/>
    <w:autoRedefine/>
    <w:semiHidden/>
    <w:rsid w:val="00F66972"/>
    <w:pPr>
      <w:tabs>
        <w:tab w:val="left" w:pos="2520"/>
        <w:tab w:val="right" w:leader="dot" w:pos="8278"/>
      </w:tabs>
      <w:spacing w:after="120"/>
      <w:ind w:left="2524" w:right="822" w:hanging="1622"/>
    </w:pPr>
    <w:rPr>
      <w:rFonts w:cs="Arial"/>
    </w:rPr>
  </w:style>
  <w:style w:type="paragraph" w:styleId="TOC8">
    <w:name w:val="toc 8"/>
    <w:basedOn w:val="Normal"/>
    <w:next w:val="Normal"/>
    <w:autoRedefine/>
    <w:semiHidden/>
    <w:rsid w:val="00F66972"/>
    <w:pPr>
      <w:tabs>
        <w:tab w:val="left" w:pos="2520"/>
        <w:tab w:val="right" w:leader="dot" w:pos="8278"/>
      </w:tabs>
      <w:spacing w:after="120"/>
      <w:ind w:left="2524" w:right="822" w:hanging="1622"/>
    </w:pPr>
    <w:rPr>
      <w:rFonts w:cs="Arial"/>
    </w:rPr>
  </w:style>
  <w:style w:type="paragraph" w:styleId="TOC9">
    <w:name w:val="toc 9"/>
    <w:basedOn w:val="Normal"/>
    <w:next w:val="FINMAStandardAbsatz"/>
    <w:autoRedefine/>
    <w:semiHidden/>
    <w:rsid w:val="00F66972"/>
    <w:pPr>
      <w:tabs>
        <w:tab w:val="left" w:pos="2520"/>
        <w:tab w:val="right" w:leader="dot" w:pos="8278"/>
      </w:tabs>
      <w:spacing w:after="120"/>
      <w:ind w:left="2524" w:right="822" w:hanging="1622"/>
    </w:pPr>
    <w:rPr>
      <w:rFonts w:cs="Arial"/>
    </w:rPr>
  </w:style>
  <w:style w:type="paragraph" w:customStyle="1" w:styleId="FINMAKopie">
    <w:name w:val="FINMA Kopie"/>
    <w:basedOn w:val="FINMAStandardAbsatz"/>
    <w:next w:val="Kopieeinzug"/>
    <w:rsid w:val="008873E1"/>
    <w:pPr>
      <w:tabs>
        <w:tab w:val="left" w:pos="1260"/>
      </w:tabs>
      <w:spacing w:after="0"/>
      <w:ind w:left="1259" w:hanging="1259"/>
      <w:jc w:val="left"/>
    </w:pPr>
  </w:style>
  <w:style w:type="paragraph" w:customStyle="1" w:styleId="Kopieeinzug">
    <w:name w:val="Kopieeinzug"/>
    <w:basedOn w:val="Normal"/>
    <w:semiHidden/>
    <w:rsid w:val="00F66972"/>
    <w:pPr>
      <w:tabs>
        <w:tab w:val="left" w:pos="1260"/>
      </w:tabs>
      <w:ind w:left="1259"/>
    </w:pPr>
  </w:style>
  <w:style w:type="paragraph" w:styleId="TableofFigures">
    <w:name w:val="table of figures"/>
    <w:basedOn w:val="Normal"/>
    <w:next w:val="Normal"/>
    <w:semiHidden/>
    <w:rsid w:val="00F66972"/>
    <w:pPr>
      <w:ind w:left="440" w:hanging="440"/>
    </w:pPr>
  </w:style>
  <w:style w:type="paragraph" w:customStyle="1" w:styleId="FINMABetreff">
    <w:name w:val="FINMA Betreff"/>
    <w:basedOn w:val="Normal"/>
    <w:rsid w:val="00F66972"/>
    <w:pPr>
      <w:spacing w:before="360"/>
    </w:pPr>
    <w:rPr>
      <w:rFonts w:cs="Arial"/>
      <w:b/>
      <w:szCs w:val="22"/>
    </w:rPr>
  </w:style>
  <w:style w:type="paragraph" w:customStyle="1" w:styleId="FINMAStandardAbsatznachAufzzeichen">
    <w:name w:val="FINMA Standard Absatz nach Aufz.zeichen"/>
    <w:basedOn w:val="FINMAStandardAbsatz"/>
    <w:next w:val="FINMAStandardAbsatz"/>
    <w:rsid w:val="00F66972"/>
  </w:style>
  <w:style w:type="paragraph" w:customStyle="1" w:styleId="FINMATabellemitAufzzeichen">
    <w:name w:val="FINMA Tabelle mit Aufz.zeichen"/>
    <w:basedOn w:val="Normal"/>
    <w:rsid w:val="006B1E7D"/>
    <w:pPr>
      <w:tabs>
        <w:tab w:val="num" w:pos="360"/>
      </w:tabs>
      <w:spacing w:before="60" w:after="60"/>
      <w:ind w:left="360" w:hanging="360"/>
    </w:pPr>
    <w:rPr>
      <w:rFonts w:cs="Arial"/>
      <w:sz w:val="20"/>
      <w:szCs w:val="24"/>
    </w:rPr>
  </w:style>
  <w:style w:type="paragraph" w:customStyle="1" w:styleId="FINMATabelleohneAufzzeichen">
    <w:name w:val="FINMA Tabelle ohne Aufz.zeichen"/>
    <w:basedOn w:val="Normal"/>
    <w:rsid w:val="006B1E7D"/>
    <w:pPr>
      <w:widowControl w:val="0"/>
      <w:spacing w:before="60" w:after="60"/>
    </w:pPr>
    <w:rPr>
      <w:rFonts w:cs="Arial"/>
      <w:sz w:val="20"/>
    </w:rPr>
  </w:style>
  <w:style w:type="paragraph" w:customStyle="1" w:styleId="FINMATabelleTitel">
    <w:name w:val="FINMA Tabelle Titel"/>
    <w:basedOn w:val="Normal"/>
    <w:next w:val="FINMATabellemitAufzzeichen"/>
    <w:rsid w:val="00F66972"/>
    <w:pPr>
      <w:spacing w:before="60" w:after="60"/>
    </w:pPr>
    <w:rPr>
      <w:b/>
      <w:bCs/>
      <w:szCs w:val="24"/>
    </w:rPr>
  </w:style>
  <w:style w:type="paragraph" w:styleId="Header">
    <w:name w:val="header"/>
    <w:aliases w:val="FINMA Kopfzeile"/>
    <w:basedOn w:val="Normal"/>
    <w:link w:val="HeaderChar"/>
    <w:uiPriority w:val="99"/>
    <w:rsid w:val="00F66972"/>
    <w:pPr>
      <w:tabs>
        <w:tab w:val="center" w:pos="4536"/>
        <w:tab w:val="right" w:pos="9072"/>
      </w:tabs>
    </w:pPr>
  </w:style>
  <w:style w:type="paragraph" w:styleId="Footer">
    <w:name w:val="footer"/>
    <w:aliases w:val="FINMA Fußzeile"/>
    <w:basedOn w:val="Normal"/>
    <w:link w:val="FooterChar"/>
    <w:rsid w:val="00F66972"/>
    <w:pPr>
      <w:tabs>
        <w:tab w:val="right" w:pos="8618"/>
      </w:tabs>
    </w:pPr>
    <w:rPr>
      <w:sz w:val="16"/>
    </w:rPr>
  </w:style>
  <w:style w:type="character" w:customStyle="1" w:styleId="FooterChar">
    <w:name w:val="Footer Char"/>
    <w:aliases w:val="FINMA Fußzeile Char"/>
    <w:link w:val="Footer"/>
    <w:rsid w:val="00277161"/>
    <w:rPr>
      <w:rFonts w:ascii="Arial" w:hAnsi="Arial"/>
      <w:sz w:val="16"/>
      <w:lang w:eastAsia="de-DE"/>
    </w:rPr>
  </w:style>
  <w:style w:type="paragraph" w:styleId="FootnoteText">
    <w:name w:val="footnote text"/>
    <w:basedOn w:val="Normal"/>
    <w:semiHidden/>
    <w:rsid w:val="00F66972"/>
    <w:pPr>
      <w:tabs>
        <w:tab w:val="left" w:pos="113"/>
      </w:tabs>
      <w:spacing w:after="60" w:line="240" w:lineRule="auto"/>
      <w:ind w:left="113" w:hanging="113"/>
    </w:pPr>
    <w:rPr>
      <w:sz w:val="18"/>
    </w:rPr>
  </w:style>
  <w:style w:type="character" w:styleId="FootnoteReference">
    <w:name w:val="footnote reference"/>
    <w:semiHidden/>
    <w:rsid w:val="00F66972"/>
    <w:rPr>
      <w:vertAlign w:val="superscript"/>
    </w:rPr>
  </w:style>
  <w:style w:type="paragraph" w:customStyle="1" w:styleId="FINMAAufzhlungEbene1">
    <w:name w:val="FINMA Aufzählung Ebene 1"/>
    <w:basedOn w:val="Normal"/>
    <w:qFormat/>
    <w:rsid w:val="006B1E7D"/>
    <w:pPr>
      <w:numPr>
        <w:numId w:val="22"/>
      </w:numPr>
      <w:spacing w:after="80"/>
      <w:jc w:val="both"/>
    </w:pPr>
    <w:rPr>
      <w:sz w:val="20"/>
    </w:rPr>
  </w:style>
  <w:style w:type="paragraph" w:customStyle="1" w:styleId="FINMAAufzhlungEbene2">
    <w:name w:val="FINMA Aufzählung Ebene 2"/>
    <w:basedOn w:val="Normal"/>
    <w:qFormat/>
    <w:rsid w:val="006B1E7D"/>
    <w:pPr>
      <w:numPr>
        <w:numId w:val="30"/>
      </w:numPr>
      <w:tabs>
        <w:tab w:val="left" w:pos="312"/>
      </w:tabs>
      <w:spacing w:after="80"/>
      <w:ind w:left="765" w:hanging="357"/>
      <w:jc w:val="both"/>
    </w:pPr>
    <w:rPr>
      <w:sz w:val="20"/>
    </w:rPr>
  </w:style>
  <w:style w:type="paragraph" w:customStyle="1" w:styleId="FINMAAufzhlungEbene3">
    <w:name w:val="FINMA Aufzählung Ebene 3"/>
    <w:basedOn w:val="Normal"/>
    <w:qFormat/>
    <w:rsid w:val="000A7B20"/>
    <w:pPr>
      <w:numPr>
        <w:numId w:val="24"/>
      </w:numPr>
      <w:tabs>
        <w:tab w:val="left" w:pos="1038"/>
      </w:tabs>
      <w:spacing w:after="80"/>
      <w:ind w:left="1111" w:hanging="357"/>
      <w:jc w:val="both"/>
    </w:pPr>
    <w:rPr>
      <w:sz w:val="20"/>
    </w:rPr>
  </w:style>
  <w:style w:type="paragraph" w:customStyle="1" w:styleId="FINMAAufzhlungEbene4">
    <w:name w:val="FINMA Aufzählung Ebene 4"/>
    <w:basedOn w:val="FINMAAufzhlungEbene3"/>
    <w:rsid w:val="009B5E70"/>
    <w:pPr>
      <w:numPr>
        <w:numId w:val="25"/>
      </w:numPr>
      <w:tabs>
        <w:tab w:val="clear" w:pos="1038"/>
        <w:tab w:val="left" w:pos="1315"/>
      </w:tabs>
      <w:ind w:left="1406" w:hanging="357"/>
    </w:pPr>
  </w:style>
  <w:style w:type="paragraph" w:customStyle="1" w:styleId="TabelleBlocksatz">
    <w:name w:val="Tabelle Blocksatz"/>
    <w:basedOn w:val="Normal"/>
    <w:semiHidden/>
    <w:rsid w:val="00F66972"/>
    <w:pPr>
      <w:spacing w:before="60" w:after="60"/>
      <w:jc w:val="both"/>
    </w:pPr>
  </w:style>
  <w:style w:type="character" w:styleId="PlaceholderText">
    <w:name w:val="Placeholder Text"/>
    <w:uiPriority w:val="99"/>
    <w:semiHidden/>
    <w:rsid w:val="00F66972"/>
    <w:rPr>
      <w:color w:val="808080"/>
    </w:rPr>
  </w:style>
  <w:style w:type="paragraph" w:customStyle="1" w:styleId="FINMAGeheim">
    <w:name w:val="FINMA Geheim"/>
    <w:basedOn w:val="FINMAStandardAbsatz"/>
    <w:next w:val="FINMAStandardAbsatz"/>
    <w:rsid w:val="00F66972"/>
    <w:pPr>
      <w:spacing w:after="0"/>
    </w:pPr>
    <w:rPr>
      <w:b/>
    </w:rPr>
  </w:style>
  <w:style w:type="paragraph" w:customStyle="1" w:styleId="FINMARf-Aktnr">
    <w:name w:val="FINMA Rf-Akt.nr."/>
    <w:basedOn w:val="FINMAReferenz"/>
    <w:next w:val="Normal"/>
    <w:rsid w:val="00F66972"/>
    <w:pPr>
      <w:framePr w:wrap="around"/>
    </w:pPr>
  </w:style>
  <w:style w:type="paragraph" w:customStyle="1" w:styleId="FINMAReferenz">
    <w:name w:val="FINMA Referenz"/>
    <w:basedOn w:val="Normal"/>
    <w:rsid w:val="00F66972"/>
    <w:pPr>
      <w:framePr w:w="9171" w:h="1654" w:hSpace="142" w:wrap="around" w:vAnchor="text" w:hAnchor="page" w:x="1730" w:y="3034" w:anchorLock="1"/>
      <w:tabs>
        <w:tab w:val="left" w:pos="1276"/>
      </w:tabs>
    </w:pPr>
    <w:rPr>
      <w:sz w:val="16"/>
    </w:rPr>
  </w:style>
  <w:style w:type="character" w:customStyle="1" w:styleId="FINMARf-AktnrZchn">
    <w:name w:val="FINMA Rf-Akt.nr. Zchn"/>
    <w:rsid w:val="00F66972"/>
    <w:rPr>
      <w:rFonts w:ascii="Arial" w:hAnsi="Arial"/>
      <w:sz w:val="16"/>
      <w:szCs w:val="16"/>
      <w:lang w:val="en-GB" w:eastAsia="de-DE" w:bidi="ar-SA"/>
    </w:rPr>
  </w:style>
  <w:style w:type="paragraph" w:styleId="BalloonText">
    <w:name w:val="Balloon Text"/>
    <w:basedOn w:val="Normal"/>
    <w:link w:val="BalloonTextChar"/>
    <w:rsid w:val="007A0CF8"/>
    <w:pPr>
      <w:spacing w:line="240" w:lineRule="auto"/>
    </w:pPr>
    <w:rPr>
      <w:rFonts w:ascii="Tahoma" w:hAnsi="Tahoma" w:cs="Tahoma"/>
      <w:sz w:val="16"/>
      <w:szCs w:val="16"/>
    </w:rPr>
  </w:style>
  <w:style w:type="character" w:customStyle="1" w:styleId="BalloonTextChar">
    <w:name w:val="Balloon Text Char"/>
    <w:link w:val="BalloonText"/>
    <w:rsid w:val="007A0CF8"/>
    <w:rPr>
      <w:rFonts w:ascii="Tahoma" w:hAnsi="Tahoma" w:cs="Tahoma"/>
      <w:sz w:val="16"/>
      <w:szCs w:val="16"/>
      <w:lang w:eastAsia="de-DE"/>
    </w:rPr>
  </w:style>
  <w:style w:type="paragraph" w:customStyle="1" w:styleId="FINMAVertraulichkeitsvermerk">
    <w:name w:val="FINMA Vertraulichkeitsvermerk"/>
    <w:basedOn w:val="Normal"/>
    <w:qFormat/>
    <w:rsid w:val="00B664E9"/>
    <w:rPr>
      <w:b/>
      <w:sz w:val="16"/>
    </w:rPr>
  </w:style>
  <w:style w:type="table" w:styleId="TableGrid">
    <w:name w:val="Table Grid"/>
    <w:basedOn w:val="TableNormal"/>
    <w:rsid w:val="00F669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NMAReferenuValue">
    <w:name w:val="FINMA ReferenuValue"/>
    <w:basedOn w:val="Normal"/>
    <w:rsid w:val="00F66972"/>
    <w:rPr>
      <w:sz w:val="16"/>
    </w:rPr>
  </w:style>
  <w:style w:type="paragraph" w:customStyle="1" w:styleId="FINMANameundFunktion">
    <w:name w:val="FINMA Name und Funktion"/>
    <w:basedOn w:val="Normal"/>
    <w:rsid w:val="000C54AF"/>
  </w:style>
  <w:style w:type="character" w:customStyle="1" w:styleId="HeaderChar">
    <w:name w:val="Header Char"/>
    <w:aliases w:val="FINMA Kopfzeile Char"/>
    <w:link w:val="Header"/>
    <w:uiPriority w:val="99"/>
    <w:rsid w:val="00F72549"/>
    <w:rPr>
      <w:rFonts w:ascii="Arial" w:hAnsi="Arial"/>
      <w:sz w:val="22"/>
      <w:lang w:eastAsia="de-DE"/>
    </w:rPr>
  </w:style>
  <w:style w:type="character" w:customStyle="1" w:styleId="Formatvorlage1">
    <w:name w:val="Formatvorlage1"/>
    <w:basedOn w:val="DefaultParagraphFont"/>
    <w:uiPriority w:val="1"/>
    <w:rsid w:val="00A26324"/>
  </w:style>
  <w:style w:type="paragraph" w:customStyle="1" w:styleId="FINMATitel">
    <w:name w:val="FINMA Titel"/>
    <w:basedOn w:val="FINMAStandardAbsatz"/>
    <w:rsid w:val="00B32D1C"/>
    <w:rPr>
      <w:b/>
      <w:sz w:val="42"/>
    </w:rPr>
  </w:style>
  <w:style w:type="paragraph" w:customStyle="1" w:styleId="FINMAUntertitel">
    <w:name w:val="FINMA Untertitel"/>
    <w:basedOn w:val="Salutation"/>
    <w:rsid w:val="00B32D1C"/>
    <w:rPr>
      <w:sz w:val="42"/>
    </w:rPr>
  </w:style>
  <w:style w:type="paragraph" w:customStyle="1" w:styleId="FINMAGliederungEbene1">
    <w:name w:val="FINMA Gliederung Ebene 1"/>
    <w:basedOn w:val="Normal"/>
    <w:qFormat/>
    <w:rsid w:val="0077534F"/>
    <w:pPr>
      <w:numPr>
        <w:numId w:val="29"/>
      </w:numPr>
      <w:spacing w:after="80"/>
      <w:jc w:val="both"/>
    </w:pPr>
    <w:rPr>
      <w:rFonts w:cs="Arial"/>
      <w:szCs w:val="22"/>
    </w:rPr>
  </w:style>
  <w:style w:type="paragraph" w:customStyle="1" w:styleId="FINMAGliederungEbene2">
    <w:name w:val="FINMA Gliederung Ebene 2"/>
    <w:basedOn w:val="Normal"/>
    <w:qFormat/>
    <w:rsid w:val="0077534F"/>
    <w:pPr>
      <w:numPr>
        <w:ilvl w:val="1"/>
        <w:numId w:val="29"/>
      </w:numPr>
      <w:spacing w:after="80"/>
      <w:jc w:val="both"/>
    </w:pPr>
    <w:rPr>
      <w:rFonts w:cs="Arial"/>
      <w:szCs w:val="22"/>
    </w:rPr>
  </w:style>
  <w:style w:type="paragraph" w:customStyle="1" w:styleId="FINMAGliederungEbene3">
    <w:name w:val="FINMA Gliederung Ebene 3"/>
    <w:basedOn w:val="Normal"/>
    <w:qFormat/>
    <w:rsid w:val="0077534F"/>
    <w:pPr>
      <w:numPr>
        <w:ilvl w:val="2"/>
        <w:numId w:val="29"/>
      </w:numPr>
      <w:spacing w:after="80"/>
      <w:jc w:val="both"/>
    </w:pPr>
    <w:rPr>
      <w:rFonts w:cs="Arial"/>
      <w:szCs w:val="22"/>
    </w:rPr>
  </w:style>
  <w:style w:type="paragraph" w:customStyle="1" w:styleId="FINMAGliederungEbene4">
    <w:name w:val="FINMA Gliederung Ebene 4"/>
    <w:basedOn w:val="Normal"/>
    <w:rsid w:val="0077534F"/>
    <w:pPr>
      <w:numPr>
        <w:ilvl w:val="3"/>
        <w:numId w:val="29"/>
      </w:numPr>
      <w:spacing w:after="80"/>
      <w:jc w:val="both"/>
    </w:pPr>
    <w:rPr>
      <w:rFonts w:cs="Arial"/>
      <w:szCs w:val="22"/>
    </w:rPr>
  </w:style>
  <w:style w:type="paragraph" w:customStyle="1" w:styleId="StandardAbsatz">
    <w:name w:val="Standard Absatz"/>
    <w:basedOn w:val="Normal"/>
    <w:qFormat/>
    <w:rsid w:val="003966DA"/>
    <w:pPr>
      <w:spacing w:before="260" w:after="260"/>
      <w:jc w:val="both"/>
    </w:pPr>
  </w:style>
  <w:style w:type="paragraph" w:customStyle="1" w:styleId="FINMAGliederungEbene5">
    <w:name w:val="FINMA Gliederung Ebene 5"/>
    <w:basedOn w:val="Normal"/>
    <w:rsid w:val="008374F5"/>
    <w:pPr>
      <w:numPr>
        <w:numId w:val="31"/>
      </w:numPr>
      <w:tabs>
        <w:tab w:val="left" w:pos="1004"/>
      </w:tabs>
      <w:spacing w:after="80" w:line="240" w:lineRule="auto"/>
      <w:outlineLvl w:val="4"/>
    </w:pPr>
    <w:rPr>
      <w:szCs w:val="16"/>
    </w:rPr>
  </w:style>
  <w:style w:type="character" w:customStyle="1" w:styleId="Heading1Char">
    <w:name w:val="Heading 1 Char"/>
    <w:aliases w:val="FINMA Überschrift 1 Char"/>
    <w:link w:val="Heading1"/>
    <w:rsid w:val="003B516B"/>
    <w:rPr>
      <w:rFonts w:ascii="Arial" w:eastAsia="SimSun" w:hAnsi="Arial" w:cs="Arial"/>
      <w:bCs/>
      <w:kern w:val="32"/>
      <w:sz w:val="24"/>
      <w:szCs w:val="24"/>
      <w:shd w:val="clear" w:color="auto" w:fill="A6A6A6"/>
      <w:lang w:val="en-GB" w:eastAsia="zh-CN"/>
    </w:rPr>
  </w:style>
  <w:style w:type="character" w:customStyle="1" w:styleId="Heading2Char">
    <w:name w:val="Heading 2 Char"/>
    <w:aliases w:val="FINMA Überschrift 2 Char"/>
    <w:link w:val="Heading2"/>
    <w:rsid w:val="00336533"/>
    <w:rPr>
      <w:rFonts w:ascii="Arial" w:eastAsia="SimSun" w:hAnsi="Arial" w:cs="Arial"/>
      <w:sz w:val="24"/>
      <w:lang w:eastAsia="zh-CN"/>
    </w:rPr>
  </w:style>
  <w:style w:type="character" w:customStyle="1" w:styleId="Heading3Char">
    <w:name w:val="Heading 3 Char"/>
    <w:aliases w:val="FINMA Überschrift 3 Char"/>
    <w:link w:val="Heading3"/>
    <w:rsid w:val="006B1E7D"/>
    <w:rPr>
      <w:rFonts w:ascii="Arial" w:eastAsia="SimSun" w:hAnsi="Arial" w:cs="Arial"/>
      <w:bCs/>
      <w:szCs w:val="26"/>
      <w:u w:val="single"/>
      <w:lang w:val="en-GB" w:eastAsia="zh-CN"/>
    </w:rPr>
  </w:style>
  <w:style w:type="paragraph" w:customStyle="1" w:styleId="StandardTalon">
    <w:name w:val="Standard Talon"/>
    <w:basedOn w:val="Normal"/>
    <w:rsid w:val="0076328E"/>
    <w:pPr>
      <w:spacing w:after="260"/>
    </w:pPr>
    <w:rPr>
      <w:sz w:val="20"/>
    </w:rPr>
  </w:style>
  <w:style w:type="paragraph" w:styleId="CommentText">
    <w:name w:val="annotation text"/>
    <w:basedOn w:val="Normal"/>
    <w:link w:val="CommentTextChar"/>
    <w:unhideWhenUsed/>
    <w:rsid w:val="0076328E"/>
    <w:rPr>
      <w:sz w:val="20"/>
    </w:rPr>
  </w:style>
  <w:style w:type="character" w:customStyle="1" w:styleId="CommentTextChar">
    <w:name w:val="Comment Text Char"/>
    <w:link w:val="CommentText"/>
    <w:rsid w:val="0076328E"/>
    <w:rPr>
      <w:rFonts w:ascii="Arial" w:eastAsia="SimSun" w:hAnsi="Arial"/>
      <w:lang w:val="en-GB" w:eastAsia="zh-CN"/>
    </w:rPr>
  </w:style>
  <w:style w:type="paragraph" w:styleId="ListParagraph">
    <w:name w:val="List Paragraph"/>
    <w:basedOn w:val="Normal"/>
    <w:qFormat/>
    <w:rsid w:val="0076328E"/>
    <w:pPr>
      <w:ind w:left="720"/>
      <w:contextualSpacing/>
    </w:pPr>
  </w:style>
  <w:style w:type="character" w:styleId="CommentReference">
    <w:name w:val="annotation reference"/>
    <w:unhideWhenUsed/>
    <w:rsid w:val="0076328E"/>
    <w:rPr>
      <w:rFonts w:ascii="Times New Roman" w:hAnsi="Times New Roman" w:cs="Times New Roman" w:hint="default"/>
      <w:sz w:val="16"/>
      <w:szCs w:val="16"/>
    </w:rPr>
  </w:style>
  <w:style w:type="paragraph" w:styleId="CommentSubject">
    <w:name w:val="annotation subject"/>
    <w:basedOn w:val="CommentText"/>
    <w:next w:val="CommentText"/>
    <w:link w:val="CommentSubjectChar"/>
    <w:rsid w:val="002E0182"/>
    <w:rPr>
      <w:b/>
      <w:bCs/>
    </w:rPr>
  </w:style>
  <w:style w:type="character" w:customStyle="1" w:styleId="CommentSubjectChar">
    <w:name w:val="Comment Subject Char"/>
    <w:link w:val="CommentSubject"/>
    <w:rsid w:val="002E0182"/>
    <w:rPr>
      <w:rFonts w:ascii="Arial" w:eastAsia="SimSun" w:hAnsi="Arial"/>
      <w:b/>
      <w:bCs/>
      <w:lang w:val="en-GB" w:eastAsia="zh-CN"/>
    </w:rPr>
  </w:style>
  <w:style w:type="paragraph" w:styleId="Revision">
    <w:name w:val="Revision"/>
    <w:hidden/>
    <w:uiPriority w:val="99"/>
    <w:semiHidden/>
    <w:rsid w:val="00FF3EB3"/>
    <w:rPr>
      <w:rFonts w:ascii="Arial" w:eastAsia="SimSun" w:hAnsi="Arial"/>
      <w:sz w:val="22"/>
      <w:lang w:eastAsia="zh-CN"/>
    </w:rPr>
  </w:style>
  <w:style w:type="paragraph" w:styleId="TOCHeading">
    <w:name w:val="TOC Heading"/>
    <w:basedOn w:val="Heading1"/>
    <w:next w:val="Normal"/>
    <w:uiPriority w:val="39"/>
    <w:unhideWhenUsed/>
    <w:qFormat/>
    <w:rsid w:val="00C20FE0"/>
    <w:pPr>
      <w:keepLines/>
      <w:numPr>
        <w:numId w:val="0"/>
      </w:numPr>
      <w:pBdr>
        <w:bottom w:val="none" w:sz="0" w:space="0" w:color="auto"/>
      </w:pBdr>
      <w:shd w:val="clear" w:color="auto" w:fill="auto"/>
      <w:spacing w:before="240" w:after="0" w:line="259" w:lineRule="auto"/>
      <w:outlineLvl w:val="9"/>
    </w:pPr>
    <w:rPr>
      <w:rFonts w:ascii="Calibri Light" w:eastAsia="DengXian Light" w:hAnsi="Calibri Light" w:cs="Times New Roman"/>
      <w:bCs w:val="0"/>
      <w:color w:val="2E74B5"/>
      <w:kern w:val="0"/>
      <w:sz w:val="32"/>
      <w:szCs w:val="32"/>
      <w:lang w:eastAsia="en-US"/>
    </w:rPr>
  </w:style>
  <w:style w:type="character" w:styleId="Hyperlink">
    <w:name w:val="Hyperlink"/>
    <w:uiPriority w:val="99"/>
    <w:unhideWhenUsed/>
    <w:rsid w:val="00C20FE0"/>
    <w:rPr>
      <w:color w:val="0563C1"/>
      <w:u w:val="single"/>
    </w:rPr>
  </w:style>
  <w:style w:type="paragraph" w:customStyle="1" w:styleId="StyleFINMATabelleohneAufzzeichenBold">
    <w:name w:val="Style FINMA Tabelle ohne Aufz.zeichen + Bold"/>
    <w:basedOn w:val="FINMATabelleohneAufzzeichen"/>
    <w:rsid w:val="006B1E7D"/>
    <w:rPr>
      <w:b/>
      <w:bCs/>
    </w:rPr>
  </w:style>
  <w:style w:type="paragraph" w:customStyle="1" w:styleId="StyleHeading1">
    <w:name w:val="Style Heading 1"/>
    <w:aliases w:val="FINMA Überschrift 1 + Bold"/>
    <w:basedOn w:val="Heading1"/>
    <w:rsid w:val="00336533"/>
    <w:pPr>
      <w:shd w:val="clear" w:color="auto" w:fill="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8105">
      <w:bodyDiv w:val="1"/>
      <w:marLeft w:val="0"/>
      <w:marRight w:val="0"/>
      <w:marTop w:val="0"/>
      <w:marBottom w:val="0"/>
      <w:divBdr>
        <w:top w:val="none" w:sz="0" w:space="0" w:color="auto"/>
        <w:left w:val="none" w:sz="0" w:space="0" w:color="auto"/>
        <w:bottom w:val="none" w:sz="0" w:space="0" w:color="auto"/>
        <w:right w:val="none" w:sz="0" w:space="0" w:color="auto"/>
      </w:divBdr>
    </w:div>
    <w:div w:id="133330114">
      <w:bodyDiv w:val="1"/>
      <w:marLeft w:val="0"/>
      <w:marRight w:val="0"/>
      <w:marTop w:val="0"/>
      <w:marBottom w:val="0"/>
      <w:divBdr>
        <w:top w:val="none" w:sz="0" w:space="0" w:color="auto"/>
        <w:left w:val="none" w:sz="0" w:space="0" w:color="auto"/>
        <w:bottom w:val="none" w:sz="0" w:space="0" w:color="auto"/>
        <w:right w:val="none" w:sz="0" w:space="0" w:color="auto"/>
      </w:divBdr>
    </w:div>
    <w:div w:id="220942694">
      <w:bodyDiv w:val="1"/>
      <w:marLeft w:val="0"/>
      <w:marRight w:val="0"/>
      <w:marTop w:val="0"/>
      <w:marBottom w:val="0"/>
      <w:divBdr>
        <w:top w:val="none" w:sz="0" w:space="0" w:color="auto"/>
        <w:left w:val="none" w:sz="0" w:space="0" w:color="auto"/>
        <w:bottom w:val="none" w:sz="0" w:space="0" w:color="auto"/>
        <w:right w:val="none" w:sz="0" w:space="0" w:color="auto"/>
      </w:divBdr>
    </w:div>
    <w:div w:id="394815232">
      <w:bodyDiv w:val="1"/>
      <w:marLeft w:val="0"/>
      <w:marRight w:val="0"/>
      <w:marTop w:val="0"/>
      <w:marBottom w:val="0"/>
      <w:divBdr>
        <w:top w:val="none" w:sz="0" w:space="0" w:color="auto"/>
        <w:left w:val="none" w:sz="0" w:space="0" w:color="auto"/>
        <w:bottom w:val="none" w:sz="0" w:space="0" w:color="auto"/>
        <w:right w:val="none" w:sz="0" w:space="0" w:color="auto"/>
      </w:divBdr>
    </w:div>
    <w:div w:id="456334451">
      <w:bodyDiv w:val="1"/>
      <w:marLeft w:val="0"/>
      <w:marRight w:val="0"/>
      <w:marTop w:val="0"/>
      <w:marBottom w:val="0"/>
      <w:divBdr>
        <w:top w:val="none" w:sz="0" w:space="0" w:color="auto"/>
        <w:left w:val="none" w:sz="0" w:space="0" w:color="auto"/>
        <w:bottom w:val="none" w:sz="0" w:space="0" w:color="auto"/>
        <w:right w:val="none" w:sz="0" w:space="0" w:color="auto"/>
      </w:divBdr>
    </w:div>
    <w:div w:id="459223135">
      <w:bodyDiv w:val="1"/>
      <w:marLeft w:val="0"/>
      <w:marRight w:val="0"/>
      <w:marTop w:val="0"/>
      <w:marBottom w:val="0"/>
      <w:divBdr>
        <w:top w:val="none" w:sz="0" w:space="0" w:color="auto"/>
        <w:left w:val="none" w:sz="0" w:space="0" w:color="auto"/>
        <w:bottom w:val="none" w:sz="0" w:space="0" w:color="auto"/>
        <w:right w:val="none" w:sz="0" w:space="0" w:color="auto"/>
      </w:divBdr>
    </w:div>
    <w:div w:id="517087909">
      <w:bodyDiv w:val="1"/>
      <w:marLeft w:val="0"/>
      <w:marRight w:val="0"/>
      <w:marTop w:val="0"/>
      <w:marBottom w:val="0"/>
      <w:divBdr>
        <w:top w:val="none" w:sz="0" w:space="0" w:color="auto"/>
        <w:left w:val="none" w:sz="0" w:space="0" w:color="auto"/>
        <w:bottom w:val="none" w:sz="0" w:space="0" w:color="auto"/>
        <w:right w:val="none" w:sz="0" w:space="0" w:color="auto"/>
      </w:divBdr>
    </w:div>
    <w:div w:id="696660323">
      <w:bodyDiv w:val="1"/>
      <w:marLeft w:val="0"/>
      <w:marRight w:val="0"/>
      <w:marTop w:val="0"/>
      <w:marBottom w:val="0"/>
      <w:divBdr>
        <w:top w:val="none" w:sz="0" w:space="0" w:color="auto"/>
        <w:left w:val="none" w:sz="0" w:space="0" w:color="auto"/>
        <w:bottom w:val="none" w:sz="0" w:space="0" w:color="auto"/>
        <w:right w:val="none" w:sz="0" w:space="0" w:color="auto"/>
      </w:divBdr>
    </w:div>
    <w:div w:id="772095142">
      <w:bodyDiv w:val="1"/>
      <w:marLeft w:val="0"/>
      <w:marRight w:val="0"/>
      <w:marTop w:val="0"/>
      <w:marBottom w:val="0"/>
      <w:divBdr>
        <w:top w:val="none" w:sz="0" w:space="0" w:color="auto"/>
        <w:left w:val="none" w:sz="0" w:space="0" w:color="auto"/>
        <w:bottom w:val="none" w:sz="0" w:space="0" w:color="auto"/>
        <w:right w:val="none" w:sz="0" w:space="0" w:color="auto"/>
      </w:divBdr>
    </w:div>
    <w:div w:id="779761660">
      <w:bodyDiv w:val="1"/>
      <w:marLeft w:val="0"/>
      <w:marRight w:val="0"/>
      <w:marTop w:val="0"/>
      <w:marBottom w:val="0"/>
      <w:divBdr>
        <w:top w:val="none" w:sz="0" w:space="0" w:color="auto"/>
        <w:left w:val="none" w:sz="0" w:space="0" w:color="auto"/>
        <w:bottom w:val="none" w:sz="0" w:space="0" w:color="auto"/>
        <w:right w:val="none" w:sz="0" w:space="0" w:color="auto"/>
      </w:divBdr>
    </w:div>
    <w:div w:id="866606159">
      <w:bodyDiv w:val="1"/>
      <w:marLeft w:val="0"/>
      <w:marRight w:val="0"/>
      <w:marTop w:val="0"/>
      <w:marBottom w:val="0"/>
      <w:divBdr>
        <w:top w:val="none" w:sz="0" w:space="0" w:color="auto"/>
        <w:left w:val="none" w:sz="0" w:space="0" w:color="auto"/>
        <w:bottom w:val="none" w:sz="0" w:space="0" w:color="auto"/>
        <w:right w:val="none" w:sz="0" w:space="0" w:color="auto"/>
      </w:divBdr>
    </w:div>
    <w:div w:id="961695332">
      <w:bodyDiv w:val="1"/>
      <w:marLeft w:val="0"/>
      <w:marRight w:val="0"/>
      <w:marTop w:val="0"/>
      <w:marBottom w:val="0"/>
      <w:divBdr>
        <w:top w:val="none" w:sz="0" w:space="0" w:color="auto"/>
        <w:left w:val="none" w:sz="0" w:space="0" w:color="auto"/>
        <w:bottom w:val="none" w:sz="0" w:space="0" w:color="auto"/>
        <w:right w:val="none" w:sz="0" w:space="0" w:color="auto"/>
      </w:divBdr>
    </w:div>
    <w:div w:id="1100644117">
      <w:bodyDiv w:val="1"/>
      <w:marLeft w:val="0"/>
      <w:marRight w:val="0"/>
      <w:marTop w:val="0"/>
      <w:marBottom w:val="0"/>
      <w:divBdr>
        <w:top w:val="none" w:sz="0" w:space="0" w:color="auto"/>
        <w:left w:val="none" w:sz="0" w:space="0" w:color="auto"/>
        <w:bottom w:val="none" w:sz="0" w:space="0" w:color="auto"/>
        <w:right w:val="none" w:sz="0" w:space="0" w:color="auto"/>
      </w:divBdr>
    </w:div>
    <w:div w:id="1330982481">
      <w:bodyDiv w:val="1"/>
      <w:marLeft w:val="0"/>
      <w:marRight w:val="0"/>
      <w:marTop w:val="0"/>
      <w:marBottom w:val="0"/>
      <w:divBdr>
        <w:top w:val="none" w:sz="0" w:space="0" w:color="auto"/>
        <w:left w:val="none" w:sz="0" w:space="0" w:color="auto"/>
        <w:bottom w:val="none" w:sz="0" w:space="0" w:color="auto"/>
        <w:right w:val="none" w:sz="0" w:space="0" w:color="auto"/>
      </w:divBdr>
    </w:div>
    <w:div w:id="1333492400">
      <w:bodyDiv w:val="1"/>
      <w:marLeft w:val="0"/>
      <w:marRight w:val="0"/>
      <w:marTop w:val="0"/>
      <w:marBottom w:val="0"/>
      <w:divBdr>
        <w:top w:val="none" w:sz="0" w:space="0" w:color="auto"/>
        <w:left w:val="none" w:sz="0" w:space="0" w:color="auto"/>
        <w:bottom w:val="none" w:sz="0" w:space="0" w:color="auto"/>
        <w:right w:val="none" w:sz="0" w:space="0" w:color="auto"/>
      </w:divBdr>
    </w:div>
    <w:div w:id="1441140780">
      <w:bodyDiv w:val="1"/>
      <w:marLeft w:val="0"/>
      <w:marRight w:val="0"/>
      <w:marTop w:val="0"/>
      <w:marBottom w:val="0"/>
      <w:divBdr>
        <w:top w:val="none" w:sz="0" w:space="0" w:color="auto"/>
        <w:left w:val="none" w:sz="0" w:space="0" w:color="auto"/>
        <w:bottom w:val="none" w:sz="0" w:space="0" w:color="auto"/>
        <w:right w:val="none" w:sz="0" w:space="0" w:color="auto"/>
      </w:divBdr>
    </w:div>
    <w:div w:id="1466118618">
      <w:bodyDiv w:val="1"/>
      <w:marLeft w:val="0"/>
      <w:marRight w:val="0"/>
      <w:marTop w:val="0"/>
      <w:marBottom w:val="0"/>
      <w:divBdr>
        <w:top w:val="none" w:sz="0" w:space="0" w:color="auto"/>
        <w:left w:val="none" w:sz="0" w:space="0" w:color="auto"/>
        <w:bottom w:val="none" w:sz="0" w:space="0" w:color="auto"/>
        <w:right w:val="none" w:sz="0" w:space="0" w:color="auto"/>
      </w:divBdr>
    </w:div>
    <w:div w:id="1760322507">
      <w:bodyDiv w:val="1"/>
      <w:marLeft w:val="0"/>
      <w:marRight w:val="0"/>
      <w:marTop w:val="0"/>
      <w:marBottom w:val="0"/>
      <w:divBdr>
        <w:top w:val="none" w:sz="0" w:space="0" w:color="auto"/>
        <w:left w:val="none" w:sz="0" w:space="0" w:color="auto"/>
        <w:bottom w:val="none" w:sz="0" w:space="0" w:color="auto"/>
        <w:right w:val="none" w:sz="0" w:space="0" w:color="auto"/>
      </w:divBdr>
    </w:div>
    <w:div w:id="1790123786">
      <w:bodyDiv w:val="1"/>
      <w:marLeft w:val="0"/>
      <w:marRight w:val="0"/>
      <w:marTop w:val="0"/>
      <w:marBottom w:val="0"/>
      <w:divBdr>
        <w:top w:val="none" w:sz="0" w:space="0" w:color="auto"/>
        <w:left w:val="none" w:sz="0" w:space="0" w:color="auto"/>
        <w:bottom w:val="none" w:sz="0" w:space="0" w:color="auto"/>
        <w:right w:val="none" w:sz="0" w:space="0" w:color="auto"/>
      </w:divBdr>
    </w:div>
    <w:div w:id="1873179550">
      <w:bodyDiv w:val="1"/>
      <w:marLeft w:val="0"/>
      <w:marRight w:val="0"/>
      <w:marTop w:val="0"/>
      <w:marBottom w:val="0"/>
      <w:divBdr>
        <w:top w:val="none" w:sz="0" w:space="0" w:color="auto"/>
        <w:left w:val="none" w:sz="0" w:space="0" w:color="auto"/>
        <w:bottom w:val="none" w:sz="0" w:space="0" w:color="auto"/>
        <w:right w:val="none" w:sz="0" w:space="0" w:color="auto"/>
      </w:divBdr>
    </w:div>
    <w:div w:id="1924728399">
      <w:bodyDiv w:val="1"/>
      <w:marLeft w:val="0"/>
      <w:marRight w:val="0"/>
      <w:marTop w:val="0"/>
      <w:marBottom w:val="0"/>
      <w:divBdr>
        <w:top w:val="none" w:sz="0" w:space="0" w:color="auto"/>
        <w:left w:val="none" w:sz="0" w:space="0" w:color="auto"/>
        <w:bottom w:val="none" w:sz="0" w:space="0" w:color="auto"/>
        <w:right w:val="none" w:sz="0" w:space="0" w:color="auto"/>
      </w:divBdr>
    </w:div>
    <w:div w:id="204093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nma Document" ma:contentTypeID="0x0101003951D1F36BC944E987AD610ADE6A10C3002366F3BBC8CE234B84695397A2A93407" ma:contentTypeVersion="10" ma:contentTypeDescription="Ein neues Dokument erstellen." ma:contentTypeScope="" ma:versionID="0568cc6719dc77685f726e99c7c2fb4c">
  <xsd:schema xmlns:xsd="http://www.w3.org/2001/XMLSchema" xmlns:xs="http://www.w3.org/2001/XMLSchema" xmlns:p="http://schemas.microsoft.com/office/2006/metadata/properties" xmlns:ns2="82c37705-afd5-4d11-a1ea-0266d9d1a166" xmlns:ns3="http://schemas.microsoft.com/sharepoint/v3/fields" xmlns:ns4="08F44E9F-55A5-4D8C-81FA-E5E52F0C7A16" xmlns:ns5="08f44e9f-55a5-4d8c-81fa-e5e52f0c7a16" targetNamespace="http://schemas.microsoft.com/office/2006/metadata/properties" ma:root="true" ma:fieldsID="17b5d0fba45ccd7280729390c91a62fb" ns2:_="" ns3:_="" ns4:_="" ns5:_="">
    <xsd:import namespace="82c37705-afd5-4d11-a1ea-0266d9d1a166"/>
    <xsd:import namespace="http://schemas.microsoft.com/sharepoint/v3/fields"/>
    <xsd:import namespace="08F44E9F-55A5-4D8C-81FA-E5E52F0C7A16"/>
    <xsd:import namespace="08f44e9f-55a5-4d8c-81fa-e5e52f0c7a16"/>
    <xsd:element name="properties">
      <xsd:complexType>
        <xsd:sequence>
          <xsd:element name="documentManagement">
            <xsd:complexType>
              <xsd:all>
                <xsd:element ref="ns2:_dlc_DocId" minOccurs="0"/>
                <xsd:element ref="ns2:_dlc_DocIdUrl" minOccurs="0"/>
                <xsd:element ref="ns2:_dlc_DocIdPersistId" minOccurs="0"/>
                <xsd:element ref="ns3:Topic_Note" minOccurs="0"/>
                <xsd:element ref="ns3:OU_Note" minOccurs="0"/>
                <xsd:element ref="ns3:OSP_Note" minOccurs="0"/>
                <xsd:element ref="ns4:RetentionPeriod" minOccurs="0"/>
                <xsd:element ref="ns5:SeqenceNumber" minOccurs="0"/>
                <xsd:element ref="ns5:AgendaItemGUID" minOccurs="0"/>
                <xsd:element ref="ns5:ToBeArchived" minOccurs="0"/>
                <xsd:element ref="ns4:Document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37705-afd5-4d11-a1ea-0266d9d1a16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opic_Note" ma:index="14" nillable="true" ma:taxonomy="true" ma:internalName="Topic_Note" ma:taxonomyFieldName="Topic" ma:displayName="Thema" ma:readOnly="false" ma:default="" ma:fieldId="{a64374eb-6e28-4d6b-ae22-c24ecbfd0ec3}" ma:sspId="27609f53-2d13-42be-a2b4-fd8d7f3f64db" ma:termSetId="7b4b023d-5e9a-475b-a148-dfe01b6a8d09" ma:anchorId="00000000-0000-0000-0000-000000000000" ma:open="true" ma:isKeyword="false">
      <xsd:complexType>
        <xsd:sequence>
          <xsd:element ref="pc:Terms" minOccurs="0" maxOccurs="1"/>
        </xsd:sequence>
      </xsd:complexType>
    </xsd:element>
    <xsd:element name="OU_Note" ma:index="16" nillable="true" ma:taxonomy="true" ma:internalName="OU_Note" ma:taxonomyFieldName="OU" ma:displayName="Organisationseinheit" ma:readOnly="false" ma:default="2;#GB-V|f8d7b412-2487-4e9a-b58d-c7490dedd0c5" ma:fieldId="{fcb30f0d-baee-4a7e-876f-d65b0367c7a8}" ma:sspId="27609f53-2d13-42be-a2b4-fd8d7f3f64db" ma:termSetId="2e7da289-48a2-42d8-b875-47a1903a1d9d" ma:anchorId="00000000-0000-0000-0000-000000000000" ma:open="false" ma:isKeyword="false">
      <xsd:complexType>
        <xsd:sequence>
          <xsd:element ref="pc:Terms" minOccurs="0" maxOccurs="1"/>
        </xsd:sequence>
      </xsd:complexType>
    </xsd:element>
    <xsd:element name="OSP_Note" ma:index="18" nillable="true" ma:taxonomy="true" ma:internalName="OSP_Note" ma:taxonomyFieldName="OSP" ma:displayName="Ordnungssystemposition" ma:readOnly="false" ma:fieldId="{47fc1aad-a32f-4b87-b398-8d261b0da966}" ma:sspId="27609f53-2d13-42be-a2b4-fd8d7f3f64db" ma:termSetId="6eefd7ee-d6f6-47de-bb49-f1d3420203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F44E9F-55A5-4D8C-81FA-E5E52F0C7A16" elementFormDefault="qualified">
    <xsd:import namespace="http://schemas.microsoft.com/office/2006/documentManagement/types"/>
    <xsd:import namespace="http://schemas.microsoft.com/office/infopath/2007/PartnerControls"/>
    <xsd:element name="RetentionPeriod" ma:index="19" nillable="true" ma:displayName="Aufbewahrungsfrist" ma:description="Aufbewahrungsfrist des Dossiers" ma:hidden="true" ma:internalName="RetentionPeriod" ma:readOnly="false">
      <xsd:simpleType>
        <xsd:restriction base="dms:Text"/>
      </xsd:simpleType>
    </xsd:element>
    <xsd:element name="DocumentDate" ma:index="23" ma:displayName="Datum" ma:default="[today]" ma:description="Dokumentendatum" ma:format="DateOnly" ma:internalName="Documen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8f44e9f-55a5-4d8c-81fa-e5e52f0c7a16" elementFormDefault="qualified">
    <xsd:import namespace="http://schemas.microsoft.com/office/2006/documentManagement/types"/>
    <xsd:import namespace="http://schemas.microsoft.com/office/infopath/2007/PartnerControls"/>
    <xsd:element name="SeqenceNumber" ma:index="20" nillable="true" ma:displayName="Reihenfolge Nummer" ma:internalName="SeqenceNumber" ma:readOnly="false">
      <xsd:simpleType>
        <xsd:restriction base="dms:Unknown"/>
      </xsd:simpleType>
    </xsd:element>
    <xsd:element name="AgendaItemGUID" ma:index="21" nillable="true" ma:displayName="Traktandum GUID" ma:internalName="AgendaItemGUID" ma:readOnly="false">
      <xsd:simpleType>
        <xsd:restriction base="dms:Text"/>
      </xsd:simpleType>
    </xsd:element>
    <xsd:element name="ToBeArchived" ma:index="22" nillable="true" ma:displayName="Archivwürdig" ma:description="Soll das Dossier archiviert werden" ma:hidden="true" ma:internalName="ToBeArchive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opic_Note xmlns="http://schemas.microsoft.com/sharepoint/v3/fields">
      <Terms xmlns="http://schemas.microsoft.com/office/infopath/2007/PartnerControls">
        <TermInfo xmlns="http://schemas.microsoft.com/office/infopath/2007/PartnerControls">
          <TermName xmlns="http://schemas.microsoft.com/office/infopath/2007/PartnerControls">Aufsichtsabgabe</TermName>
          <TermId xmlns="http://schemas.microsoft.com/office/infopath/2007/PartnerControls">1bb1ff23-244b-430d-b77e-6c87f49b07f4</TermId>
        </TermInfo>
      </Terms>
    </Topic_Note>
    <OU_Note xmlns="http://schemas.microsoft.com/sharepoint/v3/fields">
      <Terms xmlns="http://schemas.microsoft.com/office/infopath/2007/PartnerControls">
        <TermInfo xmlns="http://schemas.microsoft.com/office/infopath/2007/PartnerControls">
          <TermName xmlns="http://schemas.microsoft.com/office/infopath/2007/PartnerControls">GB-V</TermName>
          <TermId xmlns="http://schemas.microsoft.com/office/infopath/2007/PartnerControls">f8d7b412-2487-4e9a-b58d-c7490dedd0c5</TermId>
        </TermInfo>
      </Terms>
    </OU_Note>
    <OSP_Note xmlns="http://schemas.microsoft.com/sharepoint/v3/fields">
      <Terms xmlns="http://schemas.microsoft.com/office/infopath/2007/PartnerControls">
        <TermInfo xmlns="http://schemas.microsoft.com/office/infopath/2007/PartnerControls">
          <TermName xmlns="http://schemas.microsoft.com/office/infopath/2007/PartnerControls">4-02.9 Verschiedenes</TermName>
          <TermId xmlns="http://schemas.microsoft.com/office/infopath/2007/PartnerControls">b7add63a-7a8a-4b8a-bfff-6c9ce2cbce07</TermId>
        </TermInfo>
      </Terms>
    </OSP_Note>
    <RetentionPeriod xmlns="08F44E9F-55A5-4D8C-81FA-E5E52F0C7A16">15</RetentionPeriod>
    <DocumentDate xmlns="08F44E9F-55A5-4D8C-81FA-E5E52F0C7A16">2011-01-27T23:00:00+00:00</DocumentDate>
    <ToBeArchived xmlns="08f44e9f-55a5-4d8c-81fa-e5e52f0c7a16">Nein</ToBeArchived>
    <_dlc_DocId xmlns="82c37705-afd5-4d11-a1ea-0266d9d1a166">6009-P-2-5407</_dlc_DocId>
    <_dlc_DocIdUrl xmlns="82c37705-afd5-4d11-a1ea-0266d9d1a166">
      <Url>https://dok.finma.ch/sites/6009-P/_layouts/15/DocIdRedir.aspx?ID=6009-P-2-5407</Url>
      <Description>6009-P-2-5407</Description>
    </_dlc_DocIdUrl>
    <AgendaItemGUID xmlns="08f44e9f-55a5-4d8c-81fa-e5e52f0c7a16" xsi:nil="true"/>
    <SeqenceNumber xmlns="08f44e9f-55a5-4d8c-81fa-e5e52f0c7a1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8C7E9CE7-CDE8-43ED-9E18-4411E3742ECD}"/>
</file>

<file path=customXml/itemProps2.xml><?xml version="1.0" encoding="utf-8"?>
<ds:datastoreItem xmlns:ds="http://schemas.openxmlformats.org/officeDocument/2006/customXml" ds:itemID="{3DF6C280-52F3-47C3-80D2-EE4FC5060F06}">
  <ds:schemaRefs>
    <ds:schemaRef ds:uri="http://schemas.microsoft.com/sharepoint/events"/>
  </ds:schemaRefs>
</ds:datastoreItem>
</file>

<file path=customXml/itemProps3.xml><?xml version="1.0" encoding="utf-8"?>
<ds:datastoreItem xmlns:ds="http://schemas.openxmlformats.org/officeDocument/2006/customXml" ds:itemID="{313AD178-3FE8-43DB-9804-5CDCB9F3C57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AB9BBCC-83C6-4736-B39B-ABA04A32D413"/>
    <ds:schemaRef ds:uri="http://schemas.openxmlformats.org/package/2006/metadata/core-properties"/>
    <ds:schemaRef ds:uri="http://purl.org/dc/terms/"/>
    <ds:schemaRef ds:uri="1ab9bbcc-83c6-4736-b39b-aba04a32d413"/>
    <ds:schemaRef ds:uri="a13ce8e2-0bfa-4ae3-b62f-afeb61f48330"/>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483E9175-003F-4F35-B708-C7D06D664883}">
  <ds:schemaRefs>
    <ds:schemaRef ds:uri="http://schemas.microsoft.com/sharepoint/v3/contenttype/forms"/>
  </ds:schemaRefs>
</ds:datastoreItem>
</file>

<file path=customXml/itemProps5.xml><?xml version="1.0" encoding="utf-8"?>
<ds:datastoreItem xmlns:ds="http://schemas.openxmlformats.org/officeDocument/2006/customXml" ds:itemID="{9557ED41-4A44-4E32-AF3E-2D911E557A8F}">
  <ds:schemaRefs>
    <ds:schemaRef ds:uri="http://schemas.openxmlformats.org/officeDocument/2006/bibliography"/>
  </ds:schemaRefs>
</ds:datastoreItem>
</file>

<file path=customXml/itemProps6.xml><?xml version="1.0" encoding="utf-8"?>
<ds:datastoreItem xmlns:ds="http://schemas.openxmlformats.org/officeDocument/2006/customXml" ds:itemID="{DDA78523-DD60-43A4-9869-9FA48BD501FF}">
  <ds:schemaRefs>
    <ds:schemaRef ds:uri="http://schemas.microsoft.com/office/2006/metadata/longPropertie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16</ap:Pages>
  <ap:Words>3656</ap:Words>
  <ap:Characters>23659</ap:Characters>
  <ap:Application>Microsoft Office Word</ap:Application>
  <ap:DocSecurity>0</ap:DocSecurity>
  <ap:Lines>197</ap:Lines>
  <ap:Paragraphs>54</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D Basis Hoch</vt:lpstr>
      <vt:lpstr>D Basis Hoch</vt:lpstr>
    </vt:vector>
  </ap:TitlesOfParts>
  <ap:LinksUpToDate>false</ap:LinksUpToDate>
  <ap:CharactersWithSpaces>27261</ap:CharactersWithSpaces>
  <ap:SharedDoc>false</ap:SharedDoc>
  <ap:HLinks>
    <vt:vector baseType="variant" size="144">
      <vt:variant>
        <vt:i4>1900597</vt:i4>
      </vt:variant>
      <vt:variant>
        <vt:i4>140</vt:i4>
      </vt:variant>
      <vt:variant>
        <vt:i4>0</vt:i4>
      </vt:variant>
      <vt:variant>
        <vt:i4>5</vt:i4>
      </vt:variant>
      <vt:variant>
        <vt:lpwstr/>
      </vt:variant>
      <vt:variant>
        <vt:lpwstr>_Toc500944473</vt:lpwstr>
      </vt:variant>
      <vt:variant>
        <vt:i4>1900597</vt:i4>
      </vt:variant>
      <vt:variant>
        <vt:i4>134</vt:i4>
      </vt:variant>
      <vt:variant>
        <vt:i4>0</vt:i4>
      </vt:variant>
      <vt:variant>
        <vt:i4>5</vt:i4>
      </vt:variant>
      <vt:variant>
        <vt:lpwstr/>
      </vt:variant>
      <vt:variant>
        <vt:lpwstr>_Toc500944472</vt:lpwstr>
      </vt:variant>
      <vt:variant>
        <vt:i4>1900597</vt:i4>
      </vt:variant>
      <vt:variant>
        <vt:i4>128</vt:i4>
      </vt:variant>
      <vt:variant>
        <vt:i4>0</vt:i4>
      </vt:variant>
      <vt:variant>
        <vt:i4>5</vt:i4>
      </vt:variant>
      <vt:variant>
        <vt:lpwstr/>
      </vt:variant>
      <vt:variant>
        <vt:lpwstr>_Toc500944471</vt:lpwstr>
      </vt:variant>
      <vt:variant>
        <vt:i4>1900597</vt:i4>
      </vt:variant>
      <vt:variant>
        <vt:i4>122</vt:i4>
      </vt:variant>
      <vt:variant>
        <vt:i4>0</vt:i4>
      </vt:variant>
      <vt:variant>
        <vt:i4>5</vt:i4>
      </vt:variant>
      <vt:variant>
        <vt:lpwstr/>
      </vt:variant>
      <vt:variant>
        <vt:lpwstr>_Toc500944470</vt:lpwstr>
      </vt:variant>
      <vt:variant>
        <vt:i4>1835061</vt:i4>
      </vt:variant>
      <vt:variant>
        <vt:i4>116</vt:i4>
      </vt:variant>
      <vt:variant>
        <vt:i4>0</vt:i4>
      </vt:variant>
      <vt:variant>
        <vt:i4>5</vt:i4>
      </vt:variant>
      <vt:variant>
        <vt:lpwstr/>
      </vt:variant>
      <vt:variant>
        <vt:lpwstr>_Toc500944469</vt:lpwstr>
      </vt:variant>
      <vt:variant>
        <vt:i4>1835061</vt:i4>
      </vt:variant>
      <vt:variant>
        <vt:i4>110</vt:i4>
      </vt:variant>
      <vt:variant>
        <vt:i4>0</vt:i4>
      </vt:variant>
      <vt:variant>
        <vt:i4>5</vt:i4>
      </vt:variant>
      <vt:variant>
        <vt:lpwstr/>
      </vt:variant>
      <vt:variant>
        <vt:lpwstr>_Toc500944468</vt:lpwstr>
      </vt:variant>
      <vt:variant>
        <vt:i4>1835061</vt:i4>
      </vt:variant>
      <vt:variant>
        <vt:i4>104</vt:i4>
      </vt:variant>
      <vt:variant>
        <vt:i4>0</vt:i4>
      </vt:variant>
      <vt:variant>
        <vt:i4>5</vt:i4>
      </vt:variant>
      <vt:variant>
        <vt:lpwstr/>
      </vt:variant>
      <vt:variant>
        <vt:lpwstr>_Toc500944467</vt:lpwstr>
      </vt:variant>
      <vt:variant>
        <vt:i4>1835061</vt:i4>
      </vt:variant>
      <vt:variant>
        <vt:i4>98</vt:i4>
      </vt:variant>
      <vt:variant>
        <vt:i4>0</vt:i4>
      </vt:variant>
      <vt:variant>
        <vt:i4>5</vt:i4>
      </vt:variant>
      <vt:variant>
        <vt:lpwstr/>
      </vt:variant>
      <vt:variant>
        <vt:lpwstr>_Toc500944466</vt:lpwstr>
      </vt:variant>
      <vt:variant>
        <vt:i4>1835061</vt:i4>
      </vt:variant>
      <vt:variant>
        <vt:i4>92</vt:i4>
      </vt:variant>
      <vt:variant>
        <vt:i4>0</vt:i4>
      </vt:variant>
      <vt:variant>
        <vt:i4>5</vt:i4>
      </vt:variant>
      <vt:variant>
        <vt:lpwstr/>
      </vt:variant>
      <vt:variant>
        <vt:lpwstr>_Toc500944465</vt:lpwstr>
      </vt:variant>
      <vt:variant>
        <vt:i4>1835061</vt:i4>
      </vt:variant>
      <vt:variant>
        <vt:i4>86</vt:i4>
      </vt:variant>
      <vt:variant>
        <vt:i4>0</vt:i4>
      </vt:variant>
      <vt:variant>
        <vt:i4>5</vt:i4>
      </vt:variant>
      <vt:variant>
        <vt:lpwstr/>
      </vt:variant>
      <vt:variant>
        <vt:lpwstr>_Toc500944464</vt:lpwstr>
      </vt:variant>
      <vt:variant>
        <vt:i4>1835061</vt:i4>
      </vt:variant>
      <vt:variant>
        <vt:i4>80</vt:i4>
      </vt:variant>
      <vt:variant>
        <vt:i4>0</vt:i4>
      </vt:variant>
      <vt:variant>
        <vt:i4>5</vt:i4>
      </vt:variant>
      <vt:variant>
        <vt:lpwstr/>
      </vt:variant>
      <vt:variant>
        <vt:lpwstr>_Toc500944463</vt:lpwstr>
      </vt:variant>
      <vt:variant>
        <vt:i4>1835061</vt:i4>
      </vt:variant>
      <vt:variant>
        <vt:i4>74</vt:i4>
      </vt:variant>
      <vt:variant>
        <vt:i4>0</vt:i4>
      </vt:variant>
      <vt:variant>
        <vt:i4>5</vt:i4>
      </vt:variant>
      <vt:variant>
        <vt:lpwstr/>
      </vt:variant>
      <vt:variant>
        <vt:lpwstr>_Toc500944462</vt:lpwstr>
      </vt:variant>
      <vt:variant>
        <vt:i4>1835061</vt:i4>
      </vt:variant>
      <vt:variant>
        <vt:i4>68</vt:i4>
      </vt:variant>
      <vt:variant>
        <vt:i4>0</vt:i4>
      </vt:variant>
      <vt:variant>
        <vt:i4>5</vt:i4>
      </vt:variant>
      <vt:variant>
        <vt:lpwstr/>
      </vt:variant>
      <vt:variant>
        <vt:lpwstr>_Toc500944461</vt:lpwstr>
      </vt:variant>
      <vt:variant>
        <vt:i4>1835061</vt:i4>
      </vt:variant>
      <vt:variant>
        <vt:i4>62</vt:i4>
      </vt:variant>
      <vt:variant>
        <vt:i4>0</vt:i4>
      </vt:variant>
      <vt:variant>
        <vt:i4>5</vt:i4>
      </vt:variant>
      <vt:variant>
        <vt:lpwstr/>
      </vt:variant>
      <vt:variant>
        <vt:lpwstr>_Toc500944460</vt:lpwstr>
      </vt:variant>
      <vt:variant>
        <vt:i4>2031669</vt:i4>
      </vt:variant>
      <vt:variant>
        <vt:i4>56</vt:i4>
      </vt:variant>
      <vt:variant>
        <vt:i4>0</vt:i4>
      </vt:variant>
      <vt:variant>
        <vt:i4>5</vt:i4>
      </vt:variant>
      <vt:variant>
        <vt:lpwstr/>
      </vt:variant>
      <vt:variant>
        <vt:lpwstr>_Toc500944459</vt:lpwstr>
      </vt:variant>
      <vt:variant>
        <vt:i4>2031669</vt:i4>
      </vt:variant>
      <vt:variant>
        <vt:i4>50</vt:i4>
      </vt:variant>
      <vt:variant>
        <vt:i4>0</vt:i4>
      </vt:variant>
      <vt:variant>
        <vt:i4>5</vt:i4>
      </vt:variant>
      <vt:variant>
        <vt:lpwstr/>
      </vt:variant>
      <vt:variant>
        <vt:lpwstr>_Toc500944458</vt:lpwstr>
      </vt:variant>
      <vt:variant>
        <vt:i4>2031669</vt:i4>
      </vt:variant>
      <vt:variant>
        <vt:i4>44</vt:i4>
      </vt:variant>
      <vt:variant>
        <vt:i4>0</vt:i4>
      </vt:variant>
      <vt:variant>
        <vt:i4>5</vt:i4>
      </vt:variant>
      <vt:variant>
        <vt:lpwstr/>
      </vt:variant>
      <vt:variant>
        <vt:lpwstr>_Toc500944457</vt:lpwstr>
      </vt:variant>
      <vt:variant>
        <vt:i4>2031669</vt:i4>
      </vt:variant>
      <vt:variant>
        <vt:i4>38</vt:i4>
      </vt:variant>
      <vt:variant>
        <vt:i4>0</vt:i4>
      </vt:variant>
      <vt:variant>
        <vt:i4>5</vt:i4>
      </vt:variant>
      <vt:variant>
        <vt:lpwstr/>
      </vt:variant>
      <vt:variant>
        <vt:lpwstr>_Toc500944456</vt:lpwstr>
      </vt:variant>
      <vt:variant>
        <vt:i4>2031669</vt:i4>
      </vt:variant>
      <vt:variant>
        <vt:i4>32</vt:i4>
      </vt:variant>
      <vt:variant>
        <vt:i4>0</vt:i4>
      </vt:variant>
      <vt:variant>
        <vt:i4>5</vt:i4>
      </vt:variant>
      <vt:variant>
        <vt:lpwstr/>
      </vt:variant>
      <vt:variant>
        <vt:lpwstr>_Toc500944455</vt:lpwstr>
      </vt:variant>
      <vt:variant>
        <vt:i4>2031669</vt:i4>
      </vt:variant>
      <vt:variant>
        <vt:i4>26</vt:i4>
      </vt:variant>
      <vt:variant>
        <vt:i4>0</vt:i4>
      </vt:variant>
      <vt:variant>
        <vt:i4>5</vt:i4>
      </vt:variant>
      <vt:variant>
        <vt:lpwstr/>
      </vt:variant>
      <vt:variant>
        <vt:lpwstr>_Toc500944454</vt:lpwstr>
      </vt:variant>
      <vt:variant>
        <vt:i4>2031669</vt:i4>
      </vt:variant>
      <vt:variant>
        <vt:i4>20</vt:i4>
      </vt:variant>
      <vt:variant>
        <vt:i4>0</vt:i4>
      </vt:variant>
      <vt:variant>
        <vt:i4>5</vt:i4>
      </vt:variant>
      <vt:variant>
        <vt:lpwstr/>
      </vt:variant>
      <vt:variant>
        <vt:lpwstr>_Toc500944453</vt:lpwstr>
      </vt:variant>
      <vt:variant>
        <vt:i4>2031669</vt:i4>
      </vt:variant>
      <vt:variant>
        <vt:i4>14</vt:i4>
      </vt:variant>
      <vt:variant>
        <vt:i4>0</vt:i4>
      </vt:variant>
      <vt:variant>
        <vt:i4>5</vt:i4>
      </vt:variant>
      <vt:variant>
        <vt:lpwstr/>
      </vt:variant>
      <vt:variant>
        <vt:lpwstr>_Toc500944452</vt:lpwstr>
      </vt:variant>
      <vt:variant>
        <vt:i4>2031669</vt:i4>
      </vt:variant>
      <vt:variant>
        <vt:i4>8</vt:i4>
      </vt:variant>
      <vt:variant>
        <vt:i4>0</vt:i4>
      </vt:variant>
      <vt:variant>
        <vt:i4>5</vt:i4>
      </vt:variant>
      <vt:variant>
        <vt:lpwstr/>
      </vt:variant>
      <vt:variant>
        <vt:lpwstr>_Toc500944451</vt:lpwstr>
      </vt:variant>
      <vt:variant>
        <vt:i4>2031669</vt:i4>
      </vt:variant>
      <vt:variant>
        <vt:i4>2</vt:i4>
      </vt:variant>
      <vt:variant>
        <vt:i4>0</vt:i4>
      </vt:variant>
      <vt:variant>
        <vt:i4>5</vt:i4>
      </vt:variant>
      <vt:variant>
        <vt:lpwstr/>
      </vt:variant>
      <vt:variant>
        <vt:lpwstr>_Toc500944450</vt:lpwstr>
      </vt:variant>
    </vt:vector>
  </ap:HLinks>
  <ap:HyperlinksChanged>false</ap:HyperlinksChanged>
  <ap:AppVersion>16.0000</ap:AppVersion>
  <ap:Company/>
  <ap:Manager/>
  <ap:HyperlinkBase/>
</ap:Properties>
</file>

<file path=docProps/core.xml><?xml version="1.0" encoding="utf-8"?>
<coreProperties xmlns:dc="http://purl.org/dc/elements/1.1/" xmlns:dcterms="http://purl.org/dc/terms/" xmlns:xsi="http://www.w3.org/2001/XMLSchema-instance" xmlns="http://schemas.openxmlformats.org/package/2006/metadata/core-properties">
  <dc:title>D Basis Hoch</dc:title>
  <dc:subject/>
  <dc:creator/>
  <keywords/>
  <lastModifiedBy/>
  <revision/>
  <lastPrinted>2022-01-25T16:36:00.0000000Z</lastPrinted>
  <dcterms:created xsi:type="dcterms:W3CDTF">2023-10-26T18:51:00.0000000Z</dcterms:created>
  <dcterms:modified xsi:type="dcterms:W3CDTF">2023-10-27T06:48:00.0000000Z</dcterms:modified>
  <category/>
  <dc:description/>
  <contentType/>
  <contentStatus/>
  <version/>
  <dc:language/>
  <dc:identifier/>
</coreProperties>
</file>

<file path=docProps/custom.xml><?xml version="1.0" encoding="utf-8"?>
<op:Properties xmlns:vt="http://schemas.openxmlformats.org/officeDocument/2006/docPropsVTypes" xmlns:op="http://schemas.openxmlformats.org/officeDocument/2006/custom-properties">
  <op:property fmtid="{D5CDD505-2E9C-101B-9397-08002B2CF9AE}" pid="3" name="MP_UpdateVersion">
    <vt:lpwstr>15</vt:lpwstr>
  </op:property>
  <op:property fmtid="{D5CDD505-2E9C-101B-9397-08002B2CF9AE}" pid="4" name="MatchPointUserTags">
    <vt:lpwstr>((2559)(2545)(2396))((2577)(2549)(2396))((2575)(2548)(2396))</vt:lpwstr>
  </op:property>
  <op:property fmtid="{D5CDD505-2E9C-101B-9397-08002B2CF9AE}" pid="5" name="MP_UserTags">
    <vt:lpwstr/>
  </op:property>
  <op:property fmtid="{D5CDD505-2E9C-101B-9397-08002B2CF9AE}" pid="6" name="MP_InheritedTags">
    <vt:lpwstr>((2577)(2549)(2396))</vt:lpwstr>
  </op:property>
  <op:property fmtid="{D5CDD505-2E9C-101B-9397-08002B2CF9AE}" pid="7" name="Topic">
    <vt:lpwstr>12;#Aufsichtsabgabe|1bb1ff23-244b-430d-b77e-6c87f49b07f4</vt:lpwstr>
  </op:property>
  <op:property fmtid="{D5CDD505-2E9C-101B-9397-08002B2CF9AE}" pid="8" name="OSP">
    <vt:lpwstr>13;#4-02.9 Verschiedenes|b7add63a-7a8a-4b8a-bfff-6c9ce2cbce07</vt:lpwstr>
  </op:property>
  <op:property fmtid="{D5CDD505-2E9C-101B-9397-08002B2CF9AE}" pid="9" name="OU">
    <vt:lpwstr>2;#GB-V|f8d7b412-2487-4e9a-b58d-c7490dedd0c5</vt:lpwstr>
  </op:property>
  <op:property fmtid="{D5CDD505-2E9C-101B-9397-08002B2CF9AE}" pid="10" name="_dlc_DocId">
    <vt:lpwstr>6005-T-6-44974</vt:lpwstr>
  </op:property>
  <op:property fmtid="{D5CDD505-2E9C-101B-9397-08002B2CF9AE}" pid="11" name="_dlc_DocIdItemGuid">
    <vt:lpwstr>4384ccd1-0962-41df-b295-59122cc01f32</vt:lpwstr>
  </op:property>
  <op:property fmtid="{D5CDD505-2E9C-101B-9397-08002B2CF9AE}" pid="12" name="_dlc_DocIdUrl">
    <vt:lpwstr>https://org.finma.ch/sites/6005-T/_layouts/15/DocIdRedir.aspx?ID=6005-T-6-44974, 6005-T-6-44974</vt:lpwstr>
  </op:property>
  <op:property fmtid="{D5CDD505-2E9C-101B-9397-08002B2CF9AE}" pid="13" name="Receiver">
    <vt:lpwstr/>
  </op:property>
  <op:property fmtid="{D5CDD505-2E9C-101B-9397-08002B2CF9AE}" pid="14" name="display_urn:schemas-microsoft-com:office:office#Editor">
    <vt:lpwstr>Stober Mark</vt:lpwstr>
  </op:property>
  <op:property fmtid="{D5CDD505-2E9C-101B-9397-08002B2CF9AE}" pid="15" name="Sender">
    <vt:lpwstr/>
  </op:property>
  <op:property fmtid="{D5CDD505-2E9C-101B-9397-08002B2CF9AE}" pid="16" name="DocumentSetDescription">
    <vt:lpwstr/>
  </op:property>
  <op:property fmtid="{D5CDD505-2E9C-101B-9397-08002B2CF9AE}" pid="17" name="display_urn:schemas-microsoft-com:office:office#Author">
    <vt:lpwstr>Jakob Martin</vt:lpwstr>
  </op:property>
  <op:property fmtid="{D5CDD505-2E9C-101B-9397-08002B2CF9AE}" pid="18" name="DossierStatus_Note">
    <vt:lpwstr/>
  </op:property>
  <op:property fmtid="{D5CDD505-2E9C-101B-9397-08002B2CF9AE}" pid="19" name="_docset_NoMedatataSyncRequired">
    <vt:lpwstr>False</vt:lpwstr>
  </op:property>
</op:Properties>
</file>