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71F2" w14:textId="0F1C6460" w:rsidR="0076328E" w:rsidRPr="0029167E" w:rsidRDefault="00651FFB" w:rsidP="00D60D73">
      <w:pPr>
        <w:pStyle w:val="FINMATitel"/>
        <w:rPr>
          <w:noProof/>
        </w:rPr>
      </w:pPr>
      <w:r w:rsidRPr="0029167E">
        <w:t xml:space="preserve">Document </w:t>
      </w:r>
      <w:r w:rsidR="008B4430" w:rsidRPr="0029167E">
        <w:t xml:space="preserve">type </w:t>
      </w:r>
      <w:r w:rsidR="0076328E" w:rsidRPr="0029167E">
        <w:t xml:space="preserve">pour le rapport SST </w:t>
      </w:r>
      <w:r w:rsidR="008B4430" w:rsidRPr="0029167E">
        <w:t>2024</w:t>
      </w:r>
      <w:r w:rsidR="0076328E" w:rsidRPr="0029167E">
        <w:t xml:space="preserve"> </w:t>
      </w:r>
    </w:p>
    <w:p w14:paraId="1DE9EE63" w14:textId="4466F6A8" w:rsidR="0076328E" w:rsidRPr="0029167E" w:rsidRDefault="0065350B" w:rsidP="00D60D73">
      <w:pPr>
        <w:pBdr>
          <w:bottom w:val="single" w:sz="6" w:space="1" w:color="auto"/>
        </w:pBdr>
        <w:jc w:val="both"/>
        <w:rPr>
          <w:sz w:val="20"/>
          <w:szCs w:val="24"/>
        </w:rPr>
      </w:pPr>
      <w:r w:rsidRPr="0029167E">
        <w:rPr>
          <w:sz w:val="20"/>
          <w:szCs w:val="24"/>
        </w:rPr>
        <w:t xml:space="preserve">Edition du 31 </w:t>
      </w:r>
      <w:r w:rsidR="00BF0AA2" w:rsidRPr="0029167E">
        <w:rPr>
          <w:sz w:val="20"/>
          <w:szCs w:val="24"/>
        </w:rPr>
        <w:t xml:space="preserve">octobre </w:t>
      </w:r>
      <w:r w:rsidR="008B4430" w:rsidRPr="0029167E">
        <w:rPr>
          <w:sz w:val="20"/>
          <w:szCs w:val="24"/>
        </w:rPr>
        <w:t>2023</w:t>
      </w:r>
    </w:p>
    <w:p w14:paraId="05AF1450" w14:textId="2DE287A6" w:rsidR="0076328E" w:rsidRPr="0029167E" w:rsidRDefault="0076328E" w:rsidP="00D60D73">
      <w:pPr>
        <w:pStyle w:val="FINMAStandardAbsatz"/>
      </w:pPr>
      <w:r w:rsidRPr="0029167E">
        <w:t xml:space="preserve">Ce document s'adresse aux entreprises d'assurance qui procèdent au Test suisse de solvabilité (SST) entièrement sur la base des modèles standard de la FINMA. L'utiliser constitue, pour les entreprises d’assurance des catégories 4 et 5, une prescription contraignante au sens du Cm 180 de la circulaire FINMA 2017/3 « SST » pour pouvoir remplir les conditions posées au rapport SST. </w:t>
      </w:r>
      <w:r w:rsidR="00CB13DC" w:rsidRPr="0029167E">
        <w:t xml:space="preserve">L'outil </w:t>
      </w:r>
      <w:proofErr w:type="spellStart"/>
      <w:r w:rsidR="00CB13DC" w:rsidRPr="0029167E">
        <w:t>excel</w:t>
      </w:r>
      <w:proofErr w:type="spellEnd"/>
      <w:r w:rsidR="00CB13DC" w:rsidRPr="0029167E">
        <w:t xml:space="preserve"> dédié "SST-</w:t>
      </w:r>
      <w:proofErr w:type="spellStart"/>
      <w:r w:rsidR="00CB13DC" w:rsidRPr="0029167E">
        <w:t>Berichttabellen</w:t>
      </w:r>
      <w:proofErr w:type="spellEnd"/>
      <w:r w:rsidR="00CB13DC" w:rsidRPr="0029167E">
        <w:t xml:space="preserve">" facilite la production des tables demandées dans ce rapport. </w:t>
      </w:r>
    </w:p>
    <w:p w14:paraId="4ACF8CA2" w14:textId="767978FA" w:rsidR="00461A1E" w:rsidRPr="0029167E" w:rsidRDefault="0076328E" w:rsidP="00D60D73">
      <w:pPr>
        <w:pStyle w:val="FINMAStandardAbsatz"/>
      </w:pPr>
      <w:r w:rsidRPr="0029167E">
        <w:t xml:space="preserve">Le rapport SST doit être rédigé de telle manière qu’une personne externe, bénéficiant d’une formation appropriée, puisse comprendre le type et la configuration des risques pris par l’entreprise ainsi que la manière dont le capital porteur de risque (CPR), le capital cible (CC) et le quotient SST ont été obtenus. </w:t>
      </w:r>
    </w:p>
    <w:p w14:paraId="681D7183" w14:textId="1C86A725" w:rsidR="00D918AD" w:rsidRPr="0029167E" w:rsidRDefault="004A3DB6" w:rsidP="00D60D73">
      <w:pPr>
        <w:pStyle w:val="FINMAStandardAbsatz"/>
      </w:pPr>
      <w:r w:rsidRPr="0029167E">
        <w:t>De plus amples indications sur les exigences posées au rapport SST sont disponibles aux chiffres marginaux 152 à 185 de la circulaire FINMA 2017/3 « SST ».  Les chiffres marginaux mentionnés dans ce document se réfèrent à cette circulaire.</w:t>
      </w:r>
    </w:p>
    <w:p w14:paraId="568F5C64" w14:textId="5742FD28" w:rsidR="00085DA3" w:rsidRPr="0029167E" w:rsidRDefault="00CB13DC" w:rsidP="00D60D73">
      <w:pPr>
        <w:pStyle w:val="FINMAStandardAbsatz"/>
        <w:rPr>
          <w:lang w:val="fr-CH"/>
        </w:rPr>
      </w:pPr>
      <w:r w:rsidRPr="0029167E">
        <w:rPr>
          <w:lang w:val="fr-CH"/>
        </w:rPr>
        <w:t>Ce document type a dû être modifié pour rendre compte des adaptations légales (</w:t>
      </w:r>
      <w:r w:rsidR="003E5F4E" w:rsidRPr="0029167E">
        <w:rPr>
          <w:lang w:val="fr-CH"/>
        </w:rPr>
        <w:t>en vigueur</w:t>
      </w:r>
      <w:r w:rsidRPr="0029167E">
        <w:rPr>
          <w:lang w:val="fr-CH"/>
        </w:rPr>
        <w:t xml:space="preserve"> </w:t>
      </w:r>
      <w:r w:rsidR="003E5F4E" w:rsidRPr="0029167E">
        <w:rPr>
          <w:lang w:val="fr-CH"/>
        </w:rPr>
        <w:t>dans</w:t>
      </w:r>
      <w:r w:rsidRPr="0029167E">
        <w:rPr>
          <w:lang w:val="fr-CH"/>
        </w:rPr>
        <w:t xml:space="preserve"> la LSA </w:t>
      </w:r>
      <w:r w:rsidR="003E5F4E" w:rsidRPr="0029167E">
        <w:rPr>
          <w:lang w:val="fr-CH"/>
        </w:rPr>
        <w:t>et</w:t>
      </w:r>
      <w:r w:rsidRPr="0029167E">
        <w:rPr>
          <w:lang w:val="fr-CH"/>
        </w:rPr>
        <w:t xml:space="preserve"> l'OS au 1.1.2024), toutefois le moins possible. Veuillez prendre note que les chiffres comparatifs de l'an passé seront, sauf avis contraire, ceux du SST 2023 </w:t>
      </w:r>
      <w:proofErr w:type="spellStart"/>
      <w:r w:rsidR="00FB5E12" w:rsidRPr="0029167E">
        <w:rPr>
          <w:lang w:val="fr-CH"/>
        </w:rPr>
        <w:t>récalculés</w:t>
      </w:r>
      <w:proofErr w:type="spellEnd"/>
      <w:r w:rsidR="00FB5E12" w:rsidRPr="0029167E">
        <w:rPr>
          <w:lang w:val="fr-CH"/>
        </w:rPr>
        <w:t xml:space="preserve"> </w:t>
      </w:r>
      <w:r w:rsidR="00572F7F" w:rsidRPr="0029167E">
        <w:rPr>
          <w:lang w:val="fr-CH"/>
        </w:rPr>
        <w:t>selon la nouvelle norme au 1.1.2024</w:t>
      </w:r>
      <w:r w:rsidR="001969C9" w:rsidRPr="0029167E">
        <w:rPr>
          <w:lang w:val="fr-CH"/>
        </w:rPr>
        <w:t xml:space="preserve"> (</w:t>
      </w:r>
      <w:r w:rsidR="004B3746" w:rsidRPr="0029167E">
        <w:rPr>
          <w:lang w:val="fr-CH"/>
        </w:rPr>
        <w:t>"</w:t>
      </w:r>
      <w:proofErr w:type="spellStart"/>
      <w:r w:rsidR="001969C9" w:rsidRPr="0029167E">
        <w:rPr>
          <w:lang w:val="fr-CH"/>
        </w:rPr>
        <w:t>restatement</w:t>
      </w:r>
      <w:proofErr w:type="spellEnd"/>
      <w:r w:rsidR="004B3746" w:rsidRPr="0029167E">
        <w:rPr>
          <w:lang w:val="fr-CH"/>
        </w:rPr>
        <w:t>"</w:t>
      </w:r>
      <w:r w:rsidR="001969C9" w:rsidRPr="0029167E">
        <w:rPr>
          <w:lang w:val="fr-CH"/>
        </w:rPr>
        <w:t>)</w:t>
      </w:r>
      <w:r w:rsidR="00572F7F" w:rsidRPr="0029167E">
        <w:rPr>
          <w:lang w:val="fr-CH"/>
        </w:rPr>
        <w:t xml:space="preserve">. Par ailleurs, </w:t>
      </w:r>
      <w:r w:rsidR="005F1DAF" w:rsidRPr="0029167E">
        <w:rPr>
          <w:lang w:val="fr-CH"/>
        </w:rPr>
        <w:t xml:space="preserve">la section sur le résultat d'assurance attendu a été entièrement mise à jour et tout au long du document des indications concernant </w:t>
      </w:r>
      <w:r w:rsidR="003E5F4E" w:rsidRPr="0029167E">
        <w:rPr>
          <w:lang w:val="fr-CH"/>
        </w:rPr>
        <w:t>les renseignements à fournir sur</w:t>
      </w:r>
      <w:r w:rsidR="005F1DAF" w:rsidRPr="0029167E">
        <w:rPr>
          <w:lang w:val="fr-CH"/>
        </w:rPr>
        <w:t xml:space="preserve"> l'inflation ont été ajoutées. </w:t>
      </w:r>
    </w:p>
    <w:p w14:paraId="11C6BEC6" w14:textId="77777777" w:rsidR="00641C14" w:rsidRPr="0029167E" w:rsidRDefault="00641C14" w:rsidP="00D60D73">
      <w:pPr>
        <w:spacing w:line="240" w:lineRule="auto"/>
      </w:pPr>
      <w:bookmarkStart w:id="0" w:name="_Toc534297728"/>
      <w:r w:rsidRPr="0029167E">
        <w:br w:type="page"/>
      </w:r>
    </w:p>
    <w:sdt>
      <w:sdtPr>
        <w:rPr>
          <w:noProof w:val="0"/>
          <w:sz w:val="22"/>
        </w:rPr>
        <w:id w:val="-1755961497"/>
        <w:docPartObj>
          <w:docPartGallery w:val="Table of Contents"/>
          <w:docPartUnique/>
        </w:docPartObj>
      </w:sdtPr>
      <w:sdtEndPr>
        <w:rPr>
          <w:b/>
          <w:bCs/>
        </w:rPr>
      </w:sdtEndPr>
      <w:sdtContent>
        <w:p w14:paraId="6A1FAE92" w14:textId="5D25E4C8" w:rsidR="00085DA3" w:rsidRPr="0029167E" w:rsidRDefault="00085DA3" w:rsidP="00D60D73">
          <w:pPr>
            <w:pStyle w:val="FINMAUntertitel"/>
          </w:pPr>
          <w:r w:rsidRPr="0029167E">
            <w:t>Table des matières</w:t>
          </w:r>
        </w:p>
        <w:p w14:paraId="4314056C" w14:textId="72F070A7" w:rsidR="005F09AC" w:rsidRPr="0029167E" w:rsidRDefault="00085DA3">
          <w:pPr>
            <w:pStyle w:val="TOC1"/>
            <w:rPr>
              <w:rFonts w:asciiTheme="minorHAnsi" w:eastAsiaTheme="minorEastAsia" w:hAnsiTheme="minorHAnsi" w:cstheme="minorBidi"/>
              <w:b w:val="0"/>
              <w:bCs w:val="0"/>
              <w:lang w:val="de-CH"/>
            </w:rPr>
          </w:pPr>
          <w:r w:rsidRPr="0029167E">
            <w:fldChar w:fldCharType="begin"/>
          </w:r>
          <w:r w:rsidRPr="0029167E">
            <w:instrText xml:space="preserve"> TOC \o "1-3" \h \z \u </w:instrText>
          </w:r>
          <w:r w:rsidRPr="0029167E">
            <w:fldChar w:fldCharType="separate"/>
          </w:r>
          <w:hyperlink w:anchor="_Toc148955319" w:history="1">
            <w:r w:rsidR="005F09AC" w:rsidRPr="0029167E">
              <w:rPr>
                <w:rStyle w:val="Hyperlink"/>
              </w:rPr>
              <w:t>0</w:t>
            </w:r>
            <w:r w:rsidR="005F09AC" w:rsidRPr="0029167E">
              <w:rPr>
                <w:rFonts w:asciiTheme="minorHAnsi" w:eastAsiaTheme="minorEastAsia" w:hAnsiTheme="minorHAnsi" w:cstheme="minorBidi"/>
                <w:b w:val="0"/>
                <w:bCs w:val="0"/>
                <w:lang w:val="de-CH"/>
              </w:rPr>
              <w:tab/>
            </w:r>
            <w:r w:rsidR="005F09AC" w:rsidRPr="0029167E">
              <w:rPr>
                <w:rStyle w:val="Hyperlink"/>
              </w:rPr>
              <w:t>Direction et actuaire responsable</w:t>
            </w:r>
            <w:r w:rsidR="005F09AC" w:rsidRPr="0029167E">
              <w:rPr>
                <w:webHidden/>
              </w:rPr>
              <w:tab/>
            </w:r>
            <w:r w:rsidR="005F09AC" w:rsidRPr="0029167E">
              <w:rPr>
                <w:webHidden/>
              </w:rPr>
              <w:fldChar w:fldCharType="begin"/>
            </w:r>
            <w:r w:rsidR="005F09AC" w:rsidRPr="0029167E">
              <w:rPr>
                <w:webHidden/>
              </w:rPr>
              <w:instrText xml:space="preserve"> PAGEREF _Toc148955319 \h </w:instrText>
            </w:r>
            <w:r w:rsidR="005F09AC" w:rsidRPr="0029167E">
              <w:rPr>
                <w:webHidden/>
              </w:rPr>
            </w:r>
            <w:r w:rsidR="005F09AC" w:rsidRPr="0029167E">
              <w:rPr>
                <w:webHidden/>
              </w:rPr>
              <w:fldChar w:fldCharType="separate"/>
            </w:r>
            <w:r w:rsidR="005F09AC" w:rsidRPr="0029167E">
              <w:rPr>
                <w:webHidden/>
              </w:rPr>
              <w:t>4</w:t>
            </w:r>
            <w:r w:rsidR="005F09AC" w:rsidRPr="0029167E">
              <w:rPr>
                <w:webHidden/>
              </w:rPr>
              <w:fldChar w:fldCharType="end"/>
            </w:r>
          </w:hyperlink>
        </w:p>
        <w:p w14:paraId="7220E35D" w14:textId="7E16993B" w:rsidR="005F09AC" w:rsidRPr="0029167E" w:rsidRDefault="003055A1">
          <w:pPr>
            <w:pStyle w:val="TOC2"/>
            <w:rPr>
              <w:rFonts w:asciiTheme="minorHAnsi" w:eastAsiaTheme="minorEastAsia" w:hAnsiTheme="minorHAnsi" w:cstheme="minorBidi"/>
              <w:iCs w:val="0"/>
              <w:sz w:val="22"/>
              <w:szCs w:val="22"/>
              <w:lang w:val="de-CH"/>
            </w:rPr>
          </w:pPr>
          <w:hyperlink w:anchor="_Toc148955320" w:history="1">
            <w:r w:rsidR="005F09AC" w:rsidRPr="0029167E">
              <w:rPr>
                <w:rStyle w:val="Hyperlink"/>
              </w:rPr>
              <w:t>0.1</w:t>
            </w:r>
            <w:r w:rsidR="005F09AC" w:rsidRPr="0029167E">
              <w:rPr>
                <w:rFonts w:asciiTheme="minorHAnsi" w:eastAsiaTheme="minorEastAsia" w:hAnsiTheme="minorHAnsi" w:cstheme="minorBidi"/>
                <w:iCs w:val="0"/>
                <w:sz w:val="22"/>
                <w:szCs w:val="22"/>
                <w:lang w:val="de-CH"/>
              </w:rPr>
              <w:tab/>
            </w:r>
            <w:r w:rsidR="005F09AC" w:rsidRPr="0029167E">
              <w:rPr>
                <w:rStyle w:val="Hyperlink"/>
              </w:rPr>
              <w:t>Membres de la direction</w:t>
            </w:r>
            <w:r w:rsidR="005F09AC" w:rsidRPr="0029167E">
              <w:rPr>
                <w:webHidden/>
              </w:rPr>
              <w:tab/>
            </w:r>
            <w:r w:rsidR="005F09AC" w:rsidRPr="0029167E">
              <w:rPr>
                <w:webHidden/>
              </w:rPr>
              <w:fldChar w:fldCharType="begin"/>
            </w:r>
            <w:r w:rsidR="005F09AC" w:rsidRPr="0029167E">
              <w:rPr>
                <w:webHidden/>
              </w:rPr>
              <w:instrText xml:space="preserve"> PAGEREF _Toc148955320 \h </w:instrText>
            </w:r>
            <w:r w:rsidR="005F09AC" w:rsidRPr="0029167E">
              <w:rPr>
                <w:webHidden/>
              </w:rPr>
            </w:r>
            <w:r w:rsidR="005F09AC" w:rsidRPr="0029167E">
              <w:rPr>
                <w:webHidden/>
              </w:rPr>
              <w:fldChar w:fldCharType="separate"/>
            </w:r>
            <w:r w:rsidR="005F09AC" w:rsidRPr="0029167E">
              <w:rPr>
                <w:webHidden/>
              </w:rPr>
              <w:t>4</w:t>
            </w:r>
            <w:r w:rsidR="005F09AC" w:rsidRPr="0029167E">
              <w:rPr>
                <w:webHidden/>
              </w:rPr>
              <w:fldChar w:fldCharType="end"/>
            </w:r>
          </w:hyperlink>
        </w:p>
        <w:p w14:paraId="72BF4C89" w14:textId="166188BB" w:rsidR="005F09AC" w:rsidRPr="0029167E" w:rsidRDefault="003055A1">
          <w:pPr>
            <w:pStyle w:val="TOC2"/>
            <w:rPr>
              <w:rFonts w:asciiTheme="minorHAnsi" w:eastAsiaTheme="minorEastAsia" w:hAnsiTheme="minorHAnsi" w:cstheme="minorBidi"/>
              <w:iCs w:val="0"/>
              <w:sz w:val="22"/>
              <w:szCs w:val="22"/>
              <w:lang w:val="de-CH"/>
            </w:rPr>
          </w:pPr>
          <w:hyperlink w:anchor="_Toc148955321" w:history="1">
            <w:r w:rsidR="005F09AC" w:rsidRPr="0029167E">
              <w:rPr>
                <w:rStyle w:val="Hyperlink"/>
              </w:rPr>
              <w:t>0.2</w:t>
            </w:r>
            <w:r w:rsidR="005F09AC" w:rsidRPr="0029167E">
              <w:rPr>
                <w:rFonts w:asciiTheme="minorHAnsi" w:eastAsiaTheme="minorEastAsia" w:hAnsiTheme="minorHAnsi" w:cstheme="minorBidi"/>
                <w:iCs w:val="0"/>
                <w:sz w:val="22"/>
                <w:szCs w:val="22"/>
                <w:lang w:val="de-CH"/>
              </w:rPr>
              <w:tab/>
            </w:r>
            <w:r w:rsidR="005F09AC" w:rsidRPr="0029167E">
              <w:rPr>
                <w:rStyle w:val="Hyperlink"/>
              </w:rPr>
              <w:t>Signatures de la direction</w:t>
            </w:r>
            <w:r w:rsidR="005F09AC" w:rsidRPr="0029167E">
              <w:rPr>
                <w:webHidden/>
              </w:rPr>
              <w:tab/>
            </w:r>
            <w:r w:rsidR="005F09AC" w:rsidRPr="0029167E">
              <w:rPr>
                <w:webHidden/>
              </w:rPr>
              <w:fldChar w:fldCharType="begin"/>
            </w:r>
            <w:r w:rsidR="005F09AC" w:rsidRPr="0029167E">
              <w:rPr>
                <w:webHidden/>
              </w:rPr>
              <w:instrText xml:space="preserve"> PAGEREF _Toc148955321 \h </w:instrText>
            </w:r>
            <w:r w:rsidR="005F09AC" w:rsidRPr="0029167E">
              <w:rPr>
                <w:webHidden/>
              </w:rPr>
            </w:r>
            <w:r w:rsidR="005F09AC" w:rsidRPr="0029167E">
              <w:rPr>
                <w:webHidden/>
              </w:rPr>
              <w:fldChar w:fldCharType="separate"/>
            </w:r>
            <w:r w:rsidR="005F09AC" w:rsidRPr="0029167E">
              <w:rPr>
                <w:webHidden/>
              </w:rPr>
              <w:t>4</w:t>
            </w:r>
            <w:r w:rsidR="005F09AC" w:rsidRPr="0029167E">
              <w:rPr>
                <w:webHidden/>
              </w:rPr>
              <w:fldChar w:fldCharType="end"/>
            </w:r>
          </w:hyperlink>
        </w:p>
        <w:p w14:paraId="2FE81763" w14:textId="3870CD4A" w:rsidR="005F09AC" w:rsidRPr="0029167E" w:rsidRDefault="003055A1">
          <w:pPr>
            <w:pStyle w:val="TOC2"/>
            <w:rPr>
              <w:rFonts w:asciiTheme="minorHAnsi" w:eastAsiaTheme="minorEastAsia" w:hAnsiTheme="minorHAnsi" w:cstheme="minorBidi"/>
              <w:iCs w:val="0"/>
              <w:sz w:val="22"/>
              <w:szCs w:val="22"/>
              <w:lang w:val="de-CH"/>
            </w:rPr>
          </w:pPr>
          <w:hyperlink w:anchor="_Toc148955322" w:history="1">
            <w:r w:rsidR="005F09AC" w:rsidRPr="0029167E">
              <w:rPr>
                <w:rStyle w:val="Hyperlink"/>
              </w:rPr>
              <w:t>0.3</w:t>
            </w:r>
            <w:r w:rsidR="005F09AC" w:rsidRPr="0029167E">
              <w:rPr>
                <w:rFonts w:asciiTheme="minorHAnsi" w:eastAsiaTheme="minorEastAsia" w:hAnsiTheme="minorHAnsi" w:cstheme="minorBidi"/>
                <w:iCs w:val="0"/>
                <w:sz w:val="22"/>
                <w:szCs w:val="22"/>
                <w:lang w:val="de-CH"/>
              </w:rPr>
              <w:tab/>
            </w:r>
            <w:r w:rsidR="005F09AC" w:rsidRPr="0029167E">
              <w:rPr>
                <w:rStyle w:val="Hyperlink"/>
              </w:rPr>
              <w:t>Actuaire responsable (AR)</w:t>
            </w:r>
            <w:r w:rsidR="005F09AC" w:rsidRPr="0029167E">
              <w:rPr>
                <w:webHidden/>
              </w:rPr>
              <w:tab/>
            </w:r>
            <w:r w:rsidR="005F09AC" w:rsidRPr="0029167E">
              <w:rPr>
                <w:webHidden/>
              </w:rPr>
              <w:fldChar w:fldCharType="begin"/>
            </w:r>
            <w:r w:rsidR="005F09AC" w:rsidRPr="0029167E">
              <w:rPr>
                <w:webHidden/>
              </w:rPr>
              <w:instrText xml:space="preserve"> PAGEREF _Toc148955322 \h </w:instrText>
            </w:r>
            <w:r w:rsidR="005F09AC" w:rsidRPr="0029167E">
              <w:rPr>
                <w:webHidden/>
              </w:rPr>
            </w:r>
            <w:r w:rsidR="005F09AC" w:rsidRPr="0029167E">
              <w:rPr>
                <w:webHidden/>
              </w:rPr>
              <w:fldChar w:fldCharType="separate"/>
            </w:r>
            <w:r w:rsidR="005F09AC" w:rsidRPr="0029167E">
              <w:rPr>
                <w:webHidden/>
              </w:rPr>
              <w:t>4</w:t>
            </w:r>
            <w:r w:rsidR="005F09AC" w:rsidRPr="0029167E">
              <w:rPr>
                <w:webHidden/>
              </w:rPr>
              <w:fldChar w:fldCharType="end"/>
            </w:r>
          </w:hyperlink>
        </w:p>
        <w:p w14:paraId="75D5EEED" w14:textId="4A8DBEEB" w:rsidR="005F09AC" w:rsidRPr="0029167E" w:rsidRDefault="003055A1">
          <w:pPr>
            <w:pStyle w:val="TOC1"/>
            <w:rPr>
              <w:rFonts w:asciiTheme="minorHAnsi" w:eastAsiaTheme="minorEastAsia" w:hAnsiTheme="minorHAnsi" w:cstheme="minorBidi"/>
              <w:b w:val="0"/>
              <w:bCs w:val="0"/>
              <w:lang w:val="de-CH"/>
            </w:rPr>
          </w:pPr>
          <w:hyperlink w:anchor="_Toc148955323" w:history="1">
            <w:r w:rsidR="005F09AC" w:rsidRPr="0029167E">
              <w:rPr>
                <w:rStyle w:val="Hyperlink"/>
              </w:rPr>
              <w:t>1</w:t>
            </w:r>
            <w:r w:rsidR="005F09AC" w:rsidRPr="0029167E">
              <w:rPr>
                <w:rFonts w:asciiTheme="minorHAnsi" w:eastAsiaTheme="minorEastAsia" w:hAnsiTheme="minorHAnsi" w:cstheme="minorBidi"/>
                <w:b w:val="0"/>
                <w:bCs w:val="0"/>
                <w:lang w:val="de-CH"/>
              </w:rPr>
              <w:tab/>
            </w:r>
            <w:r w:rsidR="005F09AC" w:rsidRPr="0029167E">
              <w:rPr>
                <w:rStyle w:val="Hyperlink"/>
                <w:i/>
                <w:iCs/>
              </w:rPr>
              <w:t>Management summary</w:t>
            </w:r>
            <w:r w:rsidR="005F09AC" w:rsidRPr="0029167E">
              <w:rPr>
                <w:webHidden/>
              </w:rPr>
              <w:tab/>
            </w:r>
            <w:r w:rsidR="005F09AC" w:rsidRPr="0029167E">
              <w:rPr>
                <w:webHidden/>
              </w:rPr>
              <w:fldChar w:fldCharType="begin"/>
            </w:r>
            <w:r w:rsidR="005F09AC" w:rsidRPr="0029167E">
              <w:rPr>
                <w:webHidden/>
              </w:rPr>
              <w:instrText xml:space="preserve"> PAGEREF _Toc148955323 \h </w:instrText>
            </w:r>
            <w:r w:rsidR="005F09AC" w:rsidRPr="0029167E">
              <w:rPr>
                <w:webHidden/>
              </w:rPr>
            </w:r>
            <w:r w:rsidR="005F09AC" w:rsidRPr="0029167E">
              <w:rPr>
                <w:webHidden/>
              </w:rPr>
              <w:fldChar w:fldCharType="separate"/>
            </w:r>
            <w:r w:rsidR="005F09AC" w:rsidRPr="0029167E">
              <w:rPr>
                <w:webHidden/>
              </w:rPr>
              <w:t>4</w:t>
            </w:r>
            <w:r w:rsidR="005F09AC" w:rsidRPr="0029167E">
              <w:rPr>
                <w:webHidden/>
              </w:rPr>
              <w:fldChar w:fldCharType="end"/>
            </w:r>
          </w:hyperlink>
        </w:p>
        <w:p w14:paraId="2B3C029E" w14:textId="31E31D39" w:rsidR="005F09AC" w:rsidRPr="0029167E" w:rsidRDefault="003055A1">
          <w:pPr>
            <w:pStyle w:val="TOC1"/>
            <w:rPr>
              <w:rFonts w:asciiTheme="minorHAnsi" w:eastAsiaTheme="minorEastAsia" w:hAnsiTheme="minorHAnsi" w:cstheme="minorBidi"/>
              <w:b w:val="0"/>
              <w:bCs w:val="0"/>
              <w:lang w:val="de-CH"/>
            </w:rPr>
          </w:pPr>
          <w:hyperlink w:anchor="_Toc148955324" w:history="1">
            <w:r w:rsidR="005F09AC" w:rsidRPr="0029167E">
              <w:rPr>
                <w:rStyle w:val="Hyperlink"/>
              </w:rPr>
              <w:t>2</w:t>
            </w:r>
            <w:r w:rsidR="005F09AC" w:rsidRPr="0029167E">
              <w:rPr>
                <w:rFonts w:asciiTheme="minorHAnsi" w:eastAsiaTheme="minorEastAsia" w:hAnsiTheme="minorHAnsi" w:cstheme="minorBidi"/>
                <w:b w:val="0"/>
                <w:bCs w:val="0"/>
                <w:lang w:val="de-CH"/>
              </w:rPr>
              <w:tab/>
            </w:r>
            <w:r w:rsidR="005F09AC" w:rsidRPr="0029167E">
              <w:rPr>
                <w:rStyle w:val="Hyperlink"/>
              </w:rPr>
              <w:t>Aperçu et perspectives</w:t>
            </w:r>
            <w:r w:rsidR="005F09AC" w:rsidRPr="0029167E">
              <w:rPr>
                <w:webHidden/>
              </w:rPr>
              <w:tab/>
            </w:r>
            <w:r w:rsidR="005F09AC" w:rsidRPr="0029167E">
              <w:rPr>
                <w:webHidden/>
              </w:rPr>
              <w:fldChar w:fldCharType="begin"/>
            </w:r>
            <w:r w:rsidR="005F09AC" w:rsidRPr="0029167E">
              <w:rPr>
                <w:webHidden/>
              </w:rPr>
              <w:instrText xml:space="preserve"> PAGEREF _Toc148955324 \h </w:instrText>
            </w:r>
            <w:r w:rsidR="005F09AC" w:rsidRPr="0029167E">
              <w:rPr>
                <w:webHidden/>
              </w:rPr>
            </w:r>
            <w:r w:rsidR="005F09AC" w:rsidRPr="0029167E">
              <w:rPr>
                <w:webHidden/>
              </w:rPr>
              <w:fldChar w:fldCharType="separate"/>
            </w:r>
            <w:r w:rsidR="005F09AC" w:rsidRPr="0029167E">
              <w:rPr>
                <w:webHidden/>
              </w:rPr>
              <w:t>5</w:t>
            </w:r>
            <w:r w:rsidR="005F09AC" w:rsidRPr="0029167E">
              <w:rPr>
                <w:webHidden/>
              </w:rPr>
              <w:fldChar w:fldCharType="end"/>
            </w:r>
          </w:hyperlink>
        </w:p>
        <w:p w14:paraId="383D3F71" w14:textId="37DD5380" w:rsidR="005F09AC" w:rsidRPr="0029167E" w:rsidRDefault="003055A1">
          <w:pPr>
            <w:pStyle w:val="TOC2"/>
            <w:rPr>
              <w:rFonts w:asciiTheme="minorHAnsi" w:eastAsiaTheme="minorEastAsia" w:hAnsiTheme="minorHAnsi" w:cstheme="minorBidi"/>
              <w:iCs w:val="0"/>
              <w:sz w:val="22"/>
              <w:szCs w:val="22"/>
              <w:lang w:val="de-CH"/>
            </w:rPr>
          </w:pPr>
          <w:hyperlink w:anchor="_Toc148955325" w:history="1">
            <w:r w:rsidR="005F09AC" w:rsidRPr="0029167E">
              <w:rPr>
                <w:rStyle w:val="Hyperlink"/>
              </w:rPr>
              <w:t>2.1</w:t>
            </w:r>
            <w:r w:rsidR="005F09AC" w:rsidRPr="0029167E">
              <w:rPr>
                <w:rFonts w:asciiTheme="minorHAnsi" w:eastAsiaTheme="minorEastAsia" w:hAnsiTheme="minorHAnsi" w:cstheme="minorBidi"/>
                <w:iCs w:val="0"/>
                <w:sz w:val="22"/>
                <w:szCs w:val="22"/>
                <w:lang w:val="de-CH"/>
              </w:rPr>
              <w:tab/>
            </w:r>
            <w:r w:rsidR="005F09AC" w:rsidRPr="0029167E">
              <w:rPr>
                <w:rStyle w:val="Hyperlink"/>
              </w:rPr>
              <w:t>Aperçu du SST actuel</w:t>
            </w:r>
            <w:r w:rsidR="005F09AC" w:rsidRPr="0029167E">
              <w:rPr>
                <w:webHidden/>
              </w:rPr>
              <w:tab/>
            </w:r>
            <w:r w:rsidR="005F09AC" w:rsidRPr="0029167E">
              <w:rPr>
                <w:webHidden/>
              </w:rPr>
              <w:fldChar w:fldCharType="begin"/>
            </w:r>
            <w:r w:rsidR="005F09AC" w:rsidRPr="0029167E">
              <w:rPr>
                <w:webHidden/>
              </w:rPr>
              <w:instrText xml:space="preserve"> PAGEREF _Toc148955325 \h </w:instrText>
            </w:r>
            <w:r w:rsidR="005F09AC" w:rsidRPr="0029167E">
              <w:rPr>
                <w:webHidden/>
              </w:rPr>
            </w:r>
            <w:r w:rsidR="005F09AC" w:rsidRPr="0029167E">
              <w:rPr>
                <w:webHidden/>
              </w:rPr>
              <w:fldChar w:fldCharType="separate"/>
            </w:r>
            <w:r w:rsidR="005F09AC" w:rsidRPr="0029167E">
              <w:rPr>
                <w:webHidden/>
              </w:rPr>
              <w:t>5</w:t>
            </w:r>
            <w:r w:rsidR="005F09AC" w:rsidRPr="0029167E">
              <w:rPr>
                <w:webHidden/>
              </w:rPr>
              <w:fldChar w:fldCharType="end"/>
            </w:r>
          </w:hyperlink>
        </w:p>
        <w:p w14:paraId="20B795F0" w14:textId="5FF22C2B" w:rsidR="005F09AC" w:rsidRPr="0029167E" w:rsidRDefault="003055A1">
          <w:pPr>
            <w:pStyle w:val="TOC2"/>
            <w:rPr>
              <w:rFonts w:asciiTheme="minorHAnsi" w:eastAsiaTheme="minorEastAsia" w:hAnsiTheme="minorHAnsi" w:cstheme="minorBidi"/>
              <w:iCs w:val="0"/>
              <w:sz w:val="22"/>
              <w:szCs w:val="22"/>
              <w:lang w:val="de-CH"/>
            </w:rPr>
          </w:pPr>
          <w:hyperlink w:anchor="_Toc148955326" w:history="1">
            <w:r w:rsidR="005F09AC" w:rsidRPr="0029167E">
              <w:rPr>
                <w:rStyle w:val="Hyperlink"/>
              </w:rPr>
              <w:t>2.2</w:t>
            </w:r>
            <w:r w:rsidR="005F09AC" w:rsidRPr="0029167E">
              <w:rPr>
                <w:rFonts w:asciiTheme="minorHAnsi" w:eastAsiaTheme="minorEastAsia" w:hAnsiTheme="minorHAnsi" w:cstheme="minorBidi"/>
                <w:iCs w:val="0"/>
                <w:sz w:val="22"/>
                <w:szCs w:val="22"/>
                <w:lang w:val="de-CH"/>
              </w:rPr>
              <w:tab/>
            </w:r>
            <w:r w:rsidR="005F09AC" w:rsidRPr="0029167E">
              <w:rPr>
                <w:rStyle w:val="Hyperlink"/>
              </w:rPr>
              <w:t>Perspective sur le SST de l’année prochaine</w:t>
            </w:r>
            <w:r w:rsidR="005F09AC" w:rsidRPr="0029167E">
              <w:rPr>
                <w:webHidden/>
              </w:rPr>
              <w:tab/>
            </w:r>
            <w:r w:rsidR="005F09AC" w:rsidRPr="0029167E">
              <w:rPr>
                <w:webHidden/>
              </w:rPr>
              <w:fldChar w:fldCharType="begin"/>
            </w:r>
            <w:r w:rsidR="005F09AC" w:rsidRPr="0029167E">
              <w:rPr>
                <w:webHidden/>
              </w:rPr>
              <w:instrText xml:space="preserve"> PAGEREF _Toc148955326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3DFFE165" w14:textId="50DBC66A" w:rsidR="005F09AC" w:rsidRPr="0029167E" w:rsidRDefault="003055A1">
          <w:pPr>
            <w:pStyle w:val="TOC1"/>
            <w:rPr>
              <w:rFonts w:asciiTheme="minorHAnsi" w:eastAsiaTheme="minorEastAsia" w:hAnsiTheme="minorHAnsi" w:cstheme="minorBidi"/>
              <w:b w:val="0"/>
              <w:bCs w:val="0"/>
              <w:lang w:val="de-CH"/>
            </w:rPr>
          </w:pPr>
          <w:hyperlink w:anchor="_Toc148955327" w:history="1">
            <w:r w:rsidR="005F09AC" w:rsidRPr="0029167E">
              <w:rPr>
                <w:rStyle w:val="Hyperlink"/>
              </w:rPr>
              <w:t>3</w:t>
            </w:r>
            <w:r w:rsidR="005F09AC" w:rsidRPr="0029167E">
              <w:rPr>
                <w:rFonts w:asciiTheme="minorHAnsi" w:eastAsiaTheme="minorEastAsia" w:hAnsiTheme="minorHAnsi" w:cstheme="minorBidi"/>
                <w:b w:val="0"/>
                <w:bCs w:val="0"/>
                <w:lang w:val="de-CH"/>
              </w:rPr>
              <w:tab/>
            </w:r>
            <w:r w:rsidR="005F09AC" w:rsidRPr="0029167E">
              <w:rPr>
                <w:rStyle w:val="Hyperlink"/>
              </w:rPr>
              <w:t>Modèles utilisés</w:t>
            </w:r>
            <w:r w:rsidR="005F09AC" w:rsidRPr="0029167E">
              <w:rPr>
                <w:webHidden/>
              </w:rPr>
              <w:tab/>
            </w:r>
            <w:r w:rsidR="005F09AC" w:rsidRPr="0029167E">
              <w:rPr>
                <w:webHidden/>
              </w:rPr>
              <w:fldChar w:fldCharType="begin"/>
            </w:r>
            <w:r w:rsidR="005F09AC" w:rsidRPr="0029167E">
              <w:rPr>
                <w:webHidden/>
              </w:rPr>
              <w:instrText xml:space="preserve"> PAGEREF _Toc148955327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1C76A4ED" w14:textId="4800C415" w:rsidR="005F09AC" w:rsidRPr="0029167E" w:rsidRDefault="003055A1">
          <w:pPr>
            <w:pStyle w:val="TOC2"/>
            <w:rPr>
              <w:rFonts w:asciiTheme="minorHAnsi" w:eastAsiaTheme="minorEastAsia" w:hAnsiTheme="minorHAnsi" w:cstheme="minorBidi"/>
              <w:iCs w:val="0"/>
              <w:sz w:val="22"/>
              <w:szCs w:val="22"/>
              <w:lang w:val="de-CH"/>
            </w:rPr>
          </w:pPr>
          <w:hyperlink w:anchor="_Toc148955328" w:history="1">
            <w:r w:rsidR="005F09AC" w:rsidRPr="0029167E">
              <w:rPr>
                <w:rStyle w:val="Hyperlink"/>
              </w:rPr>
              <w:t>3.1</w:t>
            </w:r>
            <w:r w:rsidR="005F09AC" w:rsidRPr="0029167E">
              <w:rPr>
                <w:rFonts w:asciiTheme="minorHAnsi" w:eastAsiaTheme="minorEastAsia" w:hAnsiTheme="minorHAnsi" w:cstheme="minorBidi"/>
                <w:iCs w:val="0"/>
                <w:sz w:val="22"/>
                <w:szCs w:val="22"/>
                <w:lang w:val="de-CH"/>
              </w:rPr>
              <w:tab/>
            </w:r>
            <w:r w:rsidR="005F09AC" w:rsidRPr="0029167E">
              <w:rPr>
                <w:rStyle w:val="Hyperlink"/>
              </w:rPr>
              <w:t xml:space="preserve">Déclaration des modèles admis pour le SST 2024 </w:t>
            </w:r>
            <w:r w:rsidR="005F09AC" w:rsidRPr="0029167E">
              <w:rPr>
                <w:webHidden/>
              </w:rPr>
              <w:tab/>
            </w:r>
            <w:r w:rsidR="005F09AC" w:rsidRPr="0029167E">
              <w:rPr>
                <w:webHidden/>
              </w:rPr>
              <w:fldChar w:fldCharType="begin"/>
            </w:r>
            <w:r w:rsidR="005F09AC" w:rsidRPr="0029167E">
              <w:rPr>
                <w:webHidden/>
              </w:rPr>
              <w:instrText xml:space="preserve"> PAGEREF _Toc148955328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0EA1EBA5" w14:textId="29E93CAE" w:rsidR="005F09AC" w:rsidRPr="0029167E" w:rsidRDefault="003055A1">
          <w:pPr>
            <w:pStyle w:val="TOC2"/>
            <w:rPr>
              <w:rFonts w:asciiTheme="minorHAnsi" w:eastAsiaTheme="minorEastAsia" w:hAnsiTheme="minorHAnsi" w:cstheme="minorBidi"/>
              <w:iCs w:val="0"/>
              <w:sz w:val="22"/>
              <w:szCs w:val="22"/>
              <w:lang w:val="de-CH"/>
            </w:rPr>
          </w:pPr>
          <w:hyperlink w:anchor="_Toc148955329" w:history="1">
            <w:r w:rsidR="005F09AC" w:rsidRPr="0029167E">
              <w:rPr>
                <w:rStyle w:val="Hyperlink"/>
              </w:rPr>
              <w:t>3.2</w:t>
            </w:r>
            <w:r w:rsidR="005F09AC" w:rsidRPr="0029167E">
              <w:rPr>
                <w:rFonts w:asciiTheme="minorHAnsi" w:eastAsiaTheme="minorEastAsia" w:hAnsiTheme="minorHAnsi" w:cstheme="minorBidi"/>
                <w:iCs w:val="0"/>
                <w:sz w:val="22"/>
                <w:szCs w:val="22"/>
                <w:lang w:val="de-CH"/>
              </w:rPr>
              <w:tab/>
            </w:r>
            <w:r w:rsidR="005F09AC" w:rsidRPr="0029167E">
              <w:rPr>
                <w:rStyle w:val="Hyperlink"/>
              </w:rPr>
              <w:t xml:space="preserve">Déclaration des modèles utilisés pour le SST 2024 </w:t>
            </w:r>
            <w:r w:rsidR="005F09AC" w:rsidRPr="0029167E">
              <w:rPr>
                <w:webHidden/>
              </w:rPr>
              <w:tab/>
            </w:r>
            <w:r w:rsidR="005F09AC" w:rsidRPr="0029167E">
              <w:rPr>
                <w:webHidden/>
              </w:rPr>
              <w:fldChar w:fldCharType="begin"/>
            </w:r>
            <w:r w:rsidR="005F09AC" w:rsidRPr="0029167E">
              <w:rPr>
                <w:webHidden/>
              </w:rPr>
              <w:instrText xml:space="preserve"> PAGEREF _Toc148955329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74D9E0B8" w14:textId="2DC24D14" w:rsidR="005F09AC" w:rsidRPr="0029167E" w:rsidRDefault="003055A1">
          <w:pPr>
            <w:pStyle w:val="TOC2"/>
            <w:rPr>
              <w:rFonts w:asciiTheme="minorHAnsi" w:eastAsiaTheme="minorEastAsia" w:hAnsiTheme="minorHAnsi" w:cstheme="minorBidi"/>
              <w:iCs w:val="0"/>
              <w:sz w:val="22"/>
              <w:szCs w:val="22"/>
              <w:lang w:val="de-CH"/>
            </w:rPr>
          </w:pPr>
          <w:hyperlink w:anchor="_Toc148955330" w:history="1">
            <w:r w:rsidR="005F09AC" w:rsidRPr="0029167E">
              <w:rPr>
                <w:rStyle w:val="Hyperlink"/>
              </w:rPr>
              <w:t>3.3</w:t>
            </w:r>
            <w:r w:rsidR="005F09AC" w:rsidRPr="0029167E">
              <w:rPr>
                <w:rFonts w:asciiTheme="minorHAnsi" w:eastAsiaTheme="minorEastAsia" w:hAnsiTheme="minorHAnsi" w:cstheme="minorBidi"/>
                <w:iCs w:val="0"/>
                <w:sz w:val="22"/>
                <w:szCs w:val="22"/>
                <w:lang w:val="de-CH"/>
              </w:rPr>
              <w:tab/>
            </w:r>
            <w:r w:rsidR="005F09AC" w:rsidRPr="0029167E">
              <w:rPr>
                <w:rStyle w:val="Hyperlink"/>
              </w:rPr>
              <w:t>Modifications du modèle par rapport à l’année précédente</w:t>
            </w:r>
            <w:r w:rsidR="005F09AC" w:rsidRPr="0029167E">
              <w:rPr>
                <w:webHidden/>
              </w:rPr>
              <w:tab/>
            </w:r>
            <w:r w:rsidR="005F09AC" w:rsidRPr="0029167E">
              <w:rPr>
                <w:webHidden/>
              </w:rPr>
              <w:fldChar w:fldCharType="begin"/>
            </w:r>
            <w:r w:rsidR="005F09AC" w:rsidRPr="0029167E">
              <w:rPr>
                <w:webHidden/>
              </w:rPr>
              <w:instrText xml:space="preserve"> PAGEREF _Toc148955330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658EF37E" w14:textId="29BB1977" w:rsidR="005F09AC" w:rsidRPr="0029167E" w:rsidRDefault="003055A1">
          <w:pPr>
            <w:pStyle w:val="TOC2"/>
            <w:rPr>
              <w:rFonts w:asciiTheme="minorHAnsi" w:eastAsiaTheme="minorEastAsia" w:hAnsiTheme="minorHAnsi" w:cstheme="minorBidi"/>
              <w:iCs w:val="0"/>
              <w:sz w:val="22"/>
              <w:szCs w:val="22"/>
              <w:lang w:val="de-CH"/>
            </w:rPr>
          </w:pPr>
          <w:hyperlink w:anchor="_Toc148955331" w:history="1">
            <w:r w:rsidR="005F09AC" w:rsidRPr="0029167E">
              <w:rPr>
                <w:rStyle w:val="Hyperlink"/>
              </w:rPr>
              <w:t>3.4</w:t>
            </w:r>
            <w:r w:rsidR="005F09AC" w:rsidRPr="0029167E">
              <w:rPr>
                <w:rFonts w:asciiTheme="minorHAnsi" w:eastAsiaTheme="minorEastAsia" w:hAnsiTheme="minorHAnsi" w:cstheme="minorBidi"/>
                <w:iCs w:val="0"/>
                <w:sz w:val="22"/>
                <w:szCs w:val="22"/>
                <w:lang w:val="de-CH"/>
              </w:rPr>
              <w:tab/>
            </w:r>
            <w:r w:rsidR="005F09AC" w:rsidRPr="0029167E">
              <w:rPr>
                <w:rStyle w:val="Hyperlink"/>
              </w:rPr>
              <w:t>Liste des documents et pièces remis</w:t>
            </w:r>
            <w:r w:rsidR="005F09AC" w:rsidRPr="0029167E">
              <w:rPr>
                <w:webHidden/>
              </w:rPr>
              <w:tab/>
            </w:r>
            <w:r w:rsidR="005F09AC" w:rsidRPr="0029167E">
              <w:rPr>
                <w:webHidden/>
              </w:rPr>
              <w:fldChar w:fldCharType="begin"/>
            </w:r>
            <w:r w:rsidR="005F09AC" w:rsidRPr="0029167E">
              <w:rPr>
                <w:webHidden/>
              </w:rPr>
              <w:instrText xml:space="preserve"> PAGEREF _Toc148955331 \h </w:instrText>
            </w:r>
            <w:r w:rsidR="005F09AC" w:rsidRPr="0029167E">
              <w:rPr>
                <w:webHidden/>
              </w:rPr>
            </w:r>
            <w:r w:rsidR="005F09AC" w:rsidRPr="0029167E">
              <w:rPr>
                <w:webHidden/>
              </w:rPr>
              <w:fldChar w:fldCharType="separate"/>
            </w:r>
            <w:r w:rsidR="005F09AC" w:rsidRPr="0029167E">
              <w:rPr>
                <w:webHidden/>
              </w:rPr>
              <w:t>7</w:t>
            </w:r>
            <w:r w:rsidR="005F09AC" w:rsidRPr="0029167E">
              <w:rPr>
                <w:webHidden/>
              </w:rPr>
              <w:fldChar w:fldCharType="end"/>
            </w:r>
          </w:hyperlink>
        </w:p>
        <w:p w14:paraId="38202455" w14:textId="2689EBEA" w:rsidR="005F09AC" w:rsidRPr="0029167E" w:rsidRDefault="003055A1">
          <w:pPr>
            <w:pStyle w:val="TOC1"/>
            <w:rPr>
              <w:rFonts w:asciiTheme="minorHAnsi" w:eastAsiaTheme="minorEastAsia" w:hAnsiTheme="minorHAnsi" w:cstheme="minorBidi"/>
              <w:b w:val="0"/>
              <w:bCs w:val="0"/>
              <w:lang w:val="de-CH"/>
            </w:rPr>
          </w:pPr>
          <w:hyperlink w:anchor="_Toc148955332" w:history="1">
            <w:r w:rsidR="005F09AC" w:rsidRPr="0029167E">
              <w:rPr>
                <w:rStyle w:val="Hyperlink"/>
              </w:rPr>
              <w:t>4</w:t>
            </w:r>
            <w:r w:rsidR="005F09AC" w:rsidRPr="0029167E">
              <w:rPr>
                <w:rFonts w:asciiTheme="minorHAnsi" w:eastAsiaTheme="minorEastAsia" w:hAnsiTheme="minorHAnsi" w:cstheme="minorBidi"/>
                <w:b w:val="0"/>
                <w:bCs w:val="0"/>
                <w:lang w:val="de-CH"/>
              </w:rPr>
              <w:tab/>
            </w:r>
            <w:r w:rsidR="005F09AC" w:rsidRPr="0029167E">
              <w:rPr>
                <w:rStyle w:val="Hyperlink"/>
              </w:rPr>
              <w:t>Exigences qualitatives</w:t>
            </w:r>
            <w:r w:rsidR="005F09AC" w:rsidRPr="0029167E">
              <w:rPr>
                <w:webHidden/>
              </w:rPr>
              <w:tab/>
            </w:r>
            <w:r w:rsidR="005F09AC" w:rsidRPr="0029167E">
              <w:rPr>
                <w:webHidden/>
              </w:rPr>
              <w:fldChar w:fldCharType="begin"/>
            </w:r>
            <w:r w:rsidR="005F09AC" w:rsidRPr="0029167E">
              <w:rPr>
                <w:webHidden/>
              </w:rPr>
              <w:instrText xml:space="preserve"> PAGEREF _Toc148955332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441E9883" w14:textId="7A254EBB" w:rsidR="005F09AC" w:rsidRPr="0029167E" w:rsidRDefault="003055A1">
          <w:pPr>
            <w:pStyle w:val="TOC2"/>
            <w:rPr>
              <w:rFonts w:asciiTheme="minorHAnsi" w:eastAsiaTheme="minorEastAsia" w:hAnsiTheme="minorHAnsi" w:cstheme="minorBidi"/>
              <w:iCs w:val="0"/>
              <w:sz w:val="22"/>
              <w:szCs w:val="22"/>
              <w:lang w:val="de-CH"/>
            </w:rPr>
          </w:pPr>
          <w:hyperlink w:anchor="_Toc148955333" w:history="1">
            <w:r w:rsidR="005F09AC" w:rsidRPr="0029167E">
              <w:rPr>
                <w:rStyle w:val="Hyperlink"/>
              </w:rPr>
              <w:t>4.1</w:t>
            </w:r>
            <w:r w:rsidR="005F09AC" w:rsidRPr="0029167E">
              <w:rPr>
                <w:rFonts w:asciiTheme="minorHAnsi" w:eastAsiaTheme="minorEastAsia" w:hAnsiTheme="minorHAnsi" w:cstheme="minorBidi"/>
                <w:iCs w:val="0"/>
                <w:sz w:val="22"/>
                <w:szCs w:val="22"/>
                <w:lang w:val="de-CH"/>
              </w:rPr>
              <w:tab/>
            </w:r>
            <w:r w:rsidR="005F09AC" w:rsidRPr="0029167E">
              <w:rPr>
                <w:rStyle w:val="Hyperlink"/>
              </w:rPr>
              <w:t>Auto-évaluation de l’entreprise d’assurance</w:t>
            </w:r>
            <w:r w:rsidR="005F09AC" w:rsidRPr="0029167E">
              <w:rPr>
                <w:webHidden/>
              </w:rPr>
              <w:tab/>
            </w:r>
            <w:r w:rsidR="005F09AC" w:rsidRPr="0029167E">
              <w:rPr>
                <w:webHidden/>
              </w:rPr>
              <w:fldChar w:fldCharType="begin"/>
            </w:r>
            <w:r w:rsidR="005F09AC" w:rsidRPr="0029167E">
              <w:rPr>
                <w:webHidden/>
              </w:rPr>
              <w:instrText xml:space="preserve"> PAGEREF _Toc148955333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64CDA5F1" w14:textId="2AE1C9AE" w:rsidR="005F09AC" w:rsidRPr="0029167E" w:rsidRDefault="003055A1">
          <w:pPr>
            <w:pStyle w:val="TOC2"/>
            <w:rPr>
              <w:rFonts w:asciiTheme="minorHAnsi" w:eastAsiaTheme="minorEastAsia" w:hAnsiTheme="minorHAnsi" w:cstheme="minorBidi"/>
              <w:iCs w:val="0"/>
              <w:sz w:val="22"/>
              <w:szCs w:val="22"/>
              <w:lang w:val="de-CH"/>
            </w:rPr>
          </w:pPr>
          <w:hyperlink w:anchor="_Toc148955334" w:history="1">
            <w:r w:rsidR="005F09AC" w:rsidRPr="0029167E">
              <w:rPr>
                <w:rStyle w:val="Hyperlink"/>
              </w:rPr>
              <w:t>4.2</w:t>
            </w:r>
            <w:r w:rsidR="005F09AC" w:rsidRPr="0029167E">
              <w:rPr>
                <w:rFonts w:asciiTheme="minorHAnsi" w:eastAsiaTheme="minorEastAsia" w:hAnsiTheme="minorHAnsi" w:cstheme="minorBidi"/>
                <w:iCs w:val="0"/>
                <w:sz w:val="22"/>
                <w:szCs w:val="22"/>
                <w:lang w:val="de-CH"/>
              </w:rPr>
              <w:tab/>
            </w:r>
            <w:r w:rsidR="005F09AC" w:rsidRPr="0029167E">
              <w:rPr>
                <w:rStyle w:val="Hyperlink"/>
              </w:rPr>
              <w:t>Externalisation du calcul du SST</w:t>
            </w:r>
            <w:r w:rsidR="005F09AC" w:rsidRPr="0029167E">
              <w:rPr>
                <w:webHidden/>
              </w:rPr>
              <w:tab/>
            </w:r>
            <w:r w:rsidR="005F09AC" w:rsidRPr="0029167E">
              <w:rPr>
                <w:webHidden/>
              </w:rPr>
              <w:fldChar w:fldCharType="begin"/>
            </w:r>
            <w:r w:rsidR="005F09AC" w:rsidRPr="0029167E">
              <w:rPr>
                <w:webHidden/>
              </w:rPr>
              <w:instrText xml:space="preserve"> PAGEREF _Toc148955334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4063EBE9" w14:textId="74ED7351" w:rsidR="005F09AC" w:rsidRPr="0029167E" w:rsidRDefault="003055A1">
          <w:pPr>
            <w:pStyle w:val="TOC2"/>
            <w:rPr>
              <w:rFonts w:asciiTheme="minorHAnsi" w:eastAsiaTheme="minorEastAsia" w:hAnsiTheme="minorHAnsi" w:cstheme="minorBidi"/>
              <w:iCs w:val="0"/>
              <w:sz w:val="22"/>
              <w:szCs w:val="22"/>
              <w:lang w:val="de-CH"/>
            </w:rPr>
          </w:pPr>
          <w:hyperlink w:anchor="_Toc148955335" w:history="1">
            <w:r w:rsidR="005F09AC" w:rsidRPr="0029167E">
              <w:rPr>
                <w:rStyle w:val="Hyperlink"/>
              </w:rPr>
              <w:t>4.3</w:t>
            </w:r>
            <w:r w:rsidR="005F09AC" w:rsidRPr="0029167E">
              <w:rPr>
                <w:rFonts w:asciiTheme="minorHAnsi" w:eastAsiaTheme="minorEastAsia" w:hAnsiTheme="minorHAnsi" w:cstheme="minorBidi"/>
                <w:iCs w:val="0"/>
                <w:sz w:val="22"/>
                <w:szCs w:val="22"/>
                <w:lang w:val="de-CH"/>
              </w:rPr>
              <w:tab/>
            </w:r>
            <w:r w:rsidR="005F09AC" w:rsidRPr="0029167E">
              <w:rPr>
                <w:rStyle w:val="Hyperlink"/>
              </w:rPr>
              <w:t>Saisie des données</w:t>
            </w:r>
            <w:r w:rsidR="005F09AC" w:rsidRPr="0029167E">
              <w:rPr>
                <w:webHidden/>
              </w:rPr>
              <w:tab/>
            </w:r>
            <w:r w:rsidR="005F09AC" w:rsidRPr="0029167E">
              <w:rPr>
                <w:webHidden/>
              </w:rPr>
              <w:fldChar w:fldCharType="begin"/>
            </w:r>
            <w:r w:rsidR="005F09AC" w:rsidRPr="0029167E">
              <w:rPr>
                <w:webHidden/>
              </w:rPr>
              <w:instrText xml:space="preserve"> PAGEREF _Toc148955335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545E2FEC" w14:textId="193E237C" w:rsidR="005F09AC" w:rsidRPr="0029167E" w:rsidRDefault="003055A1">
          <w:pPr>
            <w:pStyle w:val="TOC2"/>
            <w:rPr>
              <w:rFonts w:asciiTheme="minorHAnsi" w:eastAsiaTheme="minorEastAsia" w:hAnsiTheme="minorHAnsi" w:cstheme="minorBidi"/>
              <w:iCs w:val="0"/>
              <w:sz w:val="22"/>
              <w:szCs w:val="22"/>
              <w:lang w:val="de-CH"/>
            </w:rPr>
          </w:pPr>
          <w:hyperlink w:anchor="_Toc148955336" w:history="1">
            <w:r w:rsidR="005F09AC" w:rsidRPr="0029167E">
              <w:rPr>
                <w:rStyle w:val="Hyperlink"/>
              </w:rPr>
              <w:t>4.4</w:t>
            </w:r>
            <w:r w:rsidR="005F09AC" w:rsidRPr="0029167E">
              <w:rPr>
                <w:rFonts w:asciiTheme="minorHAnsi" w:eastAsiaTheme="minorEastAsia" w:hAnsiTheme="minorHAnsi" w:cstheme="minorBidi"/>
                <w:iCs w:val="0"/>
                <w:sz w:val="22"/>
                <w:szCs w:val="22"/>
                <w:lang w:val="de-CH"/>
              </w:rPr>
              <w:tab/>
            </w:r>
            <w:r w:rsidR="005F09AC" w:rsidRPr="0029167E">
              <w:rPr>
                <w:rStyle w:val="Hyperlink"/>
              </w:rPr>
              <w:t>Validation</w:t>
            </w:r>
            <w:r w:rsidR="005F09AC" w:rsidRPr="0029167E">
              <w:rPr>
                <w:webHidden/>
              </w:rPr>
              <w:tab/>
            </w:r>
            <w:r w:rsidR="005F09AC" w:rsidRPr="0029167E">
              <w:rPr>
                <w:webHidden/>
              </w:rPr>
              <w:fldChar w:fldCharType="begin"/>
            </w:r>
            <w:r w:rsidR="005F09AC" w:rsidRPr="0029167E">
              <w:rPr>
                <w:webHidden/>
              </w:rPr>
              <w:instrText xml:space="preserve"> PAGEREF _Toc148955336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3C614840" w14:textId="4A54140F" w:rsidR="005F09AC" w:rsidRPr="0029167E" w:rsidRDefault="003055A1">
          <w:pPr>
            <w:pStyle w:val="TOC1"/>
            <w:rPr>
              <w:rFonts w:asciiTheme="minorHAnsi" w:eastAsiaTheme="minorEastAsia" w:hAnsiTheme="minorHAnsi" w:cstheme="minorBidi"/>
              <w:b w:val="0"/>
              <w:bCs w:val="0"/>
              <w:lang w:val="de-CH"/>
            </w:rPr>
          </w:pPr>
          <w:hyperlink w:anchor="_Toc148955337" w:history="1">
            <w:r w:rsidR="005F09AC" w:rsidRPr="0029167E">
              <w:rPr>
                <w:rStyle w:val="Hyperlink"/>
              </w:rPr>
              <w:t>5</w:t>
            </w:r>
            <w:r w:rsidR="005F09AC" w:rsidRPr="0029167E">
              <w:rPr>
                <w:rFonts w:asciiTheme="minorHAnsi" w:eastAsiaTheme="minorEastAsia" w:hAnsiTheme="minorHAnsi" w:cstheme="minorBidi"/>
                <w:b w:val="0"/>
                <w:bCs w:val="0"/>
                <w:lang w:val="de-CH"/>
              </w:rPr>
              <w:tab/>
            </w:r>
            <w:r w:rsidR="005F09AC" w:rsidRPr="0029167E">
              <w:rPr>
                <w:rStyle w:val="Hyperlink"/>
              </w:rPr>
              <w:t>Le CPR et ses composantes</w:t>
            </w:r>
            <w:r w:rsidR="005F09AC" w:rsidRPr="0029167E">
              <w:rPr>
                <w:webHidden/>
              </w:rPr>
              <w:tab/>
            </w:r>
            <w:r w:rsidR="005F09AC" w:rsidRPr="0029167E">
              <w:rPr>
                <w:webHidden/>
              </w:rPr>
              <w:fldChar w:fldCharType="begin"/>
            </w:r>
            <w:r w:rsidR="005F09AC" w:rsidRPr="0029167E">
              <w:rPr>
                <w:webHidden/>
              </w:rPr>
              <w:instrText xml:space="preserve"> PAGEREF _Toc148955337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7B1D9F14" w14:textId="1BAB65C8" w:rsidR="005F09AC" w:rsidRPr="0029167E" w:rsidRDefault="003055A1">
          <w:pPr>
            <w:pStyle w:val="TOC2"/>
            <w:rPr>
              <w:rFonts w:asciiTheme="minorHAnsi" w:eastAsiaTheme="minorEastAsia" w:hAnsiTheme="minorHAnsi" w:cstheme="minorBidi"/>
              <w:iCs w:val="0"/>
              <w:sz w:val="22"/>
              <w:szCs w:val="22"/>
              <w:lang w:val="de-CH"/>
            </w:rPr>
          </w:pPr>
          <w:hyperlink w:anchor="_Toc148955338" w:history="1">
            <w:r w:rsidR="005F09AC" w:rsidRPr="0029167E">
              <w:rPr>
                <w:rStyle w:val="Hyperlink"/>
              </w:rPr>
              <w:t>5.1</w:t>
            </w:r>
            <w:r w:rsidR="005F09AC" w:rsidRPr="0029167E">
              <w:rPr>
                <w:rFonts w:asciiTheme="minorHAnsi" w:eastAsiaTheme="minorEastAsia" w:hAnsiTheme="minorHAnsi" w:cstheme="minorBidi"/>
                <w:iCs w:val="0"/>
                <w:sz w:val="22"/>
                <w:szCs w:val="22"/>
                <w:lang w:val="de-CH"/>
              </w:rPr>
              <w:tab/>
            </w:r>
            <w:r w:rsidR="005F09AC" w:rsidRPr="0029167E">
              <w:rPr>
                <w:rStyle w:val="Hyperlink"/>
              </w:rPr>
              <w:t>Aperçu du CPR</w:t>
            </w:r>
            <w:r w:rsidR="005F09AC" w:rsidRPr="0029167E">
              <w:rPr>
                <w:webHidden/>
              </w:rPr>
              <w:tab/>
            </w:r>
            <w:r w:rsidR="005F09AC" w:rsidRPr="0029167E">
              <w:rPr>
                <w:webHidden/>
              </w:rPr>
              <w:fldChar w:fldCharType="begin"/>
            </w:r>
            <w:r w:rsidR="005F09AC" w:rsidRPr="0029167E">
              <w:rPr>
                <w:webHidden/>
              </w:rPr>
              <w:instrText xml:space="preserve"> PAGEREF _Toc148955338 \h </w:instrText>
            </w:r>
            <w:r w:rsidR="005F09AC" w:rsidRPr="0029167E">
              <w:rPr>
                <w:webHidden/>
              </w:rPr>
            </w:r>
            <w:r w:rsidR="005F09AC" w:rsidRPr="0029167E">
              <w:rPr>
                <w:webHidden/>
              </w:rPr>
              <w:fldChar w:fldCharType="separate"/>
            </w:r>
            <w:r w:rsidR="005F09AC" w:rsidRPr="0029167E">
              <w:rPr>
                <w:webHidden/>
              </w:rPr>
              <w:t>8</w:t>
            </w:r>
            <w:r w:rsidR="005F09AC" w:rsidRPr="0029167E">
              <w:rPr>
                <w:webHidden/>
              </w:rPr>
              <w:fldChar w:fldCharType="end"/>
            </w:r>
          </w:hyperlink>
        </w:p>
        <w:p w14:paraId="3A6CCEAF" w14:textId="5AC1B885" w:rsidR="005F09AC" w:rsidRPr="0029167E" w:rsidRDefault="003055A1">
          <w:pPr>
            <w:pStyle w:val="TOC2"/>
            <w:rPr>
              <w:rFonts w:asciiTheme="minorHAnsi" w:eastAsiaTheme="minorEastAsia" w:hAnsiTheme="minorHAnsi" w:cstheme="minorBidi"/>
              <w:iCs w:val="0"/>
              <w:sz w:val="22"/>
              <w:szCs w:val="22"/>
              <w:lang w:val="de-CH"/>
            </w:rPr>
          </w:pPr>
          <w:hyperlink w:anchor="_Toc148955339" w:history="1">
            <w:r w:rsidR="005F09AC" w:rsidRPr="0029167E">
              <w:rPr>
                <w:rStyle w:val="Hyperlink"/>
              </w:rPr>
              <w:t>5.2</w:t>
            </w:r>
            <w:r w:rsidR="005F09AC" w:rsidRPr="0029167E">
              <w:rPr>
                <w:rFonts w:asciiTheme="minorHAnsi" w:eastAsiaTheme="minorEastAsia" w:hAnsiTheme="minorHAnsi" w:cstheme="minorBidi"/>
                <w:iCs w:val="0"/>
                <w:sz w:val="22"/>
                <w:szCs w:val="22"/>
                <w:lang w:val="de-CH"/>
              </w:rPr>
              <w:tab/>
            </w:r>
            <w:r w:rsidR="005F09AC" w:rsidRPr="0029167E">
              <w:rPr>
                <w:rStyle w:val="Hyperlink"/>
              </w:rPr>
              <w:t>Actifs</w:t>
            </w:r>
            <w:r w:rsidR="005F09AC" w:rsidRPr="0029167E">
              <w:rPr>
                <w:webHidden/>
              </w:rPr>
              <w:tab/>
            </w:r>
            <w:r w:rsidR="005F09AC" w:rsidRPr="0029167E">
              <w:rPr>
                <w:webHidden/>
              </w:rPr>
              <w:fldChar w:fldCharType="begin"/>
            </w:r>
            <w:r w:rsidR="005F09AC" w:rsidRPr="0029167E">
              <w:rPr>
                <w:webHidden/>
              </w:rPr>
              <w:instrText xml:space="preserve"> PAGEREF _Toc148955339 \h </w:instrText>
            </w:r>
            <w:r w:rsidR="005F09AC" w:rsidRPr="0029167E">
              <w:rPr>
                <w:webHidden/>
              </w:rPr>
            </w:r>
            <w:r w:rsidR="005F09AC" w:rsidRPr="0029167E">
              <w:rPr>
                <w:webHidden/>
              </w:rPr>
              <w:fldChar w:fldCharType="separate"/>
            </w:r>
            <w:r w:rsidR="005F09AC" w:rsidRPr="0029167E">
              <w:rPr>
                <w:webHidden/>
              </w:rPr>
              <w:t>9</w:t>
            </w:r>
            <w:r w:rsidR="005F09AC" w:rsidRPr="0029167E">
              <w:rPr>
                <w:webHidden/>
              </w:rPr>
              <w:fldChar w:fldCharType="end"/>
            </w:r>
          </w:hyperlink>
        </w:p>
        <w:p w14:paraId="7B41D255" w14:textId="437882D0" w:rsidR="005F09AC" w:rsidRPr="0029167E" w:rsidRDefault="003055A1">
          <w:pPr>
            <w:pStyle w:val="TOC2"/>
            <w:rPr>
              <w:rFonts w:asciiTheme="minorHAnsi" w:eastAsiaTheme="minorEastAsia" w:hAnsiTheme="minorHAnsi" w:cstheme="minorBidi"/>
              <w:iCs w:val="0"/>
              <w:sz w:val="22"/>
              <w:szCs w:val="22"/>
              <w:lang w:val="de-CH"/>
            </w:rPr>
          </w:pPr>
          <w:hyperlink w:anchor="_Toc148955340" w:history="1">
            <w:r w:rsidR="005F09AC" w:rsidRPr="0029167E">
              <w:rPr>
                <w:rStyle w:val="Hyperlink"/>
              </w:rPr>
              <w:t>5.3</w:t>
            </w:r>
            <w:r w:rsidR="005F09AC" w:rsidRPr="0029167E">
              <w:rPr>
                <w:rFonts w:asciiTheme="minorHAnsi" w:eastAsiaTheme="minorEastAsia" w:hAnsiTheme="minorHAnsi" w:cstheme="minorBidi"/>
                <w:iCs w:val="0"/>
                <w:sz w:val="22"/>
                <w:szCs w:val="22"/>
                <w:lang w:val="de-CH"/>
              </w:rPr>
              <w:tab/>
            </w:r>
            <w:r w:rsidR="005F09AC" w:rsidRPr="0029167E">
              <w:rPr>
                <w:rStyle w:val="Hyperlink"/>
              </w:rPr>
              <w:t>Passifs</w:t>
            </w:r>
            <w:r w:rsidR="005F09AC" w:rsidRPr="0029167E">
              <w:rPr>
                <w:webHidden/>
              </w:rPr>
              <w:tab/>
            </w:r>
            <w:r w:rsidR="005F09AC" w:rsidRPr="0029167E">
              <w:rPr>
                <w:webHidden/>
              </w:rPr>
              <w:fldChar w:fldCharType="begin"/>
            </w:r>
            <w:r w:rsidR="005F09AC" w:rsidRPr="0029167E">
              <w:rPr>
                <w:webHidden/>
              </w:rPr>
              <w:instrText xml:space="preserve"> PAGEREF _Toc148955340 \h </w:instrText>
            </w:r>
            <w:r w:rsidR="005F09AC" w:rsidRPr="0029167E">
              <w:rPr>
                <w:webHidden/>
              </w:rPr>
            </w:r>
            <w:r w:rsidR="005F09AC" w:rsidRPr="0029167E">
              <w:rPr>
                <w:webHidden/>
              </w:rPr>
              <w:fldChar w:fldCharType="separate"/>
            </w:r>
            <w:r w:rsidR="005F09AC" w:rsidRPr="0029167E">
              <w:rPr>
                <w:webHidden/>
              </w:rPr>
              <w:t>9</w:t>
            </w:r>
            <w:r w:rsidR="005F09AC" w:rsidRPr="0029167E">
              <w:rPr>
                <w:webHidden/>
              </w:rPr>
              <w:fldChar w:fldCharType="end"/>
            </w:r>
          </w:hyperlink>
        </w:p>
        <w:p w14:paraId="272F0104" w14:textId="3F46AB5C" w:rsidR="005F09AC" w:rsidRPr="0029167E" w:rsidRDefault="003055A1">
          <w:pPr>
            <w:pStyle w:val="TOC3"/>
            <w:rPr>
              <w:rFonts w:asciiTheme="minorHAnsi" w:eastAsiaTheme="minorEastAsia" w:hAnsiTheme="minorHAnsi" w:cstheme="minorBidi"/>
              <w:noProof/>
              <w:sz w:val="22"/>
              <w:szCs w:val="22"/>
              <w:lang w:val="de-CH"/>
            </w:rPr>
          </w:pPr>
          <w:hyperlink w:anchor="_Toc148955341" w:history="1">
            <w:r w:rsidR="005F09AC" w:rsidRPr="0029167E">
              <w:rPr>
                <w:rStyle w:val="Hyperlink"/>
                <w:noProof/>
              </w:rPr>
              <w:t>5.3.1</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Portefeuille d’assurance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_Toc148955341 \h </w:instrText>
            </w:r>
            <w:r w:rsidR="005F09AC" w:rsidRPr="0029167E">
              <w:rPr>
                <w:noProof/>
                <w:webHidden/>
              </w:rPr>
            </w:r>
            <w:r w:rsidR="005F09AC" w:rsidRPr="0029167E">
              <w:rPr>
                <w:noProof/>
                <w:webHidden/>
              </w:rPr>
              <w:fldChar w:fldCharType="separate"/>
            </w:r>
            <w:r w:rsidR="005F09AC" w:rsidRPr="0029167E">
              <w:rPr>
                <w:noProof/>
                <w:webHidden/>
              </w:rPr>
              <w:t>10</w:t>
            </w:r>
            <w:r w:rsidR="005F09AC" w:rsidRPr="0029167E">
              <w:rPr>
                <w:noProof/>
                <w:webHidden/>
              </w:rPr>
              <w:fldChar w:fldCharType="end"/>
            </w:r>
          </w:hyperlink>
        </w:p>
        <w:p w14:paraId="5146ACED" w14:textId="6AC9D2A2" w:rsidR="005F09AC" w:rsidRPr="0029167E" w:rsidRDefault="003055A1">
          <w:pPr>
            <w:pStyle w:val="TOC3"/>
            <w:rPr>
              <w:rFonts w:asciiTheme="minorHAnsi" w:eastAsiaTheme="minorEastAsia" w:hAnsiTheme="minorHAnsi" w:cstheme="minorBidi"/>
              <w:noProof/>
              <w:sz w:val="22"/>
              <w:szCs w:val="22"/>
              <w:lang w:val="de-CH"/>
            </w:rPr>
          </w:pPr>
          <w:hyperlink w:anchor="_Toc148955342" w:history="1">
            <w:r w:rsidR="005F09AC" w:rsidRPr="0029167E">
              <w:rPr>
                <w:rStyle w:val="Hyperlink"/>
                <w:noProof/>
              </w:rPr>
              <w:t>5.3.2</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Meilleure estimation possible des engagements d’assurance et autres engagements</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_Toc148955342 \h </w:instrText>
            </w:r>
            <w:r w:rsidR="005F09AC" w:rsidRPr="0029167E">
              <w:rPr>
                <w:noProof/>
                <w:webHidden/>
              </w:rPr>
            </w:r>
            <w:r w:rsidR="005F09AC" w:rsidRPr="0029167E">
              <w:rPr>
                <w:noProof/>
                <w:webHidden/>
              </w:rPr>
              <w:fldChar w:fldCharType="separate"/>
            </w:r>
            <w:r w:rsidR="005F09AC" w:rsidRPr="0029167E">
              <w:rPr>
                <w:noProof/>
                <w:webHidden/>
              </w:rPr>
              <w:t>10</w:t>
            </w:r>
            <w:r w:rsidR="005F09AC" w:rsidRPr="0029167E">
              <w:rPr>
                <w:noProof/>
                <w:webHidden/>
              </w:rPr>
              <w:fldChar w:fldCharType="end"/>
            </w:r>
          </w:hyperlink>
        </w:p>
        <w:p w14:paraId="1F64DBF6" w14:textId="3022D254" w:rsidR="005F09AC" w:rsidRPr="0029167E" w:rsidRDefault="003055A1">
          <w:pPr>
            <w:pStyle w:val="TOC3"/>
            <w:rPr>
              <w:rFonts w:asciiTheme="minorHAnsi" w:eastAsiaTheme="minorEastAsia" w:hAnsiTheme="minorHAnsi" w:cstheme="minorBidi"/>
              <w:noProof/>
              <w:sz w:val="22"/>
              <w:szCs w:val="22"/>
              <w:lang w:val="de-CH"/>
            </w:rPr>
          </w:pPr>
          <w:hyperlink w:anchor="_Toc148955343" w:history="1">
            <w:r w:rsidR="005F09AC" w:rsidRPr="0029167E">
              <w:rPr>
                <w:rStyle w:val="Hyperlink"/>
                <w:noProof/>
              </w:rPr>
              <w:t>5.3.3</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Montant minimum</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_Toc148955343 \h </w:instrText>
            </w:r>
            <w:r w:rsidR="005F09AC" w:rsidRPr="0029167E">
              <w:rPr>
                <w:noProof/>
                <w:webHidden/>
              </w:rPr>
            </w:r>
            <w:r w:rsidR="005F09AC" w:rsidRPr="0029167E">
              <w:rPr>
                <w:noProof/>
                <w:webHidden/>
              </w:rPr>
              <w:fldChar w:fldCharType="separate"/>
            </w:r>
            <w:r w:rsidR="005F09AC" w:rsidRPr="0029167E">
              <w:rPr>
                <w:noProof/>
                <w:webHidden/>
              </w:rPr>
              <w:t>10</w:t>
            </w:r>
            <w:r w:rsidR="005F09AC" w:rsidRPr="0029167E">
              <w:rPr>
                <w:noProof/>
                <w:webHidden/>
              </w:rPr>
              <w:fldChar w:fldCharType="end"/>
            </w:r>
          </w:hyperlink>
        </w:p>
        <w:p w14:paraId="7B573A5D" w14:textId="39CA8347" w:rsidR="005F09AC" w:rsidRPr="0029167E" w:rsidRDefault="003055A1">
          <w:pPr>
            <w:pStyle w:val="TOC2"/>
            <w:rPr>
              <w:rFonts w:asciiTheme="minorHAnsi" w:eastAsiaTheme="minorEastAsia" w:hAnsiTheme="minorHAnsi" w:cstheme="minorBidi"/>
              <w:iCs w:val="0"/>
              <w:sz w:val="22"/>
              <w:szCs w:val="22"/>
              <w:lang w:val="de-CH"/>
            </w:rPr>
          </w:pPr>
          <w:hyperlink w:anchor="_Toc148955344" w:history="1">
            <w:r w:rsidR="005F09AC" w:rsidRPr="0029167E">
              <w:rPr>
                <w:rStyle w:val="Hyperlink"/>
              </w:rPr>
              <w:t>5.4</w:t>
            </w:r>
            <w:r w:rsidR="005F09AC" w:rsidRPr="0029167E">
              <w:rPr>
                <w:rFonts w:asciiTheme="minorHAnsi" w:eastAsiaTheme="minorEastAsia" w:hAnsiTheme="minorHAnsi" w:cstheme="minorBidi"/>
                <w:iCs w:val="0"/>
                <w:sz w:val="22"/>
                <w:szCs w:val="22"/>
                <w:lang w:val="de-CH"/>
              </w:rPr>
              <w:tab/>
            </w:r>
            <w:r w:rsidR="005F09AC" w:rsidRPr="0029167E">
              <w:rPr>
                <w:rStyle w:val="Hyperlink"/>
              </w:rPr>
              <w:t>Transition depuis le bilan audité</w:t>
            </w:r>
            <w:r w:rsidR="005F09AC" w:rsidRPr="0029167E">
              <w:rPr>
                <w:webHidden/>
              </w:rPr>
              <w:tab/>
            </w:r>
            <w:r w:rsidR="005F09AC" w:rsidRPr="0029167E">
              <w:rPr>
                <w:webHidden/>
              </w:rPr>
              <w:fldChar w:fldCharType="begin"/>
            </w:r>
            <w:r w:rsidR="005F09AC" w:rsidRPr="0029167E">
              <w:rPr>
                <w:webHidden/>
              </w:rPr>
              <w:instrText xml:space="preserve"> PAGEREF _Toc148955344 \h </w:instrText>
            </w:r>
            <w:r w:rsidR="005F09AC" w:rsidRPr="0029167E">
              <w:rPr>
                <w:webHidden/>
              </w:rPr>
            </w:r>
            <w:r w:rsidR="005F09AC" w:rsidRPr="0029167E">
              <w:rPr>
                <w:webHidden/>
              </w:rPr>
              <w:fldChar w:fldCharType="separate"/>
            </w:r>
            <w:r w:rsidR="005F09AC" w:rsidRPr="0029167E">
              <w:rPr>
                <w:webHidden/>
              </w:rPr>
              <w:t>10</w:t>
            </w:r>
            <w:r w:rsidR="005F09AC" w:rsidRPr="0029167E">
              <w:rPr>
                <w:webHidden/>
              </w:rPr>
              <w:fldChar w:fldCharType="end"/>
            </w:r>
          </w:hyperlink>
        </w:p>
        <w:p w14:paraId="5C67055C" w14:textId="0D59BE1C" w:rsidR="005F09AC" w:rsidRPr="0029167E" w:rsidRDefault="003055A1">
          <w:pPr>
            <w:pStyle w:val="TOC2"/>
            <w:rPr>
              <w:rFonts w:asciiTheme="minorHAnsi" w:eastAsiaTheme="minorEastAsia" w:hAnsiTheme="minorHAnsi" w:cstheme="minorBidi"/>
              <w:iCs w:val="0"/>
              <w:sz w:val="22"/>
              <w:szCs w:val="22"/>
              <w:lang w:val="de-CH"/>
            </w:rPr>
          </w:pPr>
          <w:hyperlink w:anchor="_Toc148955345" w:history="1">
            <w:r w:rsidR="005F09AC" w:rsidRPr="0029167E">
              <w:rPr>
                <w:rStyle w:val="Hyperlink"/>
              </w:rPr>
              <w:t>5.5</w:t>
            </w:r>
            <w:r w:rsidR="005F09AC" w:rsidRPr="0029167E">
              <w:rPr>
                <w:rFonts w:asciiTheme="minorHAnsi" w:eastAsiaTheme="minorEastAsia" w:hAnsiTheme="minorHAnsi" w:cstheme="minorBidi"/>
                <w:iCs w:val="0"/>
                <w:sz w:val="22"/>
                <w:szCs w:val="22"/>
                <w:lang w:val="de-CH"/>
              </w:rPr>
              <w:tab/>
            </w:r>
            <w:r w:rsidR="005F09AC" w:rsidRPr="0029167E">
              <w:rPr>
                <w:rStyle w:val="Hyperlink"/>
              </w:rPr>
              <w:t>Déductions</w:t>
            </w:r>
            <w:r w:rsidR="005F09AC" w:rsidRPr="0029167E">
              <w:rPr>
                <w:webHidden/>
              </w:rPr>
              <w:tab/>
            </w:r>
            <w:r w:rsidR="005F09AC" w:rsidRPr="0029167E">
              <w:rPr>
                <w:webHidden/>
              </w:rPr>
              <w:fldChar w:fldCharType="begin"/>
            </w:r>
            <w:r w:rsidR="005F09AC" w:rsidRPr="0029167E">
              <w:rPr>
                <w:webHidden/>
              </w:rPr>
              <w:instrText xml:space="preserve"> PAGEREF _Toc148955345 \h </w:instrText>
            </w:r>
            <w:r w:rsidR="005F09AC" w:rsidRPr="0029167E">
              <w:rPr>
                <w:webHidden/>
              </w:rPr>
            </w:r>
            <w:r w:rsidR="005F09AC" w:rsidRPr="0029167E">
              <w:rPr>
                <w:webHidden/>
              </w:rPr>
              <w:fldChar w:fldCharType="separate"/>
            </w:r>
            <w:r w:rsidR="005F09AC" w:rsidRPr="0029167E">
              <w:rPr>
                <w:webHidden/>
              </w:rPr>
              <w:t>11</w:t>
            </w:r>
            <w:r w:rsidR="005F09AC" w:rsidRPr="0029167E">
              <w:rPr>
                <w:webHidden/>
              </w:rPr>
              <w:fldChar w:fldCharType="end"/>
            </w:r>
          </w:hyperlink>
        </w:p>
        <w:p w14:paraId="774572C2" w14:textId="41032F52" w:rsidR="005F09AC" w:rsidRPr="0029167E" w:rsidRDefault="003055A1">
          <w:pPr>
            <w:pStyle w:val="TOC2"/>
            <w:rPr>
              <w:rFonts w:asciiTheme="minorHAnsi" w:eastAsiaTheme="minorEastAsia" w:hAnsiTheme="minorHAnsi" w:cstheme="minorBidi"/>
              <w:iCs w:val="0"/>
              <w:sz w:val="22"/>
              <w:szCs w:val="22"/>
              <w:lang w:val="de-CH"/>
            </w:rPr>
          </w:pPr>
          <w:hyperlink w:anchor="_Toc148955346" w:history="1">
            <w:r w:rsidR="005F09AC" w:rsidRPr="0029167E">
              <w:rPr>
                <w:rStyle w:val="Hyperlink"/>
              </w:rPr>
              <w:t>5.6</w:t>
            </w:r>
            <w:r w:rsidR="005F09AC" w:rsidRPr="0029167E">
              <w:rPr>
                <w:rFonts w:asciiTheme="minorHAnsi" w:eastAsiaTheme="minorEastAsia" w:hAnsiTheme="minorHAnsi" w:cstheme="minorBidi"/>
                <w:iCs w:val="0"/>
                <w:sz w:val="22"/>
                <w:szCs w:val="22"/>
                <w:lang w:val="de-CH"/>
              </w:rPr>
              <w:tab/>
            </w:r>
            <w:r w:rsidR="005F09AC" w:rsidRPr="0029167E">
              <w:rPr>
                <w:rStyle w:val="Hyperlink"/>
              </w:rPr>
              <w:t>Instruments de capital amortisseurs de risque (RAK)</w:t>
            </w:r>
            <w:r w:rsidR="005F09AC" w:rsidRPr="0029167E">
              <w:rPr>
                <w:webHidden/>
              </w:rPr>
              <w:tab/>
            </w:r>
            <w:r w:rsidR="005F09AC" w:rsidRPr="0029167E">
              <w:rPr>
                <w:webHidden/>
              </w:rPr>
              <w:fldChar w:fldCharType="begin"/>
            </w:r>
            <w:r w:rsidR="005F09AC" w:rsidRPr="0029167E">
              <w:rPr>
                <w:webHidden/>
              </w:rPr>
              <w:instrText xml:space="preserve"> PAGEREF _Toc148955346 \h </w:instrText>
            </w:r>
            <w:r w:rsidR="005F09AC" w:rsidRPr="0029167E">
              <w:rPr>
                <w:webHidden/>
              </w:rPr>
            </w:r>
            <w:r w:rsidR="005F09AC" w:rsidRPr="0029167E">
              <w:rPr>
                <w:webHidden/>
              </w:rPr>
              <w:fldChar w:fldCharType="separate"/>
            </w:r>
            <w:r w:rsidR="005F09AC" w:rsidRPr="0029167E">
              <w:rPr>
                <w:webHidden/>
              </w:rPr>
              <w:t>11</w:t>
            </w:r>
            <w:r w:rsidR="005F09AC" w:rsidRPr="0029167E">
              <w:rPr>
                <w:webHidden/>
              </w:rPr>
              <w:fldChar w:fldCharType="end"/>
            </w:r>
          </w:hyperlink>
        </w:p>
        <w:p w14:paraId="3E508299" w14:textId="50C87CCA" w:rsidR="005F09AC" w:rsidRPr="0029167E" w:rsidRDefault="003055A1">
          <w:pPr>
            <w:pStyle w:val="TOC1"/>
            <w:rPr>
              <w:rFonts w:asciiTheme="minorHAnsi" w:eastAsiaTheme="minorEastAsia" w:hAnsiTheme="minorHAnsi" w:cstheme="minorBidi"/>
              <w:b w:val="0"/>
              <w:bCs w:val="0"/>
              <w:lang w:val="de-CH"/>
            </w:rPr>
          </w:pPr>
          <w:hyperlink w:anchor="_Toc148955347" w:history="1">
            <w:r w:rsidR="005F09AC" w:rsidRPr="0029167E">
              <w:rPr>
                <w:rStyle w:val="Hyperlink"/>
              </w:rPr>
              <w:t>6</w:t>
            </w:r>
            <w:r w:rsidR="005F09AC" w:rsidRPr="0029167E">
              <w:rPr>
                <w:rFonts w:asciiTheme="minorHAnsi" w:eastAsiaTheme="minorEastAsia" w:hAnsiTheme="minorHAnsi" w:cstheme="minorBidi"/>
                <w:b w:val="0"/>
                <w:bCs w:val="0"/>
                <w:lang w:val="de-CH"/>
              </w:rPr>
              <w:tab/>
            </w:r>
            <w:r w:rsidR="005F09AC" w:rsidRPr="0029167E">
              <w:rPr>
                <w:rStyle w:val="Hyperlink"/>
              </w:rPr>
              <w:t>Le capital cible et ses catégories de risques</w:t>
            </w:r>
            <w:r w:rsidR="005F09AC" w:rsidRPr="0029167E">
              <w:rPr>
                <w:webHidden/>
              </w:rPr>
              <w:tab/>
            </w:r>
            <w:r w:rsidR="005F09AC" w:rsidRPr="0029167E">
              <w:rPr>
                <w:webHidden/>
              </w:rPr>
              <w:fldChar w:fldCharType="begin"/>
            </w:r>
            <w:r w:rsidR="005F09AC" w:rsidRPr="0029167E">
              <w:rPr>
                <w:webHidden/>
              </w:rPr>
              <w:instrText xml:space="preserve"> PAGEREF _Toc148955347 \h </w:instrText>
            </w:r>
            <w:r w:rsidR="005F09AC" w:rsidRPr="0029167E">
              <w:rPr>
                <w:webHidden/>
              </w:rPr>
            </w:r>
            <w:r w:rsidR="005F09AC" w:rsidRPr="0029167E">
              <w:rPr>
                <w:webHidden/>
              </w:rPr>
              <w:fldChar w:fldCharType="separate"/>
            </w:r>
            <w:r w:rsidR="005F09AC" w:rsidRPr="0029167E">
              <w:rPr>
                <w:webHidden/>
              </w:rPr>
              <w:t>12</w:t>
            </w:r>
            <w:r w:rsidR="005F09AC" w:rsidRPr="0029167E">
              <w:rPr>
                <w:webHidden/>
              </w:rPr>
              <w:fldChar w:fldCharType="end"/>
            </w:r>
          </w:hyperlink>
        </w:p>
        <w:p w14:paraId="31AF06D1" w14:textId="1CA39517" w:rsidR="005F09AC" w:rsidRPr="0029167E" w:rsidRDefault="003055A1">
          <w:pPr>
            <w:pStyle w:val="TOC2"/>
            <w:rPr>
              <w:rFonts w:asciiTheme="minorHAnsi" w:eastAsiaTheme="minorEastAsia" w:hAnsiTheme="minorHAnsi" w:cstheme="minorBidi"/>
              <w:iCs w:val="0"/>
              <w:sz w:val="22"/>
              <w:szCs w:val="22"/>
              <w:lang w:val="de-CH"/>
            </w:rPr>
          </w:pPr>
          <w:hyperlink w:anchor="_Toc148955348" w:history="1">
            <w:r w:rsidR="005F09AC" w:rsidRPr="0029167E">
              <w:rPr>
                <w:rStyle w:val="Hyperlink"/>
              </w:rPr>
              <w:t>6.1</w:t>
            </w:r>
            <w:r w:rsidR="005F09AC" w:rsidRPr="0029167E">
              <w:rPr>
                <w:rFonts w:asciiTheme="minorHAnsi" w:eastAsiaTheme="minorEastAsia" w:hAnsiTheme="minorHAnsi" w:cstheme="minorBidi"/>
                <w:iCs w:val="0"/>
                <w:sz w:val="22"/>
                <w:szCs w:val="22"/>
                <w:lang w:val="de-CH"/>
              </w:rPr>
              <w:tab/>
            </w:r>
            <w:r w:rsidR="005F09AC" w:rsidRPr="0029167E">
              <w:rPr>
                <w:rStyle w:val="Hyperlink"/>
              </w:rPr>
              <w:t>Vue d’ensemble</w:t>
            </w:r>
            <w:r w:rsidR="005F09AC" w:rsidRPr="0029167E">
              <w:rPr>
                <w:webHidden/>
              </w:rPr>
              <w:tab/>
            </w:r>
            <w:r w:rsidR="005F09AC" w:rsidRPr="0029167E">
              <w:rPr>
                <w:webHidden/>
              </w:rPr>
              <w:fldChar w:fldCharType="begin"/>
            </w:r>
            <w:r w:rsidR="005F09AC" w:rsidRPr="0029167E">
              <w:rPr>
                <w:webHidden/>
              </w:rPr>
              <w:instrText xml:space="preserve"> PAGEREF _Toc148955348 \h </w:instrText>
            </w:r>
            <w:r w:rsidR="005F09AC" w:rsidRPr="0029167E">
              <w:rPr>
                <w:webHidden/>
              </w:rPr>
            </w:r>
            <w:r w:rsidR="005F09AC" w:rsidRPr="0029167E">
              <w:rPr>
                <w:webHidden/>
              </w:rPr>
              <w:fldChar w:fldCharType="separate"/>
            </w:r>
            <w:r w:rsidR="005F09AC" w:rsidRPr="0029167E">
              <w:rPr>
                <w:webHidden/>
              </w:rPr>
              <w:t>12</w:t>
            </w:r>
            <w:r w:rsidR="005F09AC" w:rsidRPr="0029167E">
              <w:rPr>
                <w:webHidden/>
              </w:rPr>
              <w:fldChar w:fldCharType="end"/>
            </w:r>
          </w:hyperlink>
        </w:p>
        <w:p w14:paraId="22A55499" w14:textId="32689755" w:rsidR="005F09AC" w:rsidRPr="0029167E" w:rsidRDefault="003055A1">
          <w:pPr>
            <w:pStyle w:val="TOC2"/>
            <w:rPr>
              <w:rFonts w:asciiTheme="minorHAnsi" w:eastAsiaTheme="minorEastAsia" w:hAnsiTheme="minorHAnsi" w:cstheme="minorBidi"/>
              <w:iCs w:val="0"/>
              <w:sz w:val="22"/>
              <w:szCs w:val="22"/>
              <w:lang w:val="de-CH"/>
            </w:rPr>
          </w:pPr>
          <w:hyperlink w:anchor="_Toc148955349" w:history="1">
            <w:r w:rsidR="005F09AC" w:rsidRPr="0029167E">
              <w:rPr>
                <w:rStyle w:val="Hyperlink"/>
              </w:rPr>
              <w:t>6.2</w:t>
            </w:r>
            <w:r w:rsidR="005F09AC" w:rsidRPr="0029167E">
              <w:rPr>
                <w:rFonts w:asciiTheme="minorHAnsi" w:eastAsiaTheme="minorEastAsia" w:hAnsiTheme="minorHAnsi" w:cstheme="minorBidi"/>
                <w:iCs w:val="0"/>
                <w:sz w:val="22"/>
                <w:szCs w:val="22"/>
                <w:lang w:val="de-CH"/>
              </w:rPr>
              <w:tab/>
            </w:r>
            <w:r w:rsidR="005F09AC" w:rsidRPr="0029167E">
              <w:rPr>
                <w:rStyle w:val="Hyperlink"/>
              </w:rPr>
              <w:t>Risques de marché</w:t>
            </w:r>
            <w:r w:rsidR="005F09AC" w:rsidRPr="0029167E">
              <w:rPr>
                <w:webHidden/>
              </w:rPr>
              <w:tab/>
            </w:r>
            <w:r w:rsidR="005F09AC" w:rsidRPr="0029167E">
              <w:rPr>
                <w:webHidden/>
              </w:rPr>
              <w:fldChar w:fldCharType="begin"/>
            </w:r>
            <w:r w:rsidR="005F09AC" w:rsidRPr="0029167E">
              <w:rPr>
                <w:webHidden/>
              </w:rPr>
              <w:instrText xml:space="preserve"> PAGEREF _Toc148955349 \h </w:instrText>
            </w:r>
            <w:r w:rsidR="005F09AC" w:rsidRPr="0029167E">
              <w:rPr>
                <w:webHidden/>
              </w:rPr>
            </w:r>
            <w:r w:rsidR="005F09AC" w:rsidRPr="0029167E">
              <w:rPr>
                <w:webHidden/>
              </w:rPr>
              <w:fldChar w:fldCharType="separate"/>
            </w:r>
            <w:r w:rsidR="005F09AC" w:rsidRPr="0029167E">
              <w:rPr>
                <w:webHidden/>
              </w:rPr>
              <w:t>12</w:t>
            </w:r>
            <w:r w:rsidR="005F09AC" w:rsidRPr="0029167E">
              <w:rPr>
                <w:webHidden/>
              </w:rPr>
              <w:fldChar w:fldCharType="end"/>
            </w:r>
          </w:hyperlink>
        </w:p>
        <w:p w14:paraId="3BAB2ECD" w14:textId="201A6E76" w:rsidR="005F09AC" w:rsidRPr="0029167E" w:rsidRDefault="003055A1">
          <w:pPr>
            <w:pStyle w:val="TOC2"/>
            <w:rPr>
              <w:rFonts w:asciiTheme="minorHAnsi" w:eastAsiaTheme="minorEastAsia" w:hAnsiTheme="minorHAnsi" w:cstheme="minorBidi"/>
              <w:iCs w:val="0"/>
              <w:sz w:val="22"/>
              <w:szCs w:val="22"/>
              <w:lang w:val="de-CH"/>
            </w:rPr>
          </w:pPr>
          <w:hyperlink w:anchor="_Toc148955350" w:history="1">
            <w:r w:rsidR="005F09AC" w:rsidRPr="0029167E">
              <w:rPr>
                <w:rStyle w:val="Hyperlink"/>
              </w:rPr>
              <w:t>6.3</w:t>
            </w:r>
            <w:r w:rsidR="005F09AC" w:rsidRPr="0029167E">
              <w:rPr>
                <w:rFonts w:asciiTheme="minorHAnsi" w:eastAsiaTheme="minorEastAsia" w:hAnsiTheme="minorHAnsi" w:cstheme="minorBidi"/>
                <w:iCs w:val="0"/>
                <w:sz w:val="22"/>
                <w:szCs w:val="22"/>
                <w:lang w:val="de-CH"/>
              </w:rPr>
              <w:tab/>
            </w:r>
            <w:r w:rsidR="005F09AC" w:rsidRPr="0029167E">
              <w:rPr>
                <w:rStyle w:val="Hyperlink"/>
              </w:rPr>
              <w:t>Risques de crédit</w:t>
            </w:r>
            <w:r w:rsidR="005F09AC" w:rsidRPr="0029167E">
              <w:rPr>
                <w:webHidden/>
              </w:rPr>
              <w:tab/>
            </w:r>
            <w:r w:rsidR="005F09AC" w:rsidRPr="0029167E">
              <w:rPr>
                <w:webHidden/>
              </w:rPr>
              <w:fldChar w:fldCharType="begin"/>
            </w:r>
            <w:r w:rsidR="005F09AC" w:rsidRPr="0029167E">
              <w:rPr>
                <w:webHidden/>
              </w:rPr>
              <w:instrText xml:space="preserve"> PAGEREF _Toc148955350 \h </w:instrText>
            </w:r>
            <w:r w:rsidR="005F09AC" w:rsidRPr="0029167E">
              <w:rPr>
                <w:webHidden/>
              </w:rPr>
            </w:r>
            <w:r w:rsidR="005F09AC" w:rsidRPr="0029167E">
              <w:rPr>
                <w:webHidden/>
              </w:rPr>
              <w:fldChar w:fldCharType="separate"/>
            </w:r>
            <w:r w:rsidR="005F09AC" w:rsidRPr="0029167E">
              <w:rPr>
                <w:webHidden/>
              </w:rPr>
              <w:t>12</w:t>
            </w:r>
            <w:r w:rsidR="005F09AC" w:rsidRPr="0029167E">
              <w:rPr>
                <w:webHidden/>
              </w:rPr>
              <w:fldChar w:fldCharType="end"/>
            </w:r>
          </w:hyperlink>
        </w:p>
        <w:p w14:paraId="312F314F" w14:textId="1B158CFE" w:rsidR="005F09AC" w:rsidRPr="0029167E" w:rsidRDefault="003055A1">
          <w:pPr>
            <w:pStyle w:val="TOC2"/>
            <w:rPr>
              <w:rFonts w:asciiTheme="minorHAnsi" w:eastAsiaTheme="minorEastAsia" w:hAnsiTheme="minorHAnsi" w:cstheme="minorBidi"/>
              <w:iCs w:val="0"/>
              <w:sz w:val="22"/>
              <w:szCs w:val="22"/>
              <w:lang w:val="de-CH"/>
            </w:rPr>
          </w:pPr>
          <w:hyperlink w:anchor="_Toc148955351" w:history="1">
            <w:r w:rsidR="005F09AC" w:rsidRPr="0029167E">
              <w:rPr>
                <w:rStyle w:val="Hyperlink"/>
              </w:rPr>
              <w:t>6.4</w:t>
            </w:r>
            <w:r w:rsidR="005F09AC" w:rsidRPr="0029167E">
              <w:rPr>
                <w:rFonts w:asciiTheme="minorHAnsi" w:eastAsiaTheme="minorEastAsia" w:hAnsiTheme="minorHAnsi" w:cstheme="minorBidi"/>
                <w:iCs w:val="0"/>
                <w:sz w:val="22"/>
                <w:szCs w:val="22"/>
                <w:lang w:val="de-CH"/>
              </w:rPr>
              <w:tab/>
            </w:r>
            <w:r w:rsidR="005F09AC" w:rsidRPr="0029167E">
              <w:rPr>
                <w:rStyle w:val="Hyperlink"/>
              </w:rPr>
              <w:t>Risques d'assurance</w:t>
            </w:r>
            <w:r w:rsidR="005F09AC" w:rsidRPr="0029167E">
              <w:rPr>
                <w:webHidden/>
              </w:rPr>
              <w:tab/>
            </w:r>
            <w:r w:rsidR="005F09AC" w:rsidRPr="0029167E">
              <w:rPr>
                <w:webHidden/>
              </w:rPr>
              <w:fldChar w:fldCharType="begin"/>
            </w:r>
            <w:r w:rsidR="005F09AC" w:rsidRPr="0029167E">
              <w:rPr>
                <w:webHidden/>
              </w:rPr>
              <w:instrText xml:space="preserve"> PAGEREF _Toc148955351 \h </w:instrText>
            </w:r>
            <w:r w:rsidR="005F09AC" w:rsidRPr="0029167E">
              <w:rPr>
                <w:webHidden/>
              </w:rPr>
            </w:r>
            <w:r w:rsidR="005F09AC" w:rsidRPr="0029167E">
              <w:rPr>
                <w:webHidden/>
              </w:rPr>
              <w:fldChar w:fldCharType="separate"/>
            </w:r>
            <w:r w:rsidR="005F09AC" w:rsidRPr="0029167E">
              <w:rPr>
                <w:webHidden/>
              </w:rPr>
              <w:t>13</w:t>
            </w:r>
            <w:r w:rsidR="005F09AC" w:rsidRPr="0029167E">
              <w:rPr>
                <w:webHidden/>
              </w:rPr>
              <w:fldChar w:fldCharType="end"/>
            </w:r>
          </w:hyperlink>
        </w:p>
        <w:p w14:paraId="7A837E6F" w14:textId="79342CA7" w:rsidR="005F09AC" w:rsidRPr="0029167E" w:rsidRDefault="003055A1">
          <w:pPr>
            <w:pStyle w:val="TOC3"/>
            <w:rPr>
              <w:rFonts w:asciiTheme="minorHAnsi" w:eastAsiaTheme="minorEastAsia" w:hAnsiTheme="minorHAnsi" w:cstheme="minorBidi"/>
              <w:noProof/>
              <w:sz w:val="22"/>
              <w:szCs w:val="22"/>
              <w:lang w:val="de-CH"/>
            </w:rPr>
          </w:pPr>
          <w:hyperlink w:anchor="_Toc148955352" w:history="1">
            <w:r w:rsidR="005F09AC" w:rsidRPr="0029167E">
              <w:rPr>
                <w:rStyle w:val="Hyperlink"/>
                <w:noProof/>
              </w:rPr>
              <w:t>6.4.1</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Risques d’assurance vie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_Toc148955352 \h </w:instrText>
            </w:r>
            <w:r w:rsidR="005F09AC" w:rsidRPr="0029167E">
              <w:rPr>
                <w:noProof/>
                <w:webHidden/>
              </w:rPr>
            </w:r>
            <w:r w:rsidR="005F09AC" w:rsidRPr="0029167E">
              <w:rPr>
                <w:noProof/>
                <w:webHidden/>
              </w:rPr>
              <w:fldChar w:fldCharType="separate"/>
            </w:r>
            <w:r w:rsidR="005F09AC" w:rsidRPr="0029167E">
              <w:rPr>
                <w:noProof/>
                <w:webHidden/>
              </w:rPr>
              <w:t>13</w:t>
            </w:r>
            <w:r w:rsidR="005F09AC" w:rsidRPr="0029167E">
              <w:rPr>
                <w:noProof/>
                <w:webHidden/>
              </w:rPr>
              <w:fldChar w:fldCharType="end"/>
            </w:r>
          </w:hyperlink>
        </w:p>
        <w:p w14:paraId="21966741" w14:textId="19AD4DD1" w:rsidR="005F09AC" w:rsidRPr="0029167E" w:rsidRDefault="003055A1">
          <w:pPr>
            <w:pStyle w:val="TOC3"/>
            <w:rPr>
              <w:rFonts w:asciiTheme="minorHAnsi" w:eastAsiaTheme="minorEastAsia" w:hAnsiTheme="minorHAnsi" w:cstheme="minorBidi"/>
              <w:noProof/>
              <w:sz w:val="22"/>
              <w:szCs w:val="22"/>
              <w:lang w:val="de-CH"/>
            </w:rPr>
          </w:pPr>
          <w:hyperlink w:anchor="_Toc148955353" w:history="1">
            <w:r w:rsidR="005F09AC" w:rsidRPr="0029167E">
              <w:rPr>
                <w:rStyle w:val="Hyperlink"/>
                <w:noProof/>
              </w:rPr>
              <w:t>6.4.2</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Risques d’assurance dommage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_Toc148955353 \h </w:instrText>
            </w:r>
            <w:r w:rsidR="005F09AC" w:rsidRPr="0029167E">
              <w:rPr>
                <w:noProof/>
                <w:webHidden/>
              </w:rPr>
            </w:r>
            <w:r w:rsidR="005F09AC" w:rsidRPr="0029167E">
              <w:rPr>
                <w:noProof/>
                <w:webHidden/>
              </w:rPr>
              <w:fldChar w:fldCharType="separate"/>
            </w:r>
            <w:r w:rsidR="005F09AC" w:rsidRPr="0029167E">
              <w:rPr>
                <w:noProof/>
                <w:webHidden/>
              </w:rPr>
              <w:t>13</w:t>
            </w:r>
            <w:r w:rsidR="005F09AC" w:rsidRPr="0029167E">
              <w:rPr>
                <w:noProof/>
                <w:webHidden/>
              </w:rPr>
              <w:fldChar w:fldCharType="end"/>
            </w:r>
          </w:hyperlink>
        </w:p>
        <w:p w14:paraId="2203F711" w14:textId="78511345" w:rsidR="005F09AC" w:rsidRPr="0029167E" w:rsidRDefault="003055A1">
          <w:pPr>
            <w:pStyle w:val="TOC3"/>
            <w:rPr>
              <w:rFonts w:asciiTheme="minorHAnsi" w:eastAsiaTheme="minorEastAsia" w:hAnsiTheme="minorHAnsi" w:cstheme="minorBidi"/>
              <w:noProof/>
              <w:sz w:val="22"/>
              <w:szCs w:val="22"/>
              <w:lang w:val="de-CH"/>
            </w:rPr>
          </w:pPr>
          <w:hyperlink w:anchor="_Toc148955354" w:history="1">
            <w:r w:rsidR="005F09AC" w:rsidRPr="0029167E">
              <w:rPr>
                <w:rStyle w:val="Hyperlink"/>
                <w:noProof/>
              </w:rPr>
              <w:t>6.4.3</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Risques d’assurance-maladie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_Toc148955354 \h </w:instrText>
            </w:r>
            <w:r w:rsidR="005F09AC" w:rsidRPr="0029167E">
              <w:rPr>
                <w:noProof/>
                <w:webHidden/>
              </w:rPr>
            </w:r>
            <w:r w:rsidR="005F09AC" w:rsidRPr="0029167E">
              <w:rPr>
                <w:noProof/>
                <w:webHidden/>
              </w:rPr>
              <w:fldChar w:fldCharType="separate"/>
            </w:r>
            <w:r w:rsidR="005F09AC" w:rsidRPr="0029167E">
              <w:rPr>
                <w:noProof/>
                <w:webHidden/>
              </w:rPr>
              <w:t>13</w:t>
            </w:r>
            <w:r w:rsidR="005F09AC" w:rsidRPr="0029167E">
              <w:rPr>
                <w:noProof/>
                <w:webHidden/>
              </w:rPr>
              <w:fldChar w:fldCharType="end"/>
            </w:r>
          </w:hyperlink>
        </w:p>
        <w:p w14:paraId="0D2A0179" w14:textId="6E707B66" w:rsidR="005F09AC" w:rsidRPr="0029167E" w:rsidRDefault="003055A1">
          <w:pPr>
            <w:pStyle w:val="TOC3"/>
            <w:rPr>
              <w:rFonts w:asciiTheme="minorHAnsi" w:eastAsiaTheme="minorEastAsia" w:hAnsiTheme="minorHAnsi" w:cstheme="minorBidi"/>
              <w:noProof/>
              <w:sz w:val="22"/>
              <w:szCs w:val="22"/>
              <w:lang w:val="de-CH"/>
            </w:rPr>
          </w:pPr>
          <w:hyperlink w:anchor="_Toc148955355" w:history="1">
            <w:r w:rsidR="005F09AC" w:rsidRPr="0029167E">
              <w:rPr>
                <w:rStyle w:val="Hyperlink"/>
                <w:noProof/>
              </w:rPr>
              <w:t>6.4.4</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Risques de réassurance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_Toc148955355 \h </w:instrText>
            </w:r>
            <w:r w:rsidR="005F09AC" w:rsidRPr="0029167E">
              <w:rPr>
                <w:noProof/>
                <w:webHidden/>
              </w:rPr>
            </w:r>
            <w:r w:rsidR="005F09AC" w:rsidRPr="0029167E">
              <w:rPr>
                <w:noProof/>
                <w:webHidden/>
              </w:rPr>
              <w:fldChar w:fldCharType="separate"/>
            </w:r>
            <w:r w:rsidR="005F09AC" w:rsidRPr="0029167E">
              <w:rPr>
                <w:noProof/>
                <w:webHidden/>
              </w:rPr>
              <w:t>14</w:t>
            </w:r>
            <w:r w:rsidR="005F09AC" w:rsidRPr="0029167E">
              <w:rPr>
                <w:noProof/>
                <w:webHidden/>
              </w:rPr>
              <w:fldChar w:fldCharType="end"/>
            </w:r>
          </w:hyperlink>
        </w:p>
        <w:p w14:paraId="1F873E93" w14:textId="226535A8" w:rsidR="005F09AC" w:rsidRPr="0029167E" w:rsidRDefault="003055A1">
          <w:pPr>
            <w:pStyle w:val="TOC3"/>
            <w:rPr>
              <w:rFonts w:asciiTheme="minorHAnsi" w:eastAsiaTheme="minorEastAsia" w:hAnsiTheme="minorHAnsi" w:cstheme="minorBidi"/>
              <w:noProof/>
              <w:sz w:val="22"/>
              <w:szCs w:val="22"/>
              <w:lang w:val="de-CH"/>
            </w:rPr>
          </w:pPr>
          <w:hyperlink w:anchor="_Toc148955356" w:history="1">
            <w:r w:rsidR="005F09AC" w:rsidRPr="0029167E">
              <w:rPr>
                <w:rStyle w:val="Hyperlink"/>
                <w:noProof/>
              </w:rPr>
              <w:t>6.4.5</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Risques des captives de réassurance</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_Toc148955356 \h </w:instrText>
            </w:r>
            <w:r w:rsidR="005F09AC" w:rsidRPr="0029167E">
              <w:rPr>
                <w:noProof/>
                <w:webHidden/>
              </w:rPr>
            </w:r>
            <w:r w:rsidR="005F09AC" w:rsidRPr="0029167E">
              <w:rPr>
                <w:noProof/>
                <w:webHidden/>
              </w:rPr>
              <w:fldChar w:fldCharType="separate"/>
            </w:r>
            <w:r w:rsidR="005F09AC" w:rsidRPr="0029167E">
              <w:rPr>
                <w:noProof/>
                <w:webHidden/>
              </w:rPr>
              <w:t>14</w:t>
            </w:r>
            <w:r w:rsidR="005F09AC" w:rsidRPr="0029167E">
              <w:rPr>
                <w:noProof/>
                <w:webHidden/>
              </w:rPr>
              <w:fldChar w:fldCharType="end"/>
            </w:r>
          </w:hyperlink>
        </w:p>
        <w:p w14:paraId="2278490C" w14:textId="4B4907E8" w:rsidR="005F09AC" w:rsidRPr="0029167E" w:rsidRDefault="003055A1">
          <w:pPr>
            <w:pStyle w:val="TOC2"/>
            <w:rPr>
              <w:rFonts w:asciiTheme="minorHAnsi" w:eastAsiaTheme="minorEastAsia" w:hAnsiTheme="minorHAnsi" w:cstheme="minorBidi"/>
              <w:iCs w:val="0"/>
              <w:sz w:val="22"/>
              <w:szCs w:val="22"/>
              <w:lang w:val="de-CH"/>
            </w:rPr>
          </w:pPr>
          <w:hyperlink w:anchor="_Toc148955357" w:history="1">
            <w:r w:rsidR="005F09AC" w:rsidRPr="0029167E">
              <w:rPr>
                <w:rStyle w:val="Hyperlink"/>
              </w:rPr>
              <w:t>6.5</w:t>
            </w:r>
            <w:r w:rsidR="005F09AC" w:rsidRPr="0029167E">
              <w:rPr>
                <w:rFonts w:asciiTheme="minorHAnsi" w:eastAsiaTheme="minorEastAsia" w:hAnsiTheme="minorHAnsi" w:cstheme="minorBidi"/>
                <w:iCs w:val="0"/>
                <w:sz w:val="22"/>
                <w:szCs w:val="22"/>
                <w:lang w:val="de-CH"/>
              </w:rPr>
              <w:tab/>
            </w:r>
            <w:r w:rsidR="005F09AC" w:rsidRPr="0029167E">
              <w:rPr>
                <w:rStyle w:val="Hyperlink"/>
              </w:rPr>
              <w:t>Agrégation et diversification</w:t>
            </w:r>
            <w:r w:rsidR="005F09AC" w:rsidRPr="0029167E">
              <w:rPr>
                <w:webHidden/>
              </w:rPr>
              <w:tab/>
            </w:r>
            <w:r w:rsidR="005F09AC" w:rsidRPr="0029167E">
              <w:rPr>
                <w:webHidden/>
              </w:rPr>
              <w:fldChar w:fldCharType="begin"/>
            </w:r>
            <w:r w:rsidR="005F09AC" w:rsidRPr="0029167E">
              <w:rPr>
                <w:webHidden/>
              </w:rPr>
              <w:instrText xml:space="preserve"> PAGEREF _Toc148955357 \h </w:instrText>
            </w:r>
            <w:r w:rsidR="005F09AC" w:rsidRPr="0029167E">
              <w:rPr>
                <w:webHidden/>
              </w:rPr>
            </w:r>
            <w:r w:rsidR="005F09AC" w:rsidRPr="0029167E">
              <w:rPr>
                <w:webHidden/>
              </w:rPr>
              <w:fldChar w:fldCharType="separate"/>
            </w:r>
            <w:r w:rsidR="005F09AC" w:rsidRPr="0029167E">
              <w:rPr>
                <w:webHidden/>
              </w:rPr>
              <w:t>14</w:t>
            </w:r>
            <w:r w:rsidR="005F09AC" w:rsidRPr="0029167E">
              <w:rPr>
                <w:webHidden/>
              </w:rPr>
              <w:fldChar w:fldCharType="end"/>
            </w:r>
          </w:hyperlink>
        </w:p>
        <w:p w14:paraId="7B971B4F" w14:textId="67A505F1" w:rsidR="005F09AC" w:rsidRPr="0029167E" w:rsidRDefault="003055A1">
          <w:pPr>
            <w:pStyle w:val="TOC2"/>
            <w:rPr>
              <w:rFonts w:asciiTheme="minorHAnsi" w:eastAsiaTheme="minorEastAsia" w:hAnsiTheme="minorHAnsi" w:cstheme="minorBidi"/>
              <w:iCs w:val="0"/>
              <w:sz w:val="22"/>
              <w:szCs w:val="22"/>
              <w:lang w:val="de-CH"/>
            </w:rPr>
          </w:pPr>
          <w:hyperlink w:anchor="_Toc148955358" w:history="1">
            <w:r w:rsidR="005F09AC" w:rsidRPr="0029167E">
              <w:rPr>
                <w:rStyle w:val="Hyperlink"/>
              </w:rPr>
              <w:t>6.6</w:t>
            </w:r>
            <w:r w:rsidR="005F09AC" w:rsidRPr="0029167E">
              <w:rPr>
                <w:rFonts w:asciiTheme="minorHAnsi" w:eastAsiaTheme="minorEastAsia" w:hAnsiTheme="minorHAnsi" w:cstheme="minorBidi"/>
                <w:iCs w:val="0"/>
                <w:sz w:val="22"/>
                <w:szCs w:val="22"/>
                <w:lang w:val="de-CH"/>
              </w:rPr>
              <w:tab/>
            </w:r>
            <w:r w:rsidR="005F09AC" w:rsidRPr="0029167E">
              <w:rPr>
                <w:rStyle w:val="Hyperlink"/>
              </w:rPr>
              <w:t>Résultat financier attendu au-dessus du taux sans risque</w:t>
            </w:r>
            <w:r w:rsidR="005F09AC" w:rsidRPr="0029167E">
              <w:rPr>
                <w:webHidden/>
              </w:rPr>
              <w:tab/>
            </w:r>
            <w:r w:rsidR="005F09AC" w:rsidRPr="0029167E">
              <w:rPr>
                <w:webHidden/>
              </w:rPr>
              <w:fldChar w:fldCharType="begin"/>
            </w:r>
            <w:r w:rsidR="005F09AC" w:rsidRPr="0029167E">
              <w:rPr>
                <w:webHidden/>
              </w:rPr>
              <w:instrText xml:space="preserve"> PAGEREF _Toc148955358 \h </w:instrText>
            </w:r>
            <w:r w:rsidR="005F09AC" w:rsidRPr="0029167E">
              <w:rPr>
                <w:webHidden/>
              </w:rPr>
            </w:r>
            <w:r w:rsidR="005F09AC" w:rsidRPr="0029167E">
              <w:rPr>
                <w:webHidden/>
              </w:rPr>
              <w:fldChar w:fldCharType="separate"/>
            </w:r>
            <w:r w:rsidR="005F09AC" w:rsidRPr="0029167E">
              <w:rPr>
                <w:webHidden/>
              </w:rPr>
              <w:t>14</w:t>
            </w:r>
            <w:r w:rsidR="005F09AC" w:rsidRPr="0029167E">
              <w:rPr>
                <w:webHidden/>
              </w:rPr>
              <w:fldChar w:fldCharType="end"/>
            </w:r>
          </w:hyperlink>
        </w:p>
        <w:p w14:paraId="6EFFB09D" w14:textId="0DB289F3" w:rsidR="005F09AC" w:rsidRPr="0029167E" w:rsidRDefault="003055A1">
          <w:pPr>
            <w:pStyle w:val="TOC2"/>
            <w:rPr>
              <w:rFonts w:asciiTheme="minorHAnsi" w:eastAsiaTheme="minorEastAsia" w:hAnsiTheme="minorHAnsi" w:cstheme="minorBidi"/>
              <w:iCs w:val="0"/>
              <w:sz w:val="22"/>
              <w:szCs w:val="22"/>
              <w:lang w:val="de-CH"/>
            </w:rPr>
          </w:pPr>
          <w:hyperlink w:anchor="_Toc148955359" w:history="1">
            <w:r w:rsidR="005F09AC" w:rsidRPr="0029167E">
              <w:rPr>
                <w:rStyle w:val="Hyperlink"/>
              </w:rPr>
              <w:t>6.7</w:t>
            </w:r>
            <w:r w:rsidR="005F09AC" w:rsidRPr="0029167E">
              <w:rPr>
                <w:rFonts w:asciiTheme="minorHAnsi" w:eastAsiaTheme="minorEastAsia" w:hAnsiTheme="minorHAnsi" w:cstheme="minorBidi"/>
                <w:iCs w:val="0"/>
                <w:sz w:val="22"/>
                <w:szCs w:val="22"/>
                <w:lang w:val="de-CH"/>
              </w:rPr>
              <w:tab/>
            </w:r>
            <w:r w:rsidR="005F09AC" w:rsidRPr="0029167E">
              <w:rPr>
                <w:rStyle w:val="Hyperlink"/>
              </w:rPr>
              <w:t>Résultat d’assurance attendu</w:t>
            </w:r>
            <w:r w:rsidR="005F09AC" w:rsidRPr="0029167E">
              <w:rPr>
                <w:webHidden/>
              </w:rPr>
              <w:tab/>
            </w:r>
            <w:r w:rsidR="005F09AC" w:rsidRPr="0029167E">
              <w:rPr>
                <w:webHidden/>
              </w:rPr>
              <w:fldChar w:fldCharType="begin"/>
            </w:r>
            <w:r w:rsidR="005F09AC" w:rsidRPr="0029167E">
              <w:rPr>
                <w:webHidden/>
              </w:rPr>
              <w:instrText xml:space="preserve"> PAGEREF _Toc148955359 \h </w:instrText>
            </w:r>
            <w:r w:rsidR="005F09AC" w:rsidRPr="0029167E">
              <w:rPr>
                <w:webHidden/>
              </w:rPr>
            </w:r>
            <w:r w:rsidR="005F09AC" w:rsidRPr="0029167E">
              <w:rPr>
                <w:webHidden/>
              </w:rPr>
              <w:fldChar w:fldCharType="separate"/>
            </w:r>
            <w:r w:rsidR="005F09AC" w:rsidRPr="0029167E">
              <w:rPr>
                <w:webHidden/>
              </w:rPr>
              <w:t>15</w:t>
            </w:r>
            <w:r w:rsidR="005F09AC" w:rsidRPr="0029167E">
              <w:rPr>
                <w:webHidden/>
              </w:rPr>
              <w:fldChar w:fldCharType="end"/>
            </w:r>
          </w:hyperlink>
        </w:p>
        <w:p w14:paraId="62276E3F" w14:textId="51C78319" w:rsidR="005F09AC" w:rsidRPr="0029167E" w:rsidRDefault="003055A1">
          <w:pPr>
            <w:pStyle w:val="TOC2"/>
            <w:rPr>
              <w:rFonts w:asciiTheme="minorHAnsi" w:eastAsiaTheme="minorEastAsia" w:hAnsiTheme="minorHAnsi" w:cstheme="minorBidi"/>
              <w:iCs w:val="0"/>
              <w:sz w:val="22"/>
              <w:szCs w:val="22"/>
              <w:lang w:val="de-CH"/>
            </w:rPr>
          </w:pPr>
          <w:hyperlink w:anchor="_Toc148955360" w:history="1">
            <w:r w:rsidR="005F09AC" w:rsidRPr="0029167E">
              <w:rPr>
                <w:rStyle w:val="Hyperlink"/>
              </w:rPr>
              <w:t>6.8</w:t>
            </w:r>
            <w:r w:rsidR="005F09AC" w:rsidRPr="0029167E">
              <w:rPr>
                <w:rFonts w:asciiTheme="minorHAnsi" w:eastAsiaTheme="minorEastAsia" w:hAnsiTheme="minorHAnsi" w:cstheme="minorBidi"/>
                <w:iCs w:val="0"/>
                <w:sz w:val="22"/>
                <w:szCs w:val="22"/>
                <w:lang w:val="de-CH"/>
              </w:rPr>
              <w:tab/>
            </w:r>
            <w:r w:rsidR="005F09AC" w:rsidRPr="0029167E">
              <w:rPr>
                <w:rStyle w:val="Hyperlink"/>
              </w:rPr>
              <w:t>Effet des scénarios et autres effets sur le capital cible</w:t>
            </w:r>
            <w:r w:rsidR="005F09AC" w:rsidRPr="0029167E">
              <w:rPr>
                <w:webHidden/>
              </w:rPr>
              <w:tab/>
            </w:r>
            <w:r w:rsidR="005F09AC" w:rsidRPr="0029167E">
              <w:rPr>
                <w:webHidden/>
              </w:rPr>
              <w:fldChar w:fldCharType="begin"/>
            </w:r>
            <w:r w:rsidR="005F09AC" w:rsidRPr="0029167E">
              <w:rPr>
                <w:webHidden/>
              </w:rPr>
              <w:instrText xml:space="preserve"> PAGEREF _Toc148955360 \h </w:instrText>
            </w:r>
            <w:r w:rsidR="005F09AC" w:rsidRPr="0029167E">
              <w:rPr>
                <w:webHidden/>
              </w:rPr>
            </w:r>
            <w:r w:rsidR="005F09AC" w:rsidRPr="0029167E">
              <w:rPr>
                <w:webHidden/>
              </w:rPr>
              <w:fldChar w:fldCharType="separate"/>
            </w:r>
            <w:r w:rsidR="005F09AC" w:rsidRPr="0029167E">
              <w:rPr>
                <w:webHidden/>
              </w:rPr>
              <w:t>15</w:t>
            </w:r>
            <w:r w:rsidR="005F09AC" w:rsidRPr="0029167E">
              <w:rPr>
                <w:webHidden/>
              </w:rPr>
              <w:fldChar w:fldCharType="end"/>
            </w:r>
          </w:hyperlink>
        </w:p>
        <w:p w14:paraId="1DBD406E" w14:textId="66F77AA5" w:rsidR="005F09AC" w:rsidRPr="0029167E" w:rsidRDefault="003055A1">
          <w:pPr>
            <w:pStyle w:val="TOC3"/>
            <w:rPr>
              <w:rFonts w:asciiTheme="minorHAnsi" w:eastAsiaTheme="minorEastAsia" w:hAnsiTheme="minorHAnsi" w:cstheme="minorBidi"/>
              <w:noProof/>
              <w:sz w:val="22"/>
              <w:szCs w:val="22"/>
              <w:lang w:val="de-CH"/>
            </w:rPr>
          </w:pPr>
          <w:hyperlink w:anchor="_Toc148955361" w:history="1">
            <w:r w:rsidR="005F09AC" w:rsidRPr="0029167E">
              <w:rPr>
                <w:rStyle w:val="Hyperlink"/>
                <w:noProof/>
              </w:rPr>
              <w:t>6.8.1</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Scénarios agrégés</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_Toc148955361 \h </w:instrText>
            </w:r>
            <w:r w:rsidR="005F09AC" w:rsidRPr="0029167E">
              <w:rPr>
                <w:noProof/>
                <w:webHidden/>
              </w:rPr>
            </w:r>
            <w:r w:rsidR="005F09AC" w:rsidRPr="0029167E">
              <w:rPr>
                <w:noProof/>
                <w:webHidden/>
              </w:rPr>
              <w:fldChar w:fldCharType="separate"/>
            </w:r>
            <w:r w:rsidR="005F09AC" w:rsidRPr="0029167E">
              <w:rPr>
                <w:noProof/>
                <w:webHidden/>
              </w:rPr>
              <w:t>15</w:t>
            </w:r>
            <w:r w:rsidR="005F09AC" w:rsidRPr="0029167E">
              <w:rPr>
                <w:noProof/>
                <w:webHidden/>
              </w:rPr>
              <w:fldChar w:fldCharType="end"/>
            </w:r>
          </w:hyperlink>
        </w:p>
        <w:p w14:paraId="005D71C3" w14:textId="4387C0A4" w:rsidR="005F09AC" w:rsidRPr="0029167E" w:rsidRDefault="003055A1">
          <w:pPr>
            <w:pStyle w:val="TOC3"/>
            <w:rPr>
              <w:rFonts w:asciiTheme="minorHAnsi" w:eastAsiaTheme="minorEastAsia" w:hAnsiTheme="minorHAnsi" w:cstheme="minorBidi"/>
              <w:noProof/>
              <w:sz w:val="22"/>
              <w:szCs w:val="22"/>
              <w:lang w:val="de-CH"/>
            </w:rPr>
          </w:pPr>
          <w:hyperlink w:anchor="_Toc148955362" w:history="1">
            <w:r w:rsidR="005F09AC" w:rsidRPr="0029167E">
              <w:rPr>
                <w:rStyle w:val="Hyperlink"/>
                <w:noProof/>
              </w:rPr>
              <w:t>6.8.2</w:t>
            </w:r>
            <w:r w:rsidR="005F09AC" w:rsidRPr="0029167E">
              <w:rPr>
                <w:rFonts w:asciiTheme="minorHAnsi" w:eastAsiaTheme="minorEastAsia" w:hAnsiTheme="minorHAnsi" w:cstheme="minorBidi"/>
                <w:noProof/>
                <w:sz w:val="22"/>
                <w:szCs w:val="22"/>
                <w:lang w:val="de-CH"/>
              </w:rPr>
              <w:tab/>
            </w:r>
            <w:r w:rsidR="005F09AC" w:rsidRPr="0029167E">
              <w:rPr>
                <w:rStyle w:val="Hyperlink"/>
                <w:noProof/>
              </w:rPr>
              <w:t>Autres effets</w:t>
            </w:r>
            <w:r w:rsidR="005F09AC" w:rsidRPr="0029167E">
              <w:rPr>
                <w:noProof/>
                <w:webHidden/>
              </w:rPr>
              <w:tab/>
            </w:r>
            <w:r w:rsidR="005F09AC" w:rsidRPr="0029167E">
              <w:rPr>
                <w:noProof/>
                <w:webHidden/>
              </w:rPr>
              <w:fldChar w:fldCharType="begin"/>
            </w:r>
            <w:r w:rsidR="005F09AC" w:rsidRPr="0029167E">
              <w:rPr>
                <w:noProof/>
                <w:webHidden/>
              </w:rPr>
              <w:instrText xml:space="preserve"> PAGEREF _Toc148955362 \h </w:instrText>
            </w:r>
            <w:r w:rsidR="005F09AC" w:rsidRPr="0029167E">
              <w:rPr>
                <w:noProof/>
                <w:webHidden/>
              </w:rPr>
            </w:r>
            <w:r w:rsidR="005F09AC" w:rsidRPr="0029167E">
              <w:rPr>
                <w:noProof/>
                <w:webHidden/>
              </w:rPr>
              <w:fldChar w:fldCharType="separate"/>
            </w:r>
            <w:r w:rsidR="005F09AC" w:rsidRPr="0029167E">
              <w:rPr>
                <w:noProof/>
                <w:webHidden/>
              </w:rPr>
              <w:t>16</w:t>
            </w:r>
            <w:r w:rsidR="005F09AC" w:rsidRPr="0029167E">
              <w:rPr>
                <w:noProof/>
                <w:webHidden/>
              </w:rPr>
              <w:fldChar w:fldCharType="end"/>
            </w:r>
          </w:hyperlink>
        </w:p>
        <w:p w14:paraId="1BE2095A" w14:textId="5C7BC083" w:rsidR="005F09AC" w:rsidRPr="0029167E" w:rsidRDefault="003055A1">
          <w:pPr>
            <w:pStyle w:val="TOC1"/>
            <w:rPr>
              <w:rFonts w:asciiTheme="minorHAnsi" w:eastAsiaTheme="minorEastAsia" w:hAnsiTheme="minorHAnsi" w:cstheme="minorBidi"/>
              <w:b w:val="0"/>
              <w:bCs w:val="0"/>
              <w:lang w:val="de-CH"/>
            </w:rPr>
          </w:pPr>
          <w:hyperlink w:anchor="_Toc148955363" w:history="1">
            <w:r w:rsidR="005F09AC" w:rsidRPr="0029167E">
              <w:rPr>
                <w:rStyle w:val="Hyperlink"/>
              </w:rPr>
              <w:t>7</w:t>
            </w:r>
            <w:r w:rsidR="005F09AC" w:rsidRPr="0029167E">
              <w:rPr>
                <w:rFonts w:asciiTheme="minorHAnsi" w:eastAsiaTheme="minorEastAsia" w:hAnsiTheme="minorHAnsi" w:cstheme="minorBidi"/>
                <w:b w:val="0"/>
                <w:bCs w:val="0"/>
                <w:lang w:val="de-CH"/>
              </w:rPr>
              <w:tab/>
            </w:r>
            <w:r w:rsidR="005F09AC" w:rsidRPr="0029167E">
              <w:rPr>
                <w:rStyle w:val="Hyperlink"/>
              </w:rPr>
              <w:t>Scénarios non agrégés</w:t>
            </w:r>
            <w:r w:rsidR="005F09AC" w:rsidRPr="0029167E">
              <w:rPr>
                <w:webHidden/>
              </w:rPr>
              <w:tab/>
            </w:r>
            <w:r w:rsidR="005F09AC" w:rsidRPr="0029167E">
              <w:rPr>
                <w:webHidden/>
              </w:rPr>
              <w:fldChar w:fldCharType="begin"/>
            </w:r>
            <w:r w:rsidR="005F09AC" w:rsidRPr="0029167E">
              <w:rPr>
                <w:webHidden/>
              </w:rPr>
              <w:instrText xml:space="preserve"> PAGEREF _Toc148955363 \h </w:instrText>
            </w:r>
            <w:r w:rsidR="005F09AC" w:rsidRPr="0029167E">
              <w:rPr>
                <w:webHidden/>
              </w:rPr>
            </w:r>
            <w:r w:rsidR="005F09AC" w:rsidRPr="0029167E">
              <w:rPr>
                <w:webHidden/>
              </w:rPr>
              <w:fldChar w:fldCharType="separate"/>
            </w:r>
            <w:r w:rsidR="005F09AC" w:rsidRPr="0029167E">
              <w:rPr>
                <w:webHidden/>
              </w:rPr>
              <w:t>16</w:t>
            </w:r>
            <w:r w:rsidR="005F09AC" w:rsidRPr="0029167E">
              <w:rPr>
                <w:webHidden/>
              </w:rPr>
              <w:fldChar w:fldCharType="end"/>
            </w:r>
          </w:hyperlink>
        </w:p>
        <w:p w14:paraId="498D8E6C" w14:textId="79530951" w:rsidR="005F09AC" w:rsidRPr="0029167E" w:rsidRDefault="003055A1">
          <w:pPr>
            <w:pStyle w:val="TOC1"/>
            <w:rPr>
              <w:rFonts w:asciiTheme="minorHAnsi" w:eastAsiaTheme="minorEastAsia" w:hAnsiTheme="minorHAnsi" w:cstheme="minorBidi"/>
              <w:b w:val="0"/>
              <w:bCs w:val="0"/>
              <w:lang w:val="de-CH"/>
            </w:rPr>
          </w:pPr>
          <w:hyperlink w:anchor="_Toc148955364" w:history="1">
            <w:r w:rsidR="005F09AC" w:rsidRPr="0029167E">
              <w:rPr>
                <w:rStyle w:val="Hyperlink"/>
              </w:rPr>
              <w:t>Annexe</w:t>
            </w:r>
            <w:r w:rsidR="005F09AC" w:rsidRPr="0029167E">
              <w:rPr>
                <w:webHidden/>
              </w:rPr>
              <w:tab/>
            </w:r>
            <w:r w:rsidR="005F09AC" w:rsidRPr="0029167E">
              <w:rPr>
                <w:webHidden/>
              </w:rPr>
              <w:fldChar w:fldCharType="begin"/>
            </w:r>
            <w:r w:rsidR="005F09AC" w:rsidRPr="0029167E">
              <w:rPr>
                <w:webHidden/>
              </w:rPr>
              <w:instrText xml:space="preserve"> PAGEREF _Toc148955364 \h </w:instrText>
            </w:r>
            <w:r w:rsidR="005F09AC" w:rsidRPr="0029167E">
              <w:rPr>
                <w:webHidden/>
              </w:rPr>
            </w:r>
            <w:r w:rsidR="005F09AC" w:rsidRPr="0029167E">
              <w:rPr>
                <w:webHidden/>
              </w:rPr>
              <w:fldChar w:fldCharType="separate"/>
            </w:r>
            <w:r w:rsidR="005F09AC" w:rsidRPr="0029167E">
              <w:rPr>
                <w:webHidden/>
              </w:rPr>
              <w:t>16</w:t>
            </w:r>
            <w:r w:rsidR="005F09AC" w:rsidRPr="0029167E">
              <w:rPr>
                <w:webHidden/>
              </w:rPr>
              <w:fldChar w:fldCharType="end"/>
            </w:r>
          </w:hyperlink>
        </w:p>
        <w:p w14:paraId="5C78FCCA" w14:textId="569DAD75" w:rsidR="00085DA3" w:rsidRPr="0029167E" w:rsidRDefault="00085DA3" w:rsidP="00D60D73">
          <w:r w:rsidRPr="0029167E">
            <w:rPr>
              <w:b/>
              <w:bCs/>
            </w:rPr>
            <w:fldChar w:fldCharType="end"/>
          </w:r>
        </w:p>
      </w:sdtContent>
    </w:sdt>
    <w:p w14:paraId="18F42A56" w14:textId="77777777" w:rsidR="00D60D73" w:rsidRPr="0029167E" w:rsidRDefault="00D60D73">
      <w:pPr>
        <w:spacing w:line="240" w:lineRule="auto"/>
        <w:rPr>
          <w:rFonts w:cs="Arial"/>
          <w:b/>
          <w:bCs/>
          <w:kern w:val="32"/>
          <w:sz w:val="24"/>
          <w:szCs w:val="24"/>
        </w:rPr>
      </w:pPr>
      <w:r w:rsidRPr="0029167E">
        <w:br w:type="page"/>
      </w:r>
    </w:p>
    <w:p w14:paraId="18994E53" w14:textId="6DF59B85" w:rsidR="008621B5" w:rsidRPr="0029167E" w:rsidRDefault="00636C88" w:rsidP="00D60D73">
      <w:pPr>
        <w:pStyle w:val="StyleHeading1"/>
      </w:pPr>
      <w:bookmarkStart w:id="1" w:name="_Toc148955319"/>
      <w:r w:rsidRPr="0029167E">
        <w:lastRenderedPageBreak/>
        <w:t>Direction et actuaire responsable</w:t>
      </w:r>
      <w:bookmarkEnd w:id="0"/>
      <w:bookmarkEnd w:id="1"/>
    </w:p>
    <w:p w14:paraId="56B6D422" w14:textId="15EA3E45" w:rsidR="006F35CF" w:rsidRPr="0029167E" w:rsidRDefault="006F35CF" w:rsidP="00D60D73">
      <w:pPr>
        <w:pStyle w:val="Heading2"/>
      </w:pPr>
      <w:bookmarkStart w:id="2" w:name="_Toc534297729"/>
      <w:bookmarkStart w:id="3" w:name="_Toc148955320"/>
      <w:r w:rsidRPr="0029167E">
        <w:t>Membres de la direction</w:t>
      </w:r>
      <w:bookmarkEnd w:id="2"/>
      <w:bookmarkEnd w:id="3"/>
    </w:p>
    <w:p w14:paraId="2AE83049" w14:textId="15A99669" w:rsidR="00636C88" w:rsidRPr="0029167E" w:rsidRDefault="00636C88" w:rsidP="00D60D73">
      <w:pPr>
        <w:pStyle w:val="FINMAStandardAbsatz"/>
        <w:spacing w:before="100" w:beforeAutospacing="1" w:after="100" w:afterAutospacing="1" w:line="240" w:lineRule="auto"/>
      </w:pPr>
      <w:r w:rsidRPr="0029167E">
        <w:t>Directeur / directrice …</w:t>
      </w:r>
    </w:p>
    <w:p w14:paraId="18378FFD" w14:textId="3A75D05E" w:rsidR="00636C88" w:rsidRPr="0029167E" w:rsidRDefault="00636C88" w:rsidP="00D60D73">
      <w:pPr>
        <w:pStyle w:val="FINMAStandardAbsatz"/>
        <w:spacing w:before="100" w:beforeAutospacing="1" w:after="100" w:afterAutospacing="1" w:line="240" w:lineRule="auto"/>
      </w:pPr>
      <w:r w:rsidRPr="0029167E">
        <w:t xml:space="preserve">Directeur suppléant / directrice </w:t>
      </w:r>
      <w:proofErr w:type="gramStart"/>
      <w:r w:rsidRPr="0029167E">
        <w:t>suppléante:</w:t>
      </w:r>
      <w:proofErr w:type="gramEnd"/>
      <w:r w:rsidRPr="0029167E">
        <w:t xml:space="preserve"> …</w:t>
      </w:r>
    </w:p>
    <w:p w14:paraId="71B97203" w14:textId="6D524E34" w:rsidR="00047FC2" w:rsidRPr="0029167E" w:rsidRDefault="00047FC2" w:rsidP="00D60D73">
      <w:pPr>
        <w:pStyle w:val="FINMAStandardAbsatz"/>
        <w:spacing w:before="100" w:beforeAutospacing="1" w:after="100" w:afterAutospacing="1" w:line="240" w:lineRule="auto"/>
      </w:pPr>
      <w:r w:rsidRPr="0029167E">
        <w:t>Chef de / cheffe de ...</w:t>
      </w:r>
    </w:p>
    <w:p w14:paraId="6CB588CC" w14:textId="4EF2B2FD" w:rsidR="00BF445A" w:rsidRPr="0029167E" w:rsidRDefault="00EB294A" w:rsidP="00D60D73">
      <w:pPr>
        <w:pStyle w:val="FINMAStandardAbsatz"/>
        <w:spacing w:before="100" w:beforeAutospacing="1" w:after="100" w:afterAutospacing="1" w:line="240" w:lineRule="auto"/>
      </w:pPr>
      <w:r w:rsidRPr="0029167E">
        <w:t>Compliance / finances / gestion des risques / marketing / technique d'assurance / ventes / … /</w:t>
      </w:r>
    </w:p>
    <w:p w14:paraId="76948B71" w14:textId="3F4763EA" w:rsidR="00383656" w:rsidRPr="0029167E" w:rsidRDefault="000A4DE3" w:rsidP="00D60D73">
      <w:pPr>
        <w:pStyle w:val="FINMAStandardAbsatz"/>
        <w:spacing w:before="100" w:beforeAutospacing="1" w:after="100" w:afterAutospacing="1" w:line="240" w:lineRule="auto"/>
        <w:rPr>
          <w:i/>
        </w:rPr>
      </w:pPr>
      <w:r w:rsidRPr="0029167E">
        <w:rPr>
          <w:i/>
        </w:rPr>
        <w:t>&lt;Veuillez choisir / compléter / regrouper en conséquence et utiliser vos propres désignations.&gt;</w:t>
      </w:r>
    </w:p>
    <w:p w14:paraId="4FF2EFF4" w14:textId="68B407F5" w:rsidR="00DF2F2E" w:rsidRPr="0029167E" w:rsidRDefault="00DF2F2E" w:rsidP="00D60D73">
      <w:pPr>
        <w:pStyle w:val="Heading2"/>
      </w:pPr>
      <w:bookmarkStart w:id="4" w:name="_Toc534297730"/>
      <w:bookmarkStart w:id="5" w:name="_Toc148955321"/>
      <w:r w:rsidRPr="0029167E">
        <w:t>Signatures de la direction</w:t>
      </w:r>
      <w:bookmarkEnd w:id="4"/>
      <w:bookmarkEnd w:id="5"/>
    </w:p>
    <w:p w14:paraId="35EC3D41" w14:textId="2D28F18F" w:rsidR="00DF2F2E" w:rsidRPr="0029167E" w:rsidRDefault="00DF2F2E" w:rsidP="00D60D73">
      <w:pPr>
        <w:pStyle w:val="FINMAStandardAbsatz"/>
      </w:pPr>
      <w:r w:rsidRPr="0029167E">
        <w:t xml:space="preserve">Signatures selon l’art. </w:t>
      </w:r>
      <w:r w:rsidR="00E43CCC" w:rsidRPr="0029167E">
        <w:t>50</w:t>
      </w:r>
      <w:r w:rsidRPr="0029167E">
        <w:t xml:space="preserve"> OS et les chiffres marginaux 144 et 197 de la circulaire FINMA 2017/3 </w:t>
      </w:r>
      <w:r w:rsidR="00FF26B7" w:rsidRPr="0029167E">
        <w:br/>
      </w:r>
      <w:r w:rsidRPr="0029167E">
        <w:t>«</w:t>
      </w:r>
      <w:r w:rsidR="00FF26B7" w:rsidRPr="0029167E">
        <w:t xml:space="preserve"> </w:t>
      </w:r>
      <w:r w:rsidRPr="0029167E">
        <w:t>SST</w:t>
      </w:r>
      <w:r w:rsidR="00FF26B7" w:rsidRPr="0029167E">
        <w:t xml:space="preserve"> </w:t>
      </w:r>
      <w:r w:rsidRPr="0029167E">
        <w:t>»</w:t>
      </w:r>
    </w:p>
    <w:p w14:paraId="42F6C9BE" w14:textId="48DFCC31" w:rsidR="00DF2F2E" w:rsidRPr="0029167E" w:rsidRDefault="00DF2F2E" w:rsidP="00D60D73">
      <w:pPr>
        <w:pStyle w:val="FINMAStandardAbsatz"/>
      </w:pPr>
      <w:r w:rsidRPr="0029167E">
        <w:t>&lt;Veuillez indiquer la fonction au sein de la direction correspondant au paragraphe ci-dessus.&gt;</w:t>
      </w:r>
    </w:p>
    <w:p w14:paraId="42FDFF53" w14:textId="43396170" w:rsidR="00636C88" w:rsidRPr="0029167E" w:rsidRDefault="00636C88" w:rsidP="00D60D73">
      <w:pPr>
        <w:pStyle w:val="Heading2"/>
      </w:pPr>
      <w:bookmarkStart w:id="6" w:name="_Toc534297731"/>
      <w:bookmarkStart w:id="7" w:name="_Toc148955322"/>
      <w:r w:rsidRPr="0029167E">
        <w:t>Actuaire responsable</w:t>
      </w:r>
      <w:bookmarkEnd w:id="6"/>
      <w:r w:rsidRPr="0029167E">
        <w:t xml:space="preserve"> (AR)</w:t>
      </w:r>
      <w:bookmarkEnd w:id="7"/>
    </w:p>
    <w:p w14:paraId="1D64EF4F" w14:textId="7A977A69" w:rsidR="00047FC2" w:rsidRPr="0029167E" w:rsidRDefault="00BF445A" w:rsidP="00D60D73">
      <w:pPr>
        <w:pStyle w:val="FINMAStandardAbsatz"/>
        <w:rPr>
          <w:i/>
        </w:rPr>
      </w:pPr>
      <w:r w:rsidRPr="0029167E">
        <w:rPr>
          <w:i/>
        </w:rPr>
        <w:t>&lt;Veuillez ne donne</w:t>
      </w:r>
      <w:r w:rsidR="00DB48F2" w:rsidRPr="0029167E">
        <w:rPr>
          <w:i/>
        </w:rPr>
        <w:t>r</w:t>
      </w:r>
      <w:r w:rsidRPr="0029167E">
        <w:rPr>
          <w:i/>
        </w:rPr>
        <w:t xml:space="preserve"> des indications que si l’actuaire responsable a été impliqué</w:t>
      </w:r>
      <w:r w:rsidR="00356B68" w:rsidRPr="0029167E">
        <w:rPr>
          <w:i/>
        </w:rPr>
        <w:t>/e</w:t>
      </w:r>
      <w:r w:rsidRPr="0029167E">
        <w:rPr>
          <w:i/>
        </w:rPr>
        <w:t xml:space="preserve"> dans la rédaction du rapport SST.   De quelle manière a-t-il/elle été impliqué/e ? L'actuaire responsable, occupe-t-il/elle une fonction interne ou </w:t>
      </w:r>
      <w:proofErr w:type="gramStart"/>
      <w:r w:rsidRPr="0029167E">
        <w:rPr>
          <w:i/>
        </w:rPr>
        <w:t>externe?</w:t>
      </w:r>
      <w:proofErr w:type="gramEnd"/>
      <w:r w:rsidRPr="0029167E">
        <w:rPr>
          <w:i/>
        </w:rPr>
        <w:t xml:space="preserve"> &gt;</w:t>
      </w:r>
    </w:p>
    <w:p w14:paraId="26FD66BA" w14:textId="76667215" w:rsidR="0076328E" w:rsidRPr="0029167E" w:rsidRDefault="00830665" w:rsidP="00D60D73">
      <w:pPr>
        <w:pStyle w:val="StyleHeading1"/>
      </w:pPr>
      <w:bookmarkStart w:id="8" w:name="_Toc148955323"/>
      <w:r w:rsidRPr="0029167E">
        <w:rPr>
          <w:i/>
          <w:iCs/>
        </w:rPr>
        <w:t xml:space="preserve">Management </w:t>
      </w:r>
      <w:proofErr w:type="spellStart"/>
      <w:r w:rsidRPr="0029167E">
        <w:rPr>
          <w:i/>
          <w:iCs/>
        </w:rPr>
        <w:t>summary</w:t>
      </w:r>
      <w:bookmarkEnd w:id="8"/>
      <w:proofErr w:type="spellEnd"/>
    </w:p>
    <w:p w14:paraId="4EA1E125" w14:textId="37CA3F78" w:rsidR="000A5BF3" w:rsidRPr="0029167E" w:rsidRDefault="000A5BF3" w:rsidP="00D60D73">
      <w:pPr>
        <w:pStyle w:val="FINMAStandardAbsatz"/>
        <w:spacing w:before="100" w:beforeAutospacing="1" w:after="100" w:afterAutospacing="1" w:line="240" w:lineRule="auto"/>
      </w:pPr>
      <w:r w:rsidRPr="0029167E">
        <w:t>Chiffre marginal 161</w:t>
      </w:r>
    </w:p>
    <w:p w14:paraId="444E7306" w14:textId="006E0CF4" w:rsidR="00697D89" w:rsidRPr="0029167E" w:rsidRDefault="00800F98" w:rsidP="00D60D73">
      <w:pPr>
        <w:pStyle w:val="FINMAStandardAbsatz"/>
        <w:spacing w:before="100" w:beforeAutospacing="1" w:after="100" w:afterAutospacing="1" w:line="240" w:lineRule="auto"/>
      </w:pPr>
      <w:r w:rsidRPr="0029167E">
        <w:t xml:space="preserve">Le </w:t>
      </w:r>
      <w:r w:rsidRPr="0029167E">
        <w:rPr>
          <w:i/>
          <w:iCs/>
        </w:rPr>
        <w:t xml:space="preserve">management </w:t>
      </w:r>
      <w:proofErr w:type="spellStart"/>
      <w:r w:rsidRPr="0029167E">
        <w:rPr>
          <w:i/>
          <w:iCs/>
        </w:rPr>
        <w:t>summary</w:t>
      </w:r>
      <w:proofErr w:type="spellEnd"/>
      <w:r w:rsidRPr="0029167E">
        <w:t xml:space="preserve"> contient les constats principaux du calcul du SST, comprenant une appréciation appropriée sous forme de texte.</w:t>
      </w:r>
    </w:p>
    <w:p w14:paraId="1B9AFAA1" w14:textId="19CDC071" w:rsidR="00367866" w:rsidRPr="0029167E" w:rsidRDefault="00367866" w:rsidP="00D60D73">
      <w:pPr>
        <w:pStyle w:val="FINMAStandardAbsatz"/>
        <w:spacing w:before="100" w:beforeAutospacing="1" w:after="100" w:afterAutospacing="1" w:line="240" w:lineRule="auto"/>
        <w:rPr>
          <w:i/>
        </w:rPr>
      </w:pPr>
      <w:r w:rsidRPr="0029167E">
        <w:rPr>
          <w:i/>
        </w:rPr>
        <w:t>Mots-</w:t>
      </w:r>
      <w:proofErr w:type="gramStart"/>
      <w:r w:rsidRPr="0029167E">
        <w:rPr>
          <w:i/>
        </w:rPr>
        <w:t>clés:</w:t>
      </w:r>
      <w:proofErr w:type="gramEnd"/>
      <w:r w:rsidRPr="0029167E">
        <w:t xml:space="preserve"> modèle de calcul du SST </w:t>
      </w:r>
      <w:r w:rsidR="00BF0AA2" w:rsidRPr="0029167E">
        <w:t>202</w:t>
      </w:r>
      <w:r w:rsidR="003055A1">
        <w:t>4</w:t>
      </w:r>
      <w:r w:rsidRPr="0029167E">
        <w:t xml:space="preserve">, modèles standard de la FINMA, scénarios, structure des risques, capital cible, risques de marché, risques de crédit, risques d’assurance, résultat financier attendu, </w:t>
      </w:r>
      <w:r w:rsidR="00356B68" w:rsidRPr="0029167E">
        <w:t xml:space="preserve">résultat d'assurance attendu, </w:t>
      </w:r>
      <w:r w:rsidRPr="0029167E">
        <w:t xml:space="preserve">capital porteur de risque, actifs, passifs, valeur </w:t>
      </w:r>
      <w:r w:rsidR="00E43CCC" w:rsidRPr="0029167E">
        <w:t>conforme au</w:t>
      </w:r>
      <w:r w:rsidRPr="0029167E">
        <w:t xml:space="preserve"> marché des actifs, valeur </w:t>
      </w:r>
      <w:r w:rsidR="00E43CCC" w:rsidRPr="0029167E">
        <w:t>conforme au</w:t>
      </w:r>
      <w:r w:rsidRPr="0029167E">
        <w:t xml:space="preserve"> marché des passifs, montant minimum, </w:t>
      </w:r>
      <w:proofErr w:type="spellStart"/>
      <w:r w:rsidRPr="0029167E">
        <w:t>capital risque</w:t>
      </w:r>
      <w:proofErr w:type="spellEnd"/>
      <w:r w:rsidRPr="0029167E">
        <w:t xml:space="preserve"> sur une année, quotient SST, principales modifications et leurs générateurs principaux.</w:t>
      </w:r>
    </w:p>
    <w:p w14:paraId="4146E1D9" w14:textId="2D3F87CC" w:rsidR="00882943" w:rsidRPr="0029167E" w:rsidRDefault="00882943" w:rsidP="00D60D73">
      <w:pPr>
        <w:pStyle w:val="FINMAStandardAbsatz"/>
        <w:spacing w:before="100" w:beforeAutospacing="1" w:after="100" w:afterAutospacing="1" w:line="240" w:lineRule="auto"/>
        <w:rPr>
          <w:i/>
        </w:rPr>
      </w:pPr>
      <w:r w:rsidRPr="0029167E">
        <w:rPr>
          <w:i/>
        </w:rPr>
        <w:t xml:space="preserve">Exemples de textes (mots-clés écrits en gras) </w:t>
      </w:r>
    </w:p>
    <w:p w14:paraId="760EB79D" w14:textId="00AA42A5" w:rsidR="00882943" w:rsidRPr="0029167E" w:rsidRDefault="00882943" w:rsidP="00D60D73">
      <w:pPr>
        <w:pStyle w:val="FINMAStandardAbsatz"/>
        <w:spacing w:before="100" w:beforeAutospacing="1" w:after="100" w:afterAutospacing="1" w:line="240" w:lineRule="auto"/>
      </w:pPr>
      <w:r w:rsidRPr="0029167E">
        <w:t xml:space="preserve">Le </w:t>
      </w:r>
      <w:r w:rsidRPr="0029167E">
        <w:rPr>
          <w:b/>
          <w:bCs/>
        </w:rPr>
        <w:t xml:space="preserve">modèle de calcul du SST </w:t>
      </w:r>
      <w:r w:rsidR="006C37E0" w:rsidRPr="0029167E">
        <w:rPr>
          <w:b/>
          <w:bCs/>
        </w:rPr>
        <w:t>2024</w:t>
      </w:r>
      <w:r w:rsidRPr="0029167E">
        <w:t xml:space="preserve"> reste </w:t>
      </w:r>
      <w:proofErr w:type="gramStart"/>
      <w:r w:rsidRPr="0029167E">
        <w:t>inchangé:</w:t>
      </w:r>
      <w:proofErr w:type="gramEnd"/>
      <w:r w:rsidRPr="0029167E">
        <w:t xml:space="preserve">  Nous continuons d’utiliser, conformément au courrier de la FINMA du 31 octobre </w:t>
      </w:r>
      <w:r w:rsidR="006C37E0" w:rsidRPr="0029167E">
        <w:t>2023</w:t>
      </w:r>
      <w:r w:rsidRPr="0029167E">
        <w:t xml:space="preserve">, les </w:t>
      </w:r>
      <w:r w:rsidRPr="0029167E">
        <w:rPr>
          <w:b/>
          <w:bCs/>
        </w:rPr>
        <w:t>modèles standard de la FINMA</w:t>
      </w:r>
      <w:r w:rsidRPr="0029167E">
        <w:t xml:space="preserve"> et agrégeons comme expliqué dans le courrier des scénarios supplémentaires spécifiques afin de compenser nos risques encourus </w:t>
      </w:r>
      <w:r w:rsidRPr="0029167E">
        <w:lastRenderedPageBreak/>
        <w:t>spécifiques.  Les scénarios agrégés comportent un scénario spécifique pour compenser la concentration immobilière ainsi qu’un scénario représentant les risques de notre engagement en monnaies étrangères.</w:t>
      </w:r>
    </w:p>
    <w:p w14:paraId="1ECB5BF5" w14:textId="237CE763" w:rsidR="00ED2B15" w:rsidRPr="0029167E" w:rsidRDefault="00ED2B15" w:rsidP="00D60D73">
      <w:pPr>
        <w:pStyle w:val="FINMAStandardAbsatz"/>
        <w:spacing w:before="100" w:beforeAutospacing="1" w:after="100" w:afterAutospacing="1" w:line="240" w:lineRule="auto"/>
      </w:pPr>
      <w:r w:rsidRPr="0029167E">
        <w:t>Les comparaisons avec l'année précédentes sont basées sur les chiffres SST 2023 recalculés, c'est-à-dire définis selon les définitions du SST 2024 pour le capital porteur de risque et le capital cible.</w:t>
      </w:r>
    </w:p>
    <w:p w14:paraId="556761E0" w14:textId="52E3C0A4" w:rsidR="00F5198E" w:rsidRPr="0029167E" w:rsidRDefault="00882943" w:rsidP="00D60D73">
      <w:pPr>
        <w:pStyle w:val="FINMAStandardAbsatz"/>
        <w:spacing w:before="100" w:beforeAutospacing="1" w:after="100" w:afterAutospacing="1" w:line="240" w:lineRule="auto"/>
      </w:pPr>
      <w:r w:rsidRPr="0029167E">
        <w:t>Le capital cible baisse de 123,4 millions de CHF comparé à l’année précédente, pour atteindre 567,8 millions de CHF. La réduction résulte principalement de l'</w:t>
      </w:r>
      <w:r w:rsidRPr="0029167E">
        <w:rPr>
          <w:b/>
          <w:bCs/>
        </w:rPr>
        <w:t>influence moindre des scénarios (-102,2 millions de CHF / xx %</w:t>
      </w:r>
      <w:r w:rsidRPr="0029167E">
        <w:t xml:space="preserve"> par rapport à l’année précédente) et de la </w:t>
      </w:r>
      <w:r w:rsidRPr="0029167E">
        <w:rPr>
          <w:b/>
          <w:bCs/>
        </w:rPr>
        <w:t xml:space="preserve">baisse relative des risques de marché (–20,1 millions de CHF / </w:t>
      </w:r>
      <w:proofErr w:type="spellStart"/>
      <w:r w:rsidRPr="0029167E">
        <w:rPr>
          <w:b/>
          <w:bCs/>
        </w:rPr>
        <w:t>yy</w:t>
      </w:r>
      <w:proofErr w:type="spellEnd"/>
      <w:r w:rsidRPr="0029167E">
        <w:rPr>
          <w:b/>
          <w:bCs/>
        </w:rPr>
        <w:t xml:space="preserve"> %</w:t>
      </w:r>
      <w:r w:rsidRPr="0029167E">
        <w:t xml:space="preserve"> par rapport à l’année précédente), à cause de l’engagement accru dans des positions cash. Le </w:t>
      </w:r>
      <w:r w:rsidRPr="0029167E">
        <w:rPr>
          <w:b/>
          <w:bCs/>
        </w:rPr>
        <w:t>risque de crédit</w:t>
      </w:r>
      <w:r w:rsidRPr="0029167E">
        <w:t xml:space="preserve"> correspondant reste, pour l’essentiel, inchangé.</w:t>
      </w:r>
    </w:p>
    <w:p w14:paraId="45D5B244" w14:textId="2BB3A637" w:rsidR="00F5198E" w:rsidRPr="0029167E" w:rsidRDefault="00F5198E" w:rsidP="00D60D73">
      <w:pPr>
        <w:pStyle w:val="FINMAStandardAbsatz"/>
        <w:spacing w:before="100" w:beforeAutospacing="1" w:after="100" w:afterAutospacing="1" w:line="240" w:lineRule="auto"/>
      </w:pPr>
      <w:r w:rsidRPr="0029167E">
        <w:t xml:space="preserve">La </w:t>
      </w:r>
      <w:r w:rsidRPr="0029167E">
        <w:rPr>
          <w:b/>
          <w:bCs/>
        </w:rPr>
        <w:t>structure de risque</w:t>
      </w:r>
      <w:r w:rsidRPr="0029167E">
        <w:t xml:space="preserve"> de notre entreprise d’assurance a subi un changement relatif comparé à l’année précédente parmi les </w:t>
      </w:r>
      <w:r w:rsidRPr="0029167E">
        <w:rPr>
          <w:b/>
          <w:bCs/>
        </w:rPr>
        <w:t>actifs</w:t>
      </w:r>
      <w:r w:rsidRPr="0029167E">
        <w:t xml:space="preserve"> (engagement plus élevé en positions cash, cf. ci-dessus). Les </w:t>
      </w:r>
      <w:r w:rsidRPr="0029167E">
        <w:rPr>
          <w:b/>
          <w:bCs/>
        </w:rPr>
        <w:t>passifs</w:t>
      </w:r>
      <w:r w:rsidRPr="0029167E">
        <w:t xml:space="preserve"> </w:t>
      </w:r>
      <w:proofErr w:type="gramStart"/>
      <w:r w:rsidRPr="0029167E">
        <w:t>par contre</w:t>
      </w:r>
      <w:proofErr w:type="gramEnd"/>
      <w:r w:rsidRPr="0029167E">
        <w:t xml:space="preserve">, se sont légèrement améliorés quant à leur contribution au capital cible, car la contribution des </w:t>
      </w:r>
      <w:r w:rsidRPr="0029167E">
        <w:rPr>
          <w:b/>
          <w:bCs/>
        </w:rPr>
        <w:t>risques d’assurance</w:t>
      </w:r>
      <w:r w:rsidRPr="0029167E">
        <w:t xml:space="preserve"> reste essentiellement inchangée en raison de la stabilité de notre portefeuille d’assurance.</w:t>
      </w:r>
    </w:p>
    <w:p w14:paraId="6EDF7A75" w14:textId="335B9DE1" w:rsidR="00882943" w:rsidRPr="0029167E" w:rsidRDefault="00882943" w:rsidP="00D60D73">
      <w:pPr>
        <w:pStyle w:val="FINMAStandardAbsatz"/>
        <w:spacing w:before="100" w:beforeAutospacing="1" w:after="100" w:afterAutospacing="1" w:line="240" w:lineRule="auto"/>
      </w:pPr>
      <w:r w:rsidRPr="0029167E">
        <w:t xml:space="preserve">Dans le SST de cette année, nous avons évalué notre </w:t>
      </w:r>
      <w:r w:rsidRPr="0029167E">
        <w:rPr>
          <w:b/>
          <w:bCs/>
        </w:rPr>
        <w:t>résultat financier</w:t>
      </w:r>
      <w:r w:rsidRPr="0029167E">
        <w:t xml:space="preserve"> </w:t>
      </w:r>
      <w:r w:rsidRPr="0029167E">
        <w:rPr>
          <w:b/>
        </w:rPr>
        <w:t>attendu</w:t>
      </w:r>
      <w:r w:rsidRPr="0029167E">
        <w:t xml:space="preserve"> selon les hypothèses de rendement de la </w:t>
      </w:r>
      <w:proofErr w:type="gramStart"/>
      <w:r w:rsidRPr="0029167E">
        <w:t>FINMA;</w:t>
      </w:r>
      <w:proofErr w:type="gramEnd"/>
      <w:r w:rsidRPr="0029167E">
        <w:t xml:space="preserve"> le </w:t>
      </w:r>
      <w:r w:rsidRPr="0029167E">
        <w:rPr>
          <w:b/>
          <w:bCs/>
        </w:rPr>
        <w:t>résultat d'assurance attendu</w:t>
      </w:r>
      <w:r w:rsidRPr="0029167E">
        <w:t xml:space="preserve"> est resté constant, ce qui est réjouissant, ceci grâce à la stabilité de nos processus dans le domaine des souscriptions et des vérifications des prestations.</w:t>
      </w:r>
    </w:p>
    <w:p w14:paraId="2AAE7E71" w14:textId="5E28FDE0" w:rsidR="00882943" w:rsidRPr="0029167E" w:rsidRDefault="00882943" w:rsidP="00D60D73">
      <w:pPr>
        <w:pStyle w:val="FINMAStandardAbsatz"/>
        <w:spacing w:before="100" w:beforeAutospacing="1" w:after="100" w:afterAutospacing="1" w:line="240" w:lineRule="auto"/>
      </w:pPr>
      <w:r w:rsidRPr="0029167E">
        <w:t xml:space="preserve">La </w:t>
      </w:r>
      <w:r w:rsidRPr="0029167E">
        <w:rPr>
          <w:b/>
          <w:bCs/>
        </w:rPr>
        <w:t xml:space="preserve">valeur </w:t>
      </w:r>
      <w:r w:rsidR="00ED2B15" w:rsidRPr="0029167E">
        <w:rPr>
          <w:b/>
          <w:bCs/>
        </w:rPr>
        <w:t>conforme au</w:t>
      </w:r>
      <w:r w:rsidRPr="0029167E">
        <w:rPr>
          <w:b/>
          <w:bCs/>
        </w:rPr>
        <w:t xml:space="preserve"> marché des actifs</w:t>
      </w:r>
      <w:r w:rsidRPr="0029167E">
        <w:t xml:space="preserve"> est passée de 1 234,5 millions de CHF à 1 334,5 millions de CHF, soit une augmentation de 100 millions de CHF. La hausse provient avant tout des positions fonds de placement (+20,5 millions de CHF), hypothèques (+6,5 millions de CHF) et liquidités (+73,0 millions de CHF).  Cette </w:t>
      </w:r>
      <w:r w:rsidRPr="0029167E">
        <w:rPr>
          <w:b/>
          <w:bCs/>
        </w:rPr>
        <w:t>hausse</w:t>
      </w:r>
      <w:r w:rsidRPr="0029167E">
        <w:t xml:space="preserve"> est due à des propres gains acquis de l’année </w:t>
      </w:r>
      <w:proofErr w:type="gramStart"/>
      <w:r w:rsidRPr="0029167E">
        <w:t>précédente;</w:t>
      </w:r>
      <w:proofErr w:type="gramEnd"/>
      <w:r w:rsidRPr="0029167E">
        <w:t xml:space="preserve"> aucune augmentation de capital n’a eu lieu.  </w:t>
      </w:r>
    </w:p>
    <w:p w14:paraId="078EBEE0" w14:textId="7212462F" w:rsidR="001250B6" w:rsidRPr="0029167E" w:rsidRDefault="001250B6" w:rsidP="00D60D73">
      <w:pPr>
        <w:pStyle w:val="FINMAStandardAbsatz"/>
        <w:spacing w:before="100" w:beforeAutospacing="1" w:after="100" w:afterAutospacing="1" w:line="240" w:lineRule="auto"/>
      </w:pPr>
      <w:r w:rsidRPr="0029167E">
        <w:t xml:space="preserve">La </w:t>
      </w:r>
      <w:r w:rsidR="00ED2B15" w:rsidRPr="0029167E">
        <w:rPr>
          <w:b/>
          <w:bCs/>
        </w:rPr>
        <w:t>valeur conforme au marché</w:t>
      </w:r>
      <w:r w:rsidRPr="0029167E">
        <w:rPr>
          <w:b/>
          <w:bCs/>
        </w:rPr>
        <w:t xml:space="preserve"> des passifs</w:t>
      </w:r>
      <w:r w:rsidRPr="0029167E">
        <w:t xml:space="preserve"> a diminué de 100,0 millions de CHF, passant de 1 334,5 à 1 234,5 millions de CHF.  Cette baisse est principalement due à une courbe des taux sensiblement plus élevée que l’année précédente (</w:t>
      </w:r>
      <w:r w:rsidR="00356B68" w:rsidRPr="0029167E">
        <w:t>-</w:t>
      </w:r>
      <w:r w:rsidRPr="0029167E">
        <w:t>99,0 millions de CHF).</w:t>
      </w:r>
      <w:r w:rsidR="00ED2B15" w:rsidRPr="0029167E">
        <w:t xml:space="preserve"> En particulier, le </w:t>
      </w:r>
      <w:r w:rsidR="00ED2B15" w:rsidRPr="0029167E">
        <w:rPr>
          <w:b/>
          <w:bCs/>
        </w:rPr>
        <w:t>montant minimum</w:t>
      </w:r>
      <w:r w:rsidR="00ED2B15" w:rsidRPr="0029167E">
        <w:t xml:space="preserve"> </w:t>
      </w:r>
      <w:proofErr w:type="gramStart"/>
      <w:r w:rsidR="00ED2B15" w:rsidRPr="0029167E">
        <w:t>vaut  34</w:t>
      </w:r>
      <w:proofErr w:type="gramEnd"/>
      <w:r w:rsidR="00ED2B15" w:rsidRPr="0029167E">
        <w:t>,5 millions de CHF (année précédente: 34,6 millions de CHF).</w:t>
      </w:r>
    </w:p>
    <w:p w14:paraId="234C3A0A" w14:textId="0F5187CA" w:rsidR="00812D50" w:rsidRPr="0029167E" w:rsidRDefault="00882943" w:rsidP="00D60D73">
      <w:pPr>
        <w:pStyle w:val="FINMAStandardAbsatz"/>
        <w:spacing w:before="100" w:beforeAutospacing="1" w:after="100" w:afterAutospacing="1" w:line="240" w:lineRule="auto"/>
      </w:pPr>
      <w:r w:rsidRPr="0029167E">
        <w:t xml:space="preserve">L'évaluation </w:t>
      </w:r>
      <w:r w:rsidR="001B7941" w:rsidRPr="0029167E">
        <w:t>conforme au marché</w:t>
      </w:r>
      <w:r w:rsidRPr="0029167E">
        <w:t xml:space="preserve"> des actifs</w:t>
      </w:r>
      <w:r w:rsidR="00356B68" w:rsidRPr="0029167E">
        <w:t xml:space="preserve"> moins les</w:t>
      </w:r>
      <w:r w:rsidRPr="0029167E">
        <w:t xml:space="preserve"> provisions et </w:t>
      </w:r>
      <w:r w:rsidR="00356B68" w:rsidRPr="0029167E">
        <w:t xml:space="preserve">les </w:t>
      </w:r>
      <w:r w:rsidRPr="0029167E">
        <w:t xml:space="preserve">engagements, engendrent un </w:t>
      </w:r>
      <w:r w:rsidRPr="0029167E">
        <w:rPr>
          <w:b/>
          <w:bCs/>
        </w:rPr>
        <w:t>capital porteur de risque</w:t>
      </w:r>
      <w:r w:rsidRPr="0029167E">
        <w:t xml:space="preserve"> de 678,9 millions de CHF (année </w:t>
      </w:r>
      <w:proofErr w:type="gramStart"/>
      <w:r w:rsidRPr="0029167E">
        <w:t>précédente:</w:t>
      </w:r>
      <w:proofErr w:type="gramEnd"/>
      <w:r w:rsidRPr="0029167E">
        <w:t xml:space="preserve"> 567,8 millions de CHF). </w:t>
      </w:r>
    </w:p>
    <w:p w14:paraId="1EE22485" w14:textId="4A6A8A8D" w:rsidR="00882943" w:rsidRPr="0029167E" w:rsidRDefault="00964098" w:rsidP="00D60D73">
      <w:pPr>
        <w:pStyle w:val="FINMAStandardAbsatz"/>
        <w:spacing w:before="100" w:beforeAutospacing="1" w:after="100" w:afterAutospacing="1" w:line="240" w:lineRule="auto"/>
      </w:pPr>
      <w:r w:rsidRPr="0029167E">
        <w:t xml:space="preserve">Le </w:t>
      </w:r>
      <w:r w:rsidRPr="0029167E">
        <w:rPr>
          <w:b/>
          <w:bCs/>
        </w:rPr>
        <w:t xml:space="preserve">quotient SST </w:t>
      </w:r>
      <w:r w:rsidR="00BF0AA2" w:rsidRPr="0029167E">
        <w:rPr>
          <w:b/>
          <w:bCs/>
        </w:rPr>
        <w:t>202</w:t>
      </w:r>
      <w:r w:rsidR="001B7941" w:rsidRPr="0029167E">
        <w:rPr>
          <w:b/>
          <w:bCs/>
        </w:rPr>
        <w:t>4</w:t>
      </w:r>
      <w:r w:rsidRPr="0029167E">
        <w:t xml:space="preserve"> est de </w:t>
      </w:r>
      <w:proofErr w:type="spellStart"/>
      <w:proofErr w:type="gramStart"/>
      <w:r w:rsidRPr="0029167E">
        <w:t>x,x</w:t>
      </w:r>
      <w:proofErr w:type="spellEnd"/>
      <w:proofErr w:type="gramEnd"/>
      <w:r w:rsidRPr="0029167E">
        <w:t xml:space="preserve"> % (année précédente: </w:t>
      </w:r>
      <w:proofErr w:type="spellStart"/>
      <w:r w:rsidRPr="0029167E">
        <w:t>z,z</w:t>
      </w:r>
      <w:proofErr w:type="spellEnd"/>
      <w:r w:rsidRPr="0029167E">
        <w:t xml:space="preserve"> %). </w:t>
      </w:r>
    </w:p>
    <w:p w14:paraId="48D66D31" w14:textId="59B5B35D" w:rsidR="00E02925" w:rsidRPr="0029167E" w:rsidRDefault="00065943" w:rsidP="00D60D73">
      <w:pPr>
        <w:pStyle w:val="StyleHeading1"/>
      </w:pPr>
      <w:bookmarkStart w:id="9" w:name="_Toc148955324"/>
      <w:r w:rsidRPr="0029167E">
        <w:t>Aperçu et perspectives</w:t>
      </w:r>
      <w:bookmarkEnd w:id="9"/>
    </w:p>
    <w:p w14:paraId="77CE35AB" w14:textId="55C01B1A" w:rsidR="00A44286" w:rsidRPr="0029167E" w:rsidRDefault="005C221F" w:rsidP="00D60D73">
      <w:pPr>
        <w:pStyle w:val="Heading2"/>
      </w:pPr>
      <w:bookmarkStart w:id="10" w:name="_Toc148955325"/>
      <w:r w:rsidRPr="0029167E">
        <w:t>Aperçu du SST actuel</w:t>
      </w:r>
      <w:bookmarkEnd w:id="10"/>
      <w:r w:rsidRPr="0029167E">
        <w:t xml:space="preserve"> </w:t>
      </w:r>
    </w:p>
    <w:p w14:paraId="0DFA4C7C" w14:textId="31336D97" w:rsidR="00CA3ED7" w:rsidRPr="0029167E" w:rsidRDefault="00CA3ED7" w:rsidP="00D60D73">
      <w:pPr>
        <w:pStyle w:val="FINMAStandardAbsatz"/>
      </w:pPr>
      <w:r w:rsidRPr="0029167E">
        <w:t xml:space="preserve">Explications sur le quotient SST et appréciation du résultat en tenant compte du passé récent, appréciation des changements sous forme de texte, approfondissement éventuel des déclarations faites dans le </w:t>
      </w:r>
      <w:r w:rsidRPr="0029167E">
        <w:rPr>
          <w:i/>
          <w:iCs/>
        </w:rPr>
        <w:t xml:space="preserve">management </w:t>
      </w:r>
      <w:proofErr w:type="spellStart"/>
      <w:r w:rsidRPr="0029167E">
        <w:rPr>
          <w:i/>
          <w:iCs/>
        </w:rPr>
        <w:t>summary</w:t>
      </w:r>
      <w:proofErr w:type="spellEnd"/>
      <w:r w:rsidRPr="0029167E">
        <w:t>.</w:t>
      </w:r>
    </w:p>
    <w:p w14:paraId="1D0013B2" w14:textId="77777777" w:rsidR="00F541E4" w:rsidRPr="0029167E" w:rsidRDefault="00F541E4" w:rsidP="00D60D73">
      <w:pPr>
        <w:pStyle w:val="FINMAStandardAbsatz"/>
      </w:pPr>
    </w:p>
    <w:p w14:paraId="7A6557E5" w14:textId="2CAE5E48" w:rsidR="00CA3ED7" w:rsidRPr="0029167E" w:rsidRDefault="00775E3F" w:rsidP="006E4EE5">
      <w:pPr>
        <w:pStyle w:val="FINMATabelleohneAufzzeichen"/>
        <w:keepNext/>
      </w:pPr>
      <w:r w:rsidRPr="0029167E">
        <w:lastRenderedPageBreak/>
        <w:t>Évolution des principaux indicateurs sur les cinq dernières années</w:t>
      </w:r>
      <w:r w:rsidR="005C5C26" w:rsidRPr="0029167E">
        <w:t xml:space="preserve"> (chiffres officiels</w:t>
      </w:r>
      <w:proofErr w:type="gramStart"/>
      <w:r w:rsidR="005C5C26" w:rsidRPr="0029167E">
        <w:t>)</w:t>
      </w:r>
      <w:r w:rsidR="00C53D48" w:rsidRPr="0029167E">
        <w:t>:</w:t>
      </w:r>
      <w:proofErr w:type="gramEnd"/>
    </w:p>
    <w:p w14:paraId="2A58DF0A" w14:textId="5E6CD3E8" w:rsidR="00D16A8E" w:rsidRPr="0029167E" w:rsidRDefault="00D16A8E" w:rsidP="006E4EE5">
      <w:pPr>
        <w:pStyle w:val="FINMATabelleohneAufzzeichen"/>
        <w:keepNext/>
      </w:pPr>
    </w:p>
    <w:tbl>
      <w:tblPr>
        <w:tblW w:w="9212" w:type="dxa"/>
        <w:tblCellMar>
          <w:left w:w="70" w:type="dxa"/>
          <w:right w:w="70" w:type="dxa"/>
        </w:tblCellMar>
        <w:tblLook w:val="04A0" w:firstRow="1" w:lastRow="0" w:firstColumn="1" w:lastColumn="0" w:noHBand="0" w:noVBand="1"/>
      </w:tblPr>
      <w:tblGrid>
        <w:gridCol w:w="2996"/>
        <w:gridCol w:w="216"/>
        <w:gridCol w:w="1076"/>
        <w:gridCol w:w="185"/>
        <w:gridCol w:w="1036"/>
        <w:gridCol w:w="185"/>
        <w:gridCol w:w="1076"/>
        <w:gridCol w:w="185"/>
        <w:gridCol w:w="1036"/>
        <w:gridCol w:w="185"/>
        <w:gridCol w:w="1036"/>
      </w:tblGrid>
      <w:tr w:rsidR="00D16A8E" w:rsidRPr="0029167E" w14:paraId="54064C50" w14:textId="77777777" w:rsidTr="006A60CE">
        <w:trPr>
          <w:trHeight w:val="255"/>
        </w:trPr>
        <w:tc>
          <w:tcPr>
            <w:tcW w:w="2996" w:type="dxa"/>
            <w:tcBorders>
              <w:top w:val="nil"/>
              <w:left w:val="nil"/>
              <w:bottom w:val="nil"/>
              <w:right w:val="nil"/>
            </w:tcBorders>
            <w:shd w:val="clear" w:color="000000" w:fill="FFFFFF"/>
            <w:noWrap/>
            <w:vAlign w:val="bottom"/>
            <w:hideMark/>
          </w:tcPr>
          <w:p w14:paraId="1A12F580"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216" w:type="dxa"/>
            <w:tcBorders>
              <w:top w:val="nil"/>
              <w:left w:val="nil"/>
              <w:bottom w:val="nil"/>
              <w:right w:val="nil"/>
            </w:tcBorders>
            <w:shd w:val="clear" w:color="000000" w:fill="FFFFFF"/>
            <w:noWrap/>
            <w:vAlign w:val="bottom"/>
            <w:hideMark/>
          </w:tcPr>
          <w:p w14:paraId="6460F9C1"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000000" w:fill="D9D9D9"/>
            <w:noWrap/>
            <w:vAlign w:val="bottom"/>
            <w:hideMark/>
          </w:tcPr>
          <w:p w14:paraId="775A3B2D" w14:textId="3A5D1F76"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5C5C26" w:rsidRPr="0029167E">
              <w:rPr>
                <w:rFonts w:eastAsia="Times New Roman" w:cs="Arial"/>
                <w:b/>
                <w:bCs/>
                <w:color w:val="000000"/>
                <w:sz w:val="16"/>
                <w:szCs w:val="16"/>
                <w:lang w:val="de-CH" w:eastAsia="de-CH"/>
              </w:rPr>
              <w:t>4</w:t>
            </w:r>
          </w:p>
        </w:tc>
        <w:tc>
          <w:tcPr>
            <w:tcW w:w="185" w:type="dxa"/>
            <w:tcBorders>
              <w:top w:val="nil"/>
              <w:left w:val="nil"/>
              <w:bottom w:val="nil"/>
              <w:right w:val="nil"/>
            </w:tcBorders>
            <w:shd w:val="clear" w:color="000000" w:fill="FFFFFF"/>
            <w:noWrap/>
            <w:vAlign w:val="bottom"/>
            <w:hideMark/>
          </w:tcPr>
          <w:p w14:paraId="5B9D13EC" w14:textId="77777777"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4123833" w14:textId="2DFA5842"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5C5C26" w:rsidRPr="0029167E">
              <w:rPr>
                <w:rFonts w:eastAsia="Times New Roman" w:cs="Arial"/>
                <w:b/>
                <w:bCs/>
                <w:color w:val="000000"/>
                <w:sz w:val="16"/>
                <w:szCs w:val="16"/>
                <w:lang w:val="de-CH" w:eastAsia="de-CH"/>
              </w:rPr>
              <w:t>3</w:t>
            </w:r>
          </w:p>
        </w:tc>
        <w:tc>
          <w:tcPr>
            <w:tcW w:w="185" w:type="dxa"/>
            <w:tcBorders>
              <w:top w:val="nil"/>
              <w:left w:val="nil"/>
              <w:bottom w:val="nil"/>
              <w:right w:val="nil"/>
            </w:tcBorders>
            <w:shd w:val="clear" w:color="000000" w:fill="FFFFFF"/>
            <w:noWrap/>
            <w:vAlign w:val="bottom"/>
            <w:hideMark/>
          </w:tcPr>
          <w:p w14:paraId="3A02D2D8" w14:textId="77777777"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195F8BE7" w14:textId="67711FAE"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SST 202</w:t>
            </w:r>
            <w:r w:rsidR="005C5C26" w:rsidRPr="0029167E">
              <w:rPr>
                <w:rFonts w:eastAsia="Times New Roman" w:cs="Arial"/>
                <w:b/>
                <w:bCs/>
                <w:color w:val="000000"/>
                <w:sz w:val="16"/>
                <w:szCs w:val="16"/>
                <w:lang w:val="de-CH" w:eastAsia="de-CH"/>
              </w:rPr>
              <w:t>2</w:t>
            </w:r>
          </w:p>
        </w:tc>
        <w:tc>
          <w:tcPr>
            <w:tcW w:w="185" w:type="dxa"/>
            <w:tcBorders>
              <w:top w:val="nil"/>
              <w:left w:val="nil"/>
              <w:bottom w:val="nil"/>
              <w:right w:val="nil"/>
            </w:tcBorders>
            <w:shd w:val="clear" w:color="000000" w:fill="FFFFFF"/>
            <w:noWrap/>
            <w:vAlign w:val="bottom"/>
            <w:hideMark/>
          </w:tcPr>
          <w:p w14:paraId="0186D1D2" w14:textId="77777777"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2C2C21E8" w14:textId="214AF864"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SST 20</w:t>
            </w:r>
            <w:r w:rsidR="00BF0AA2" w:rsidRPr="0029167E">
              <w:rPr>
                <w:rFonts w:eastAsia="Times New Roman" w:cs="Arial"/>
                <w:b/>
                <w:bCs/>
                <w:color w:val="000000"/>
                <w:sz w:val="16"/>
                <w:szCs w:val="16"/>
                <w:lang w:val="de-CH" w:eastAsia="de-CH"/>
              </w:rPr>
              <w:t>2</w:t>
            </w:r>
            <w:r w:rsidR="005C5C26" w:rsidRPr="0029167E">
              <w:rPr>
                <w:rFonts w:eastAsia="Times New Roman" w:cs="Arial"/>
                <w:b/>
                <w:bCs/>
                <w:color w:val="000000"/>
                <w:sz w:val="16"/>
                <w:szCs w:val="16"/>
                <w:lang w:val="de-CH" w:eastAsia="de-CH"/>
              </w:rPr>
              <w:t>1</w:t>
            </w:r>
          </w:p>
        </w:tc>
        <w:tc>
          <w:tcPr>
            <w:tcW w:w="185" w:type="dxa"/>
            <w:tcBorders>
              <w:top w:val="nil"/>
              <w:left w:val="nil"/>
              <w:bottom w:val="nil"/>
              <w:right w:val="nil"/>
            </w:tcBorders>
            <w:shd w:val="clear" w:color="000000" w:fill="FFFFFF"/>
            <w:noWrap/>
            <w:vAlign w:val="bottom"/>
            <w:hideMark/>
          </w:tcPr>
          <w:p w14:paraId="341D9919" w14:textId="77777777"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6E8734ED" w14:textId="607EE208" w:rsidR="00D16A8E" w:rsidRPr="0029167E" w:rsidRDefault="00D16A8E" w:rsidP="00D16A8E">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SST 20</w:t>
            </w:r>
            <w:r w:rsidR="005C5C26" w:rsidRPr="0029167E">
              <w:rPr>
                <w:rFonts w:eastAsia="Times New Roman" w:cs="Arial"/>
                <w:b/>
                <w:bCs/>
                <w:color w:val="000000"/>
                <w:sz w:val="16"/>
                <w:szCs w:val="16"/>
                <w:lang w:val="de-CH" w:eastAsia="de-CH"/>
              </w:rPr>
              <w:t>20</w:t>
            </w:r>
          </w:p>
        </w:tc>
      </w:tr>
      <w:tr w:rsidR="00D16A8E" w:rsidRPr="0029167E" w14:paraId="23C67606" w14:textId="77777777" w:rsidTr="006A60CE">
        <w:trPr>
          <w:trHeight w:val="675"/>
        </w:trPr>
        <w:tc>
          <w:tcPr>
            <w:tcW w:w="2996" w:type="dxa"/>
            <w:tcBorders>
              <w:top w:val="nil"/>
              <w:left w:val="nil"/>
              <w:bottom w:val="nil"/>
              <w:right w:val="nil"/>
            </w:tcBorders>
            <w:shd w:val="clear" w:color="000000" w:fill="FFFFFF"/>
            <w:noWrap/>
            <w:vAlign w:val="bottom"/>
            <w:hideMark/>
          </w:tcPr>
          <w:p w14:paraId="10AA83FD" w14:textId="77777777" w:rsidR="00D16A8E" w:rsidRPr="0029167E" w:rsidRDefault="00D16A8E" w:rsidP="00D16A8E">
            <w:pPr>
              <w:spacing w:line="240" w:lineRule="auto"/>
              <w:rPr>
                <w:rFonts w:eastAsia="Times New Roman" w:cs="Arial"/>
                <w:color w:val="000000"/>
                <w:sz w:val="20"/>
                <w:lang w:val="de-CH" w:eastAsia="de-CH"/>
              </w:rPr>
            </w:pPr>
            <w:r w:rsidRPr="0029167E">
              <w:rPr>
                <w:rFonts w:eastAsia="Times New Roman" w:cs="Arial"/>
                <w:color w:val="000000"/>
                <w:sz w:val="20"/>
                <w:lang w:val="de-CH" w:eastAsia="de-CH"/>
              </w:rPr>
              <w:t> </w:t>
            </w:r>
          </w:p>
        </w:tc>
        <w:tc>
          <w:tcPr>
            <w:tcW w:w="216" w:type="dxa"/>
            <w:tcBorders>
              <w:top w:val="nil"/>
              <w:left w:val="nil"/>
              <w:bottom w:val="nil"/>
              <w:right w:val="nil"/>
            </w:tcBorders>
            <w:shd w:val="clear" w:color="000000" w:fill="FFFFFF"/>
            <w:noWrap/>
            <w:vAlign w:val="bottom"/>
            <w:hideMark/>
          </w:tcPr>
          <w:p w14:paraId="78963C1A"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single" w:sz="4" w:space="0" w:color="auto"/>
              <w:right w:val="nil"/>
            </w:tcBorders>
            <w:shd w:val="clear" w:color="auto" w:fill="auto"/>
            <w:vAlign w:val="bottom"/>
            <w:hideMark/>
          </w:tcPr>
          <w:p w14:paraId="368C9E51" w14:textId="75E20A38"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 ou en millions de &lt;monnaie du SST&gt;</w:t>
            </w:r>
          </w:p>
        </w:tc>
        <w:tc>
          <w:tcPr>
            <w:tcW w:w="185" w:type="dxa"/>
            <w:tcBorders>
              <w:top w:val="nil"/>
              <w:left w:val="nil"/>
              <w:bottom w:val="single" w:sz="4" w:space="0" w:color="auto"/>
              <w:right w:val="nil"/>
            </w:tcBorders>
            <w:shd w:val="clear" w:color="000000" w:fill="FFFFFF"/>
            <w:vAlign w:val="bottom"/>
            <w:hideMark/>
          </w:tcPr>
          <w:p w14:paraId="4BA2606B"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single" w:sz="4" w:space="0" w:color="auto"/>
              <w:right w:val="nil"/>
            </w:tcBorders>
            <w:shd w:val="clear" w:color="auto" w:fill="auto"/>
            <w:vAlign w:val="bottom"/>
            <w:hideMark/>
          </w:tcPr>
          <w:p w14:paraId="2F59BE4A" w14:textId="28683660"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 ou en millions de &lt;monnaie du SST&gt;</w:t>
            </w:r>
          </w:p>
        </w:tc>
        <w:tc>
          <w:tcPr>
            <w:tcW w:w="185" w:type="dxa"/>
            <w:tcBorders>
              <w:top w:val="nil"/>
              <w:left w:val="nil"/>
              <w:bottom w:val="single" w:sz="4" w:space="0" w:color="auto"/>
              <w:right w:val="nil"/>
            </w:tcBorders>
            <w:shd w:val="clear" w:color="000000" w:fill="FFFFFF"/>
            <w:vAlign w:val="bottom"/>
            <w:hideMark/>
          </w:tcPr>
          <w:p w14:paraId="20E5F96C"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single" w:sz="4" w:space="0" w:color="auto"/>
              <w:right w:val="nil"/>
            </w:tcBorders>
            <w:shd w:val="clear" w:color="auto" w:fill="auto"/>
            <w:vAlign w:val="bottom"/>
            <w:hideMark/>
          </w:tcPr>
          <w:p w14:paraId="319E6439" w14:textId="4C0CC969"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 ou en millions &lt;monnaie du SST&gt;</w:t>
            </w:r>
          </w:p>
        </w:tc>
        <w:tc>
          <w:tcPr>
            <w:tcW w:w="185" w:type="dxa"/>
            <w:tcBorders>
              <w:top w:val="nil"/>
              <w:left w:val="nil"/>
              <w:bottom w:val="single" w:sz="4" w:space="0" w:color="auto"/>
              <w:right w:val="nil"/>
            </w:tcBorders>
            <w:shd w:val="clear" w:color="000000" w:fill="FFFFFF"/>
            <w:vAlign w:val="bottom"/>
            <w:hideMark/>
          </w:tcPr>
          <w:p w14:paraId="2477BD32"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single" w:sz="4" w:space="0" w:color="auto"/>
              <w:right w:val="nil"/>
            </w:tcBorders>
            <w:shd w:val="clear" w:color="auto" w:fill="auto"/>
            <w:vAlign w:val="bottom"/>
            <w:hideMark/>
          </w:tcPr>
          <w:p w14:paraId="20A1DC84" w14:textId="110969EC"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 ou en millions de &lt;monnaie du SST&gt;</w:t>
            </w:r>
          </w:p>
        </w:tc>
        <w:tc>
          <w:tcPr>
            <w:tcW w:w="185" w:type="dxa"/>
            <w:tcBorders>
              <w:top w:val="nil"/>
              <w:left w:val="nil"/>
              <w:bottom w:val="single" w:sz="4" w:space="0" w:color="auto"/>
              <w:right w:val="nil"/>
            </w:tcBorders>
            <w:shd w:val="clear" w:color="000000" w:fill="FFFFFF"/>
            <w:vAlign w:val="bottom"/>
            <w:hideMark/>
          </w:tcPr>
          <w:p w14:paraId="7C957403"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single" w:sz="4" w:space="0" w:color="auto"/>
              <w:right w:val="nil"/>
            </w:tcBorders>
            <w:shd w:val="clear" w:color="auto" w:fill="auto"/>
            <w:vAlign w:val="bottom"/>
            <w:hideMark/>
          </w:tcPr>
          <w:p w14:paraId="0C90A2E9" w14:textId="4FA5F2A9"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 ou en millions de &lt;monnaie du SST&gt;</w:t>
            </w:r>
          </w:p>
        </w:tc>
      </w:tr>
      <w:tr w:rsidR="00D16A8E" w:rsidRPr="0029167E" w14:paraId="16355FD8" w14:textId="77777777" w:rsidTr="006A60CE">
        <w:trPr>
          <w:trHeight w:val="255"/>
        </w:trPr>
        <w:tc>
          <w:tcPr>
            <w:tcW w:w="2996" w:type="dxa"/>
            <w:tcBorders>
              <w:top w:val="nil"/>
              <w:left w:val="nil"/>
              <w:bottom w:val="nil"/>
              <w:right w:val="nil"/>
            </w:tcBorders>
            <w:shd w:val="clear" w:color="000000" w:fill="FFFFFF"/>
            <w:noWrap/>
            <w:vAlign w:val="bottom"/>
            <w:hideMark/>
          </w:tcPr>
          <w:p w14:paraId="0FAA928F"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216" w:type="dxa"/>
            <w:tcBorders>
              <w:top w:val="nil"/>
              <w:left w:val="nil"/>
              <w:bottom w:val="nil"/>
              <w:right w:val="nil"/>
            </w:tcBorders>
            <w:shd w:val="clear" w:color="000000" w:fill="FFFFFF"/>
            <w:noWrap/>
            <w:vAlign w:val="bottom"/>
            <w:hideMark/>
          </w:tcPr>
          <w:p w14:paraId="1DC52B47"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auto" w:fill="auto"/>
            <w:noWrap/>
            <w:vAlign w:val="bottom"/>
            <w:hideMark/>
          </w:tcPr>
          <w:p w14:paraId="301A0688" w14:textId="77777777" w:rsidR="00D16A8E" w:rsidRPr="0029167E" w:rsidRDefault="00D16A8E" w:rsidP="00D16A8E">
            <w:pPr>
              <w:spacing w:line="240" w:lineRule="auto"/>
              <w:rPr>
                <w:rFonts w:eastAsia="Times New Roman" w:cs="Arial"/>
                <w:color w:val="000000"/>
                <w:sz w:val="16"/>
                <w:szCs w:val="16"/>
                <w:lang w:val="fr-CH" w:eastAsia="de-CH"/>
              </w:rPr>
            </w:pPr>
          </w:p>
        </w:tc>
        <w:tc>
          <w:tcPr>
            <w:tcW w:w="185" w:type="dxa"/>
            <w:tcBorders>
              <w:top w:val="nil"/>
              <w:left w:val="nil"/>
              <w:bottom w:val="nil"/>
              <w:right w:val="nil"/>
            </w:tcBorders>
            <w:shd w:val="clear" w:color="000000" w:fill="FFFFFF"/>
            <w:noWrap/>
            <w:vAlign w:val="bottom"/>
            <w:hideMark/>
          </w:tcPr>
          <w:p w14:paraId="71794AAC"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auto"/>
            <w:noWrap/>
            <w:vAlign w:val="bottom"/>
            <w:hideMark/>
          </w:tcPr>
          <w:p w14:paraId="55329C53" w14:textId="77777777" w:rsidR="00D16A8E" w:rsidRPr="0029167E" w:rsidRDefault="00D16A8E" w:rsidP="00D16A8E">
            <w:pPr>
              <w:spacing w:line="240" w:lineRule="auto"/>
              <w:rPr>
                <w:rFonts w:eastAsia="Times New Roman" w:cs="Arial"/>
                <w:color w:val="000000"/>
                <w:sz w:val="16"/>
                <w:szCs w:val="16"/>
                <w:lang w:val="fr-CH" w:eastAsia="de-CH"/>
              </w:rPr>
            </w:pPr>
          </w:p>
        </w:tc>
        <w:tc>
          <w:tcPr>
            <w:tcW w:w="185" w:type="dxa"/>
            <w:tcBorders>
              <w:top w:val="nil"/>
              <w:left w:val="nil"/>
              <w:bottom w:val="nil"/>
              <w:right w:val="nil"/>
            </w:tcBorders>
            <w:shd w:val="clear" w:color="000000" w:fill="FFFFFF"/>
            <w:noWrap/>
            <w:vAlign w:val="bottom"/>
            <w:hideMark/>
          </w:tcPr>
          <w:p w14:paraId="11A3EF1A"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auto" w:fill="auto"/>
            <w:noWrap/>
            <w:vAlign w:val="bottom"/>
            <w:hideMark/>
          </w:tcPr>
          <w:p w14:paraId="59186ED8" w14:textId="77777777" w:rsidR="00D16A8E" w:rsidRPr="0029167E" w:rsidRDefault="00D16A8E" w:rsidP="00D16A8E">
            <w:pPr>
              <w:spacing w:line="240" w:lineRule="auto"/>
              <w:rPr>
                <w:rFonts w:eastAsia="Times New Roman" w:cs="Arial"/>
                <w:color w:val="000000"/>
                <w:sz w:val="16"/>
                <w:szCs w:val="16"/>
                <w:lang w:val="fr-CH" w:eastAsia="de-CH"/>
              </w:rPr>
            </w:pPr>
          </w:p>
        </w:tc>
        <w:tc>
          <w:tcPr>
            <w:tcW w:w="185" w:type="dxa"/>
            <w:tcBorders>
              <w:top w:val="nil"/>
              <w:left w:val="nil"/>
              <w:bottom w:val="nil"/>
              <w:right w:val="nil"/>
            </w:tcBorders>
            <w:shd w:val="clear" w:color="000000" w:fill="FFFFFF"/>
            <w:noWrap/>
            <w:vAlign w:val="bottom"/>
            <w:hideMark/>
          </w:tcPr>
          <w:p w14:paraId="1961295D"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auto"/>
            <w:noWrap/>
            <w:vAlign w:val="bottom"/>
            <w:hideMark/>
          </w:tcPr>
          <w:p w14:paraId="3F7CA6E8" w14:textId="77777777" w:rsidR="00D16A8E" w:rsidRPr="0029167E" w:rsidRDefault="00D16A8E" w:rsidP="00D16A8E">
            <w:pPr>
              <w:spacing w:line="240" w:lineRule="auto"/>
              <w:rPr>
                <w:rFonts w:eastAsia="Times New Roman" w:cs="Arial"/>
                <w:color w:val="000000"/>
                <w:sz w:val="16"/>
                <w:szCs w:val="16"/>
                <w:lang w:val="fr-CH" w:eastAsia="de-CH"/>
              </w:rPr>
            </w:pPr>
          </w:p>
        </w:tc>
        <w:tc>
          <w:tcPr>
            <w:tcW w:w="185" w:type="dxa"/>
            <w:tcBorders>
              <w:top w:val="nil"/>
              <w:left w:val="nil"/>
              <w:bottom w:val="nil"/>
              <w:right w:val="nil"/>
            </w:tcBorders>
            <w:shd w:val="clear" w:color="000000" w:fill="FFFFFF"/>
            <w:noWrap/>
            <w:vAlign w:val="bottom"/>
            <w:hideMark/>
          </w:tcPr>
          <w:p w14:paraId="2C1BEF1E"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auto"/>
            <w:noWrap/>
            <w:vAlign w:val="bottom"/>
            <w:hideMark/>
          </w:tcPr>
          <w:p w14:paraId="46B12DC3" w14:textId="77777777" w:rsidR="00D16A8E" w:rsidRPr="0029167E" w:rsidRDefault="00D16A8E" w:rsidP="00D16A8E">
            <w:pPr>
              <w:spacing w:line="240" w:lineRule="auto"/>
              <w:rPr>
                <w:rFonts w:eastAsia="Times New Roman" w:cs="Arial"/>
                <w:color w:val="000000"/>
                <w:sz w:val="16"/>
                <w:szCs w:val="16"/>
                <w:lang w:val="fr-CH" w:eastAsia="de-CH"/>
              </w:rPr>
            </w:pPr>
          </w:p>
        </w:tc>
      </w:tr>
      <w:tr w:rsidR="00D16A8E" w:rsidRPr="0029167E" w14:paraId="5F17BB9A" w14:textId="77777777" w:rsidTr="006A60CE">
        <w:trPr>
          <w:trHeight w:val="255"/>
        </w:trPr>
        <w:tc>
          <w:tcPr>
            <w:tcW w:w="2996" w:type="dxa"/>
            <w:tcBorders>
              <w:top w:val="nil"/>
              <w:left w:val="nil"/>
              <w:bottom w:val="nil"/>
              <w:right w:val="nil"/>
            </w:tcBorders>
            <w:shd w:val="clear" w:color="000000" w:fill="D9D9D9"/>
            <w:noWrap/>
            <w:vAlign w:val="bottom"/>
            <w:hideMark/>
          </w:tcPr>
          <w:p w14:paraId="18AA985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Quotient SST</w:t>
            </w:r>
          </w:p>
        </w:tc>
        <w:tc>
          <w:tcPr>
            <w:tcW w:w="216" w:type="dxa"/>
            <w:tcBorders>
              <w:top w:val="nil"/>
              <w:left w:val="nil"/>
              <w:bottom w:val="nil"/>
              <w:right w:val="nil"/>
            </w:tcBorders>
            <w:shd w:val="clear" w:color="000000" w:fill="FFFFFF"/>
            <w:noWrap/>
            <w:vAlign w:val="bottom"/>
            <w:hideMark/>
          </w:tcPr>
          <w:p w14:paraId="63A233C4"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60A8C5F6"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45BF4D73"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570B21DF"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611F53D5"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09DFFAD5"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70A678CB"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D750586"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4D61B03C"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7B2BD5F"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D16A8E" w:rsidRPr="0029167E" w14:paraId="0B7BE2CF" w14:textId="77777777" w:rsidTr="006A60CE">
        <w:trPr>
          <w:trHeight w:val="255"/>
        </w:trPr>
        <w:tc>
          <w:tcPr>
            <w:tcW w:w="2996" w:type="dxa"/>
            <w:tcBorders>
              <w:top w:val="nil"/>
              <w:left w:val="nil"/>
              <w:bottom w:val="nil"/>
              <w:right w:val="nil"/>
            </w:tcBorders>
            <w:shd w:val="clear" w:color="auto" w:fill="auto"/>
            <w:noWrap/>
            <w:vAlign w:val="bottom"/>
            <w:hideMark/>
          </w:tcPr>
          <w:p w14:paraId="2C84F7D6" w14:textId="77777777" w:rsidR="00D16A8E" w:rsidRPr="0029167E" w:rsidRDefault="00D16A8E" w:rsidP="00D16A8E">
            <w:pPr>
              <w:spacing w:line="240" w:lineRule="auto"/>
              <w:rPr>
                <w:rFonts w:eastAsia="Times New Roman" w:cs="Arial"/>
                <w:color w:val="000000"/>
                <w:sz w:val="16"/>
                <w:szCs w:val="16"/>
                <w:lang w:val="de-CH" w:eastAsia="de-CH"/>
              </w:rPr>
            </w:pPr>
          </w:p>
        </w:tc>
        <w:tc>
          <w:tcPr>
            <w:tcW w:w="216" w:type="dxa"/>
            <w:tcBorders>
              <w:top w:val="nil"/>
              <w:left w:val="nil"/>
              <w:bottom w:val="nil"/>
              <w:right w:val="nil"/>
            </w:tcBorders>
            <w:shd w:val="clear" w:color="000000" w:fill="FFFFFF"/>
            <w:noWrap/>
            <w:vAlign w:val="bottom"/>
            <w:hideMark/>
          </w:tcPr>
          <w:p w14:paraId="04248E0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09689E39"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0D8AACBA"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1C112201"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58525050"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68DFDFA2"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6F932A2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7BC443D9"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336BD27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4A752792" w14:textId="77777777" w:rsidR="00D16A8E" w:rsidRPr="0029167E" w:rsidRDefault="00D16A8E" w:rsidP="00D16A8E">
            <w:pPr>
              <w:spacing w:line="240" w:lineRule="auto"/>
              <w:rPr>
                <w:rFonts w:eastAsia="Times New Roman" w:cs="Arial"/>
                <w:color w:val="000000"/>
                <w:sz w:val="16"/>
                <w:szCs w:val="16"/>
                <w:lang w:val="de-CH" w:eastAsia="de-CH"/>
              </w:rPr>
            </w:pPr>
          </w:p>
        </w:tc>
      </w:tr>
      <w:tr w:rsidR="00D16A8E" w:rsidRPr="0029167E" w14:paraId="57C283E4" w14:textId="77777777" w:rsidTr="006A60CE">
        <w:trPr>
          <w:trHeight w:val="255"/>
        </w:trPr>
        <w:tc>
          <w:tcPr>
            <w:tcW w:w="2996" w:type="dxa"/>
            <w:tcBorders>
              <w:top w:val="nil"/>
              <w:left w:val="nil"/>
              <w:bottom w:val="nil"/>
              <w:right w:val="nil"/>
            </w:tcBorders>
            <w:shd w:val="clear" w:color="000000" w:fill="D9D9D9"/>
            <w:noWrap/>
            <w:vAlign w:val="bottom"/>
            <w:hideMark/>
          </w:tcPr>
          <w:p w14:paraId="2AB8DFB7"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Capital porteur de risque (CPR)</w:t>
            </w:r>
          </w:p>
        </w:tc>
        <w:tc>
          <w:tcPr>
            <w:tcW w:w="216" w:type="dxa"/>
            <w:tcBorders>
              <w:top w:val="nil"/>
              <w:left w:val="nil"/>
              <w:bottom w:val="nil"/>
              <w:right w:val="nil"/>
            </w:tcBorders>
            <w:shd w:val="clear" w:color="000000" w:fill="FFFFFF"/>
            <w:noWrap/>
            <w:vAlign w:val="bottom"/>
            <w:hideMark/>
          </w:tcPr>
          <w:p w14:paraId="116B3205"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000000" w:fill="D9D9D9"/>
            <w:noWrap/>
            <w:vAlign w:val="bottom"/>
            <w:hideMark/>
          </w:tcPr>
          <w:p w14:paraId="586AA8AE"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0ED60444"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D9D9D9"/>
            <w:noWrap/>
            <w:vAlign w:val="bottom"/>
            <w:hideMark/>
          </w:tcPr>
          <w:p w14:paraId="436E4B24"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794584E2"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000000" w:fill="D9D9D9"/>
            <w:noWrap/>
            <w:vAlign w:val="bottom"/>
            <w:hideMark/>
          </w:tcPr>
          <w:p w14:paraId="7B07C603"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7444614A"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D9D9D9"/>
            <w:noWrap/>
            <w:vAlign w:val="bottom"/>
            <w:hideMark/>
          </w:tcPr>
          <w:p w14:paraId="7E554BFD"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29512FB5"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D9D9D9"/>
            <w:noWrap/>
            <w:vAlign w:val="bottom"/>
            <w:hideMark/>
          </w:tcPr>
          <w:p w14:paraId="2AA003E7"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r>
      <w:tr w:rsidR="00D16A8E" w:rsidRPr="0029167E" w14:paraId="1A2C3CE3" w14:textId="77777777" w:rsidTr="006A60CE">
        <w:trPr>
          <w:trHeight w:val="255"/>
        </w:trPr>
        <w:tc>
          <w:tcPr>
            <w:tcW w:w="2996" w:type="dxa"/>
            <w:tcBorders>
              <w:top w:val="nil"/>
              <w:left w:val="nil"/>
              <w:bottom w:val="nil"/>
              <w:right w:val="nil"/>
            </w:tcBorders>
            <w:shd w:val="clear" w:color="000000" w:fill="F2F2F2"/>
            <w:noWrap/>
            <w:vAlign w:val="bottom"/>
            <w:hideMark/>
          </w:tcPr>
          <w:p w14:paraId="5C4AACE6" w14:textId="77777777" w:rsidR="00D16A8E" w:rsidRPr="0029167E" w:rsidRDefault="00D16A8E" w:rsidP="00D16A8E">
            <w:pPr>
              <w:spacing w:line="240" w:lineRule="auto"/>
              <w:rPr>
                <w:rFonts w:eastAsia="Times New Roman" w:cs="Arial"/>
                <w:color w:val="000000"/>
                <w:sz w:val="16"/>
                <w:szCs w:val="16"/>
                <w:lang w:val="de-CH" w:eastAsia="de-CH"/>
              </w:rPr>
            </w:pPr>
            <w:proofErr w:type="spellStart"/>
            <w:r w:rsidRPr="0029167E">
              <w:rPr>
                <w:rFonts w:eastAsia="Times New Roman" w:cs="Arial"/>
                <w:color w:val="000000"/>
                <w:sz w:val="16"/>
                <w:szCs w:val="16"/>
                <w:lang w:val="de-CH" w:eastAsia="de-CH"/>
              </w:rPr>
              <w:t>Montant</w:t>
            </w:r>
            <w:proofErr w:type="spellEnd"/>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minimum</w:t>
            </w:r>
            <w:proofErr w:type="spellEnd"/>
            <w:r w:rsidRPr="0029167E">
              <w:rPr>
                <w:rFonts w:eastAsia="Times New Roman" w:cs="Arial"/>
                <w:color w:val="000000"/>
                <w:sz w:val="16"/>
                <w:szCs w:val="16"/>
                <w:lang w:val="de-CH" w:eastAsia="de-CH"/>
              </w:rPr>
              <w:t xml:space="preserve"> (MVM)</w:t>
            </w:r>
          </w:p>
        </w:tc>
        <w:tc>
          <w:tcPr>
            <w:tcW w:w="216" w:type="dxa"/>
            <w:tcBorders>
              <w:top w:val="nil"/>
              <w:left w:val="nil"/>
              <w:bottom w:val="nil"/>
              <w:right w:val="nil"/>
            </w:tcBorders>
            <w:shd w:val="clear" w:color="000000" w:fill="FFFFFF"/>
            <w:noWrap/>
            <w:vAlign w:val="bottom"/>
            <w:hideMark/>
          </w:tcPr>
          <w:p w14:paraId="37D7E30C"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F2F2F2"/>
            <w:noWrap/>
            <w:vAlign w:val="bottom"/>
            <w:hideMark/>
          </w:tcPr>
          <w:p w14:paraId="702E27FC"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35C0EC94"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F2F2F2"/>
            <w:noWrap/>
            <w:vAlign w:val="bottom"/>
            <w:hideMark/>
          </w:tcPr>
          <w:p w14:paraId="4540B15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5DDF8289"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F2F2F2"/>
            <w:noWrap/>
            <w:vAlign w:val="bottom"/>
            <w:hideMark/>
          </w:tcPr>
          <w:p w14:paraId="629FA340"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2146B428"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F2F2F2"/>
            <w:noWrap/>
            <w:vAlign w:val="bottom"/>
            <w:hideMark/>
          </w:tcPr>
          <w:p w14:paraId="307A1735"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56D91A54"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F2F2F2"/>
            <w:noWrap/>
            <w:vAlign w:val="bottom"/>
            <w:hideMark/>
          </w:tcPr>
          <w:p w14:paraId="61D3ECB1"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6A60CE" w:rsidRPr="0029167E" w14:paraId="5C32BEC3" w14:textId="77777777" w:rsidTr="006A60CE">
        <w:trPr>
          <w:trHeight w:val="255"/>
        </w:trPr>
        <w:tc>
          <w:tcPr>
            <w:tcW w:w="2996" w:type="dxa"/>
            <w:tcBorders>
              <w:top w:val="nil"/>
              <w:left w:val="nil"/>
              <w:bottom w:val="nil"/>
              <w:right w:val="nil"/>
            </w:tcBorders>
            <w:shd w:val="clear" w:color="auto" w:fill="auto"/>
            <w:noWrap/>
            <w:vAlign w:val="bottom"/>
          </w:tcPr>
          <w:p w14:paraId="5737F4BB" w14:textId="77777777" w:rsidR="006A60CE" w:rsidRPr="0029167E" w:rsidRDefault="006A60CE" w:rsidP="006A60CE">
            <w:pPr>
              <w:spacing w:line="240" w:lineRule="auto"/>
              <w:rPr>
                <w:rFonts w:eastAsia="Times New Roman" w:cs="Arial"/>
                <w:color w:val="000000"/>
                <w:sz w:val="16"/>
                <w:szCs w:val="16"/>
                <w:lang w:val="de-CH" w:eastAsia="de-CH"/>
              </w:rPr>
            </w:pPr>
          </w:p>
        </w:tc>
        <w:tc>
          <w:tcPr>
            <w:tcW w:w="216" w:type="dxa"/>
            <w:tcBorders>
              <w:top w:val="nil"/>
              <w:left w:val="nil"/>
              <w:bottom w:val="nil"/>
              <w:right w:val="nil"/>
            </w:tcBorders>
            <w:shd w:val="clear" w:color="000000" w:fill="FFFFFF"/>
            <w:noWrap/>
            <w:vAlign w:val="bottom"/>
          </w:tcPr>
          <w:p w14:paraId="18B48DE4" w14:textId="707E06A4"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tcPr>
          <w:p w14:paraId="61B42324" w14:textId="77777777" w:rsidR="006A60CE" w:rsidRPr="0029167E" w:rsidRDefault="006A60CE" w:rsidP="006A60C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tcPr>
          <w:p w14:paraId="56B50893" w14:textId="2DD1B472"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tcPr>
          <w:p w14:paraId="7A16C9D6" w14:textId="77777777" w:rsidR="006A60CE" w:rsidRPr="0029167E" w:rsidRDefault="006A60CE" w:rsidP="006A60C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tcPr>
          <w:p w14:paraId="574A2029" w14:textId="61043E6C"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tcPr>
          <w:p w14:paraId="51C0A3D4" w14:textId="77777777" w:rsidR="006A60CE" w:rsidRPr="0029167E" w:rsidRDefault="006A60CE" w:rsidP="006A60C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tcPr>
          <w:p w14:paraId="6659DB2C" w14:textId="7ADB9A3C"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tcPr>
          <w:p w14:paraId="203A1B0D" w14:textId="77777777" w:rsidR="006A60CE" w:rsidRPr="0029167E" w:rsidRDefault="006A60CE" w:rsidP="006A60C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tcPr>
          <w:p w14:paraId="702C830F" w14:textId="55B8EA4E"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tcPr>
          <w:p w14:paraId="76ACBF45" w14:textId="77777777" w:rsidR="006A60CE" w:rsidRPr="0029167E" w:rsidRDefault="006A60CE" w:rsidP="006A60CE">
            <w:pPr>
              <w:spacing w:line="240" w:lineRule="auto"/>
              <w:rPr>
                <w:rFonts w:eastAsia="Times New Roman" w:cs="Arial"/>
                <w:color w:val="000000"/>
                <w:sz w:val="16"/>
                <w:szCs w:val="16"/>
                <w:lang w:val="de-CH" w:eastAsia="de-CH"/>
              </w:rPr>
            </w:pPr>
          </w:p>
        </w:tc>
      </w:tr>
      <w:tr w:rsidR="00D16A8E" w:rsidRPr="0029167E" w14:paraId="67C83E33" w14:textId="77777777" w:rsidTr="006A60CE">
        <w:trPr>
          <w:trHeight w:val="255"/>
        </w:trPr>
        <w:tc>
          <w:tcPr>
            <w:tcW w:w="2996" w:type="dxa"/>
            <w:tcBorders>
              <w:top w:val="nil"/>
              <w:left w:val="nil"/>
              <w:bottom w:val="nil"/>
              <w:right w:val="nil"/>
            </w:tcBorders>
            <w:shd w:val="clear" w:color="000000" w:fill="D9D9D9"/>
            <w:noWrap/>
            <w:vAlign w:val="bottom"/>
            <w:hideMark/>
          </w:tcPr>
          <w:p w14:paraId="2E288A3C"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Capital </w:t>
            </w:r>
            <w:proofErr w:type="spellStart"/>
            <w:r w:rsidRPr="0029167E">
              <w:rPr>
                <w:rFonts w:eastAsia="Times New Roman" w:cs="Arial"/>
                <w:color w:val="000000"/>
                <w:sz w:val="16"/>
                <w:szCs w:val="16"/>
                <w:lang w:val="de-CH" w:eastAsia="de-CH"/>
              </w:rPr>
              <w:t>cible</w:t>
            </w:r>
            <w:proofErr w:type="spellEnd"/>
            <w:r w:rsidRPr="0029167E">
              <w:rPr>
                <w:rFonts w:eastAsia="Times New Roman" w:cs="Arial"/>
                <w:color w:val="000000"/>
                <w:sz w:val="16"/>
                <w:szCs w:val="16"/>
                <w:lang w:val="de-CH" w:eastAsia="de-CH"/>
              </w:rPr>
              <w:t xml:space="preserve"> (CC)</w:t>
            </w:r>
          </w:p>
        </w:tc>
        <w:tc>
          <w:tcPr>
            <w:tcW w:w="216" w:type="dxa"/>
            <w:tcBorders>
              <w:top w:val="nil"/>
              <w:left w:val="nil"/>
              <w:bottom w:val="nil"/>
              <w:right w:val="nil"/>
            </w:tcBorders>
            <w:shd w:val="clear" w:color="000000" w:fill="FFFFFF"/>
            <w:noWrap/>
            <w:vAlign w:val="bottom"/>
            <w:hideMark/>
          </w:tcPr>
          <w:p w14:paraId="644BFB5B"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51F6D0E9"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04B96858"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57E4A87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7A1F0B41"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13FFC7C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569F1CCA"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1205DE1"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41BE5B2D"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EBCB067"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D16A8E" w:rsidRPr="0029167E" w14:paraId="099196D2" w14:textId="77777777" w:rsidTr="006A60CE">
        <w:trPr>
          <w:trHeight w:val="255"/>
        </w:trPr>
        <w:tc>
          <w:tcPr>
            <w:tcW w:w="2996" w:type="dxa"/>
            <w:tcBorders>
              <w:top w:val="nil"/>
              <w:left w:val="nil"/>
              <w:bottom w:val="nil"/>
              <w:right w:val="nil"/>
            </w:tcBorders>
            <w:shd w:val="clear" w:color="auto" w:fill="auto"/>
            <w:noWrap/>
            <w:vAlign w:val="bottom"/>
            <w:hideMark/>
          </w:tcPr>
          <w:p w14:paraId="0807221E" w14:textId="77777777" w:rsidR="00D16A8E" w:rsidRPr="0029167E" w:rsidRDefault="00D16A8E" w:rsidP="00D16A8E">
            <w:pPr>
              <w:spacing w:line="240" w:lineRule="auto"/>
              <w:rPr>
                <w:rFonts w:eastAsia="Times New Roman" w:cs="Arial"/>
                <w:color w:val="000000"/>
                <w:sz w:val="16"/>
                <w:szCs w:val="16"/>
                <w:lang w:val="de-CH" w:eastAsia="de-CH"/>
              </w:rPr>
            </w:pPr>
          </w:p>
        </w:tc>
        <w:tc>
          <w:tcPr>
            <w:tcW w:w="216" w:type="dxa"/>
            <w:tcBorders>
              <w:top w:val="nil"/>
              <w:left w:val="nil"/>
              <w:bottom w:val="nil"/>
              <w:right w:val="nil"/>
            </w:tcBorders>
            <w:shd w:val="clear" w:color="000000" w:fill="FFFFFF"/>
            <w:noWrap/>
            <w:vAlign w:val="bottom"/>
            <w:hideMark/>
          </w:tcPr>
          <w:p w14:paraId="14B4887B"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6CE49745"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188C21F0"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52FEAF01"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0F8CA9C2"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22593CA3"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547805CA"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1B8308A7" w14:textId="77777777" w:rsidR="00D16A8E" w:rsidRPr="0029167E" w:rsidRDefault="00D16A8E" w:rsidP="00D16A8E">
            <w:pPr>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0CEFA239" w14:textId="77777777" w:rsidR="00D16A8E" w:rsidRPr="0029167E" w:rsidRDefault="00D16A8E" w:rsidP="00D16A8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602F16FB" w14:textId="77777777" w:rsidR="00D16A8E" w:rsidRPr="0029167E" w:rsidRDefault="00D16A8E" w:rsidP="00D16A8E">
            <w:pPr>
              <w:spacing w:line="240" w:lineRule="auto"/>
              <w:rPr>
                <w:rFonts w:eastAsia="Times New Roman" w:cs="Arial"/>
                <w:color w:val="000000"/>
                <w:sz w:val="16"/>
                <w:szCs w:val="16"/>
                <w:lang w:val="de-CH" w:eastAsia="de-CH"/>
              </w:rPr>
            </w:pPr>
          </w:p>
        </w:tc>
      </w:tr>
      <w:tr w:rsidR="00D16A8E" w:rsidRPr="0029167E" w14:paraId="6C6168E2" w14:textId="77777777" w:rsidTr="006A60CE">
        <w:trPr>
          <w:trHeight w:val="480"/>
        </w:trPr>
        <w:tc>
          <w:tcPr>
            <w:tcW w:w="2996" w:type="dxa"/>
            <w:tcBorders>
              <w:top w:val="nil"/>
              <w:left w:val="nil"/>
              <w:bottom w:val="nil"/>
              <w:right w:val="nil"/>
            </w:tcBorders>
            <w:shd w:val="clear" w:color="000000" w:fill="F2F2F2"/>
            <w:vAlign w:val="bottom"/>
            <w:hideMark/>
          </w:tcPr>
          <w:p w14:paraId="31539E87"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Résultat financier attendu au-dessus du taux sans risque</w:t>
            </w:r>
          </w:p>
        </w:tc>
        <w:tc>
          <w:tcPr>
            <w:tcW w:w="216" w:type="dxa"/>
            <w:tcBorders>
              <w:top w:val="nil"/>
              <w:left w:val="nil"/>
              <w:bottom w:val="nil"/>
              <w:right w:val="nil"/>
            </w:tcBorders>
            <w:shd w:val="clear" w:color="000000" w:fill="FFFFFF"/>
            <w:noWrap/>
            <w:vAlign w:val="bottom"/>
            <w:hideMark/>
          </w:tcPr>
          <w:p w14:paraId="6FF56945"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000000" w:fill="F2F2F2"/>
            <w:noWrap/>
            <w:vAlign w:val="bottom"/>
            <w:hideMark/>
          </w:tcPr>
          <w:p w14:paraId="34D4802A"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5745AE16"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F2F2F2"/>
            <w:noWrap/>
            <w:vAlign w:val="bottom"/>
            <w:hideMark/>
          </w:tcPr>
          <w:p w14:paraId="2734723D"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220F4562"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000000" w:fill="F2F2F2"/>
            <w:noWrap/>
            <w:vAlign w:val="bottom"/>
            <w:hideMark/>
          </w:tcPr>
          <w:p w14:paraId="3EE5956C"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08A21B64"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F2F2F2"/>
            <w:noWrap/>
            <w:vAlign w:val="bottom"/>
            <w:hideMark/>
          </w:tcPr>
          <w:p w14:paraId="4E0185EC"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2B7B8A39"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000000" w:fill="F2F2F2"/>
            <w:noWrap/>
            <w:vAlign w:val="bottom"/>
            <w:hideMark/>
          </w:tcPr>
          <w:p w14:paraId="3D727E3B"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r>
      <w:tr w:rsidR="00D16A8E" w:rsidRPr="0029167E" w14:paraId="1423E169" w14:textId="77777777" w:rsidTr="00F34C40">
        <w:trPr>
          <w:trHeight w:val="337"/>
        </w:trPr>
        <w:tc>
          <w:tcPr>
            <w:tcW w:w="2996" w:type="dxa"/>
            <w:tcBorders>
              <w:top w:val="nil"/>
              <w:left w:val="nil"/>
              <w:bottom w:val="nil"/>
              <w:right w:val="nil"/>
            </w:tcBorders>
            <w:shd w:val="clear" w:color="auto" w:fill="F2F2F2" w:themeFill="background1" w:themeFillShade="F2"/>
            <w:vAlign w:val="bottom"/>
            <w:hideMark/>
          </w:tcPr>
          <w:p w14:paraId="7001A2EE" w14:textId="3863C0EE"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Résultat d’assurance attendu </w:t>
            </w:r>
          </w:p>
        </w:tc>
        <w:tc>
          <w:tcPr>
            <w:tcW w:w="216" w:type="dxa"/>
            <w:tcBorders>
              <w:top w:val="nil"/>
              <w:left w:val="nil"/>
              <w:bottom w:val="nil"/>
              <w:right w:val="nil"/>
            </w:tcBorders>
            <w:shd w:val="clear" w:color="000000" w:fill="FFFFFF"/>
            <w:noWrap/>
            <w:vAlign w:val="bottom"/>
            <w:hideMark/>
          </w:tcPr>
          <w:p w14:paraId="09D475FB"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auto" w:fill="F2F2F2" w:themeFill="background1" w:themeFillShade="F2"/>
            <w:noWrap/>
            <w:vAlign w:val="bottom"/>
            <w:hideMark/>
          </w:tcPr>
          <w:p w14:paraId="36BED8DA"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529205A6"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46EFA512"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729C6F5D"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76" w:type="dxa"/>
            <w:tcBorders>
              <w:top w:val="nil"/>
              <w:left w:val="nil"/>
              <w:bottom w:val="nil"/>
              <w:right w:val="nil"/>
            </w:tcBorders>
            <w:shd w:val="clear" w:color="auto" w:fill="F2F2F2" w:themeFill="background1" w:themeFillShade="F2"/>
            <w:noWrap/>
            <w:vAlign w:val="bottom"/>
            <w:hideMark/>
          </w:tcPr>
          <w:p w14:paraId="76693C17"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3E33418E"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4F66C086"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85" w:type="dxa"/>
            <w:tcBorders>
              <w:top w:val="nil"/>
              <w:left w:val="nil"/>
              <w:bottom w:val="nil"/>
              <w:right w:val="nil"/>
            </w:tcBorders>
            <w:shd w:val="clear" w:color="000000" w:fill="FFFFFF"/>
            <w:noWrap/>
            <w:vAlign w:val="bottom"/>
            <w:hideMark/>
          </w:tcPr>
          <w:p w14:paraId="33F4A9A6"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4C1D1E65" w14:textId="77777777" w:rsidR="00D16A8E" w:rsidRPr="0029167E" w:rsidRDefault="00D16A8E" w:rsidP="00D16A8E">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r>
    </w:tbl>
    <w:p w14:paraId="100A4D97" w14:textId="77777777" w:rsidR="00D16A8E" w:rsidRPr="0029167E" w:rsidRDefault="00D16A8E" w:rsidP="006E4EE5">
      <w:pPr>
        <w:pStyle w:val="FINMATabelleohneAufzzeichen"/>
        <w:keepNext/>
        <w:rPr>
          <w:lang w:val="fr-CH"/>
        </w:rPr>
      </w:pPr>
    </w:p>
    <w:p w14:paraId="7EB32F14" w14:textId="77777777" w:rsidR="006A60CE" w:rsidRPr="0029167E" w:rsidRDefault="006A60CE" w:rsidP="00D60D73">
      <w:pPr>
        <w:pStyle w:val="FINMATabelleohneAufzzeichen"/>
      </w:pPr>
    </w:p>
    <w:p w14:paraId="5B7B0990" w14:textId="476166D7" w:rsidR="00072B06" w:rsidRPr="0029167E" w:rsidRDefault="00072B06" w:rsidP="00D60D73">
      <w:pPr>
        <w:pStyle w:val="FINMATabelleohneAufzzeichen"/>
      </w:pPr>
      <w:r w:rsidRPr="0029167E">
        <w:t xml:space="preserve">Composantes du quotient </w:t>
      </w:r>
      <w:proofErr w:type="gramStart"/>
      <w:r w:rsidRPr="0029167E">
        <w:t>SST:</w:t>
      </w:r>
      <w:proofErr w:type="gramEnd"/>
    </w:p>
    <w:p w14:paraId="531E38CF" w14:textId="421B40E9" w:rsidR="00A0755F" w:rsidRPr="0029167E" w:rsidRDefault="00A0755F" w:rsidP="00D60D73">
      <w:pPr>
        <w:pStyle w:val="FINMATabelleohneAufzzeichen"/>
      </w:pPr>
    </w:p>
    <w:tbl>
      <w:tblPr>
        <w:tblW w:w="9237" w:type="dxa"/>
        <w:tblCellMar>
          <w:left w:w="70" w:type="dxa"/>
          <w:right w:w="70" w:type="dxa"/>
        </w:tblCellMar>
        <w:tblLook w:val="04A0" w:firstRow="1" w:lastRow="0" w:firstColumn="1" w:lastColumn="0" w:noHBand="0" w:noVBand="1"/>
      </w:tblPr>
      <w:tblGrid>
        <w:gridCol w:w="2708"/>
        <w:gridCol w:w="185"/>
        <w:gridCol w:w="728"/>
        <w:gridCol w:w="491"/>
        <w:gridCol w:w="185"/>
        <w:gridCol w:w="678"/>
        <w:gridCol w:w="490"/>
        <w:gridCol w:w="216"/>
        <w:gridCol w:w="665"/>
        <w:gridCol w:w="472"/>
        <w:gridCol w:w="336"/>
        <w:gridCol w:w="746"/>
        <w:gridCol w:w="694"/>
        <w:gridCol w:w="665"/>
      </w:tblGrid>
      <w:tr w:rsidR="00F34C40" w:rsidRPr="0029167E" w14:paraId="76DBB15F" w14:textId="77777777" w:rsidTr="00F34C40">
        <w:trPr>
          <w:trHeight w:val="251"/>
        </w:trPr>
        <w:tc>
          <w:tcPr>
            <w:tcW w:w="2708" w:type="dxa"/>
            <w:tcBorders>
              <w:top w:val="nil"/>
              <w:left w:val="nil"/>
              <w:bottom w:val="nil"/>
              <w:right w:val="nil"/>
            </w:tcBorders>
            <w:shd w:val="clear" w:color="000000" w:fill="FFFFFF"/>
            <w:noWrap/>
            <w:vAlign w:val="bottom"/>
            <w:hideMark/>
          </w:tcPr>
          <w:p w14:paraId="187B75AB"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82" w:type="dxa"/>
            <w:tcBorders>
              <w:top w:val="nil"/>
              <w:left w:val="nil"/>
              <w:bottom w:val="nil"/>
              <w:right w:val="nil"/>
            </w:tcBorders>
            <w:shd w:val="clear" w:color="000000" w:fill="FFFFFF"/>
            <w:noWrap/>
            <w:vAlign w:val="bottom"/>
            <w:hideMark/>
          </w:tcPr>
          <w:p w14:paraId="535DDE69"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219" w:type="dxa"/>
            <w:gridSpan w:val="2"/>
            <w:tcBorders>
              <w:top w:val="nil"/>
              <w:left w:val="nil"/>
              <w:bottom w:val="nil"/>
              <w:right w:val="nil"/>
            </w:tcBorders>
            <w:shd w:val="clear" w:color="000000" w:fill="D9D9D9"/>
            <w:noWrap/>
            <w:vAlign w:val="bottom"/>
            <w:hideMark/>
          </w:tcPr>
          <w:p w14:paraId="19A49DAF" w14:textId="174B139C"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5C5C26" w:rsidRPr="0029167E">
              <w:rPr>
                <w:rFonts w:eastAsia="Times New Roman" w:cs="Arial"/>
                <w:b/>
                <w:bCs/>
                <w:color w:val="000000"/>
                <w:sz w:val="16"/>
                <w:szCs w:val="16"/>
                <w:lang w:val="de-CH" w:eastAsia="de-CH"/>
              </w:rPr>
              <w:t>4</w:t>
            </w:r>
          </w:p>
        </w:tc>
        <w:tc>
          <w:tcPr>
            <w:tcW w:w="182" w:type="dxa"/>
            <w:tcBorders>
              <w:top w:val="nil"/>
              <w:left w:val="nil"/>
              <w:bottom w:val="nil"/>
              <w:right w:val="nil"/>
            </w:tcBorders>
            <w:shd w:val="clear" w:color="000000" w:fill="D9D9D9"/>
            <w:noWrap/>
            <w:vAlign w:val="bottom"/>
            <w:hideMark/>
          </w:tcPr>
          <w:p w14:paraId="5B41F526"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678" w:type="dxa"/>
            <w:tcBorders>
              <w:top w:val="nil"/>
              <w:left w:val="nil"/>
              <w:bottom w:val="nil"/>
              <w:right w:val="nil"/>
            </w:tcBorders>
            <w:shd w:val="clear" w:color="000000" w:fill="D9D9D9"/>
            <w:noWrap/>
            <w:vAlign w:val="bottom"/>
            <w:hideMark/>
          </w:tcPr>
          <w:p w14:paraId="0C66A3F3"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490" w:type="dxa"/>
            <w:tcBorders>
              <w:top w:val="nil"/>
              <w:left w:val="nil"/>
              <w:bottom w:val="nil"/>
              <w:right w:val="nil"/>
            </w:tcBorders>
            <w:shd w:val="clear" w:color="000000" w:fill="D9D9D9"/>
            <w:noWrap/>
            <w:vAlign w:val="bottom"/>
            <w:hideMark/>
          </w:tcPr>
          <w:p w14:paraId="58AC5F64"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216" w:type="dxa"/>
            <w:tcBorders>
              <w:top w:val="nil"/>
              <w:left w:val="nil"/>
              <w:bottom w:val="nil"/>
              <w:right w:val="nil"/>
            </w:tcBorders>
            <w:shd w:val="clear" w:color="000000" w:fill="D9D9D9"/>
            <w:noWrap/>
            <w:vAlign w:val="bottom"/>
            <w:hideMark/>
          </w:tcPr>
          <w:p w14:paraId="67D46F6B"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657" w:type="dxa"/>
            <w:tcBorders>
              <w:top w:val="nil"/>
              <w:left w:val="nil"/>
              <w:bottom w:val="nil"/>
              <w:right w:val="nil"/>
            </w:tcBorders>
            <w:shd w:val="clear" w:color="000000" w:fill="D9D9D9"/>
            <w:noWrap/>
            <w:vAlign w:val="bottom"/>
            <w:hideMark/>
          </w:tcPr>
          <w:p w14:paraId="5BC351E2"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472" w:type="dxa"/>
            <w:tcBorders>
              <w:top w:val="nil"/>
              <w:left w:val="nil"/>
              <w:bottom w:val="nil"/>
              <w:right w:val="nil"/>
            </w:tcBorders>
            <w:shd w:val="clear" w:color="000000" w:fill="D9D9D9"/>
            <w:noWrap/>
            <w:vAlign w:val="bottom"/>
            <w:hideMark/>
          </w:tcPr>
          <w:p w14:paraId="6F292829" w14:textId="4BB15873"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336" w:type="dxa"/>
            <w:tcBorders>
              <w:top w:val="nil"/>
              <w:left w:val="nil"/>
              <w:bottom w:val="nil"/>
              <w:right w:val="nil"/>
            </w:tcBorders>
            <w:shd w:val="clear" w:color="000000" w:fill="FFFFFF"/>
            <w:noWrap/>
            <w:vAlign w:val="bottom"/>
            <w:hideMark/>
          </w:tcPr>
          <w:p w14:paraId="18F69DAA" w14:textId="77777777" w:rsidR="00A0755F" w:rsidRPr="0029167E" w:rsidRDefault="00A0755F" w:rsidP="00A0755F">
            <w:pPr>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440" w:type="dxa"/>
            <w:gridSpan w:val="2"/>
            <w:tcBorders>
              <w:top w:val="nil"/>
              <w:left w:val="nil"/>
              <w:bottom w:val="nil"/>
              <w:right w:val="nil"/>
            </w:tcBorders>
            <w:shd w:val="clear" w:color="000000" w:fill="D9D9D9"/>
            <w:noWrap/>
            <w:vAlign w:val="bottom"/>
            <w:hideMark/>
          </w:tcPr>
          <w:p w14:paraId="021877E0" w14:textId="77777777" w:rsidR="00874F37" w:rsidRPr="0029167E" w:rsidRDefault="00A0755F" w:rsidP="00874F37">
            <w:pPr>
              <w:spacing w:line="240" w:lineRule="auto"/>
              <w:ind w:right="-546"/>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5C5C26" w:rsidRPr="0029167E">
              <w:rPr>
                <w:rFonts w:eastAsia="Times New Roman" w:cs="Arial"/>
                <w:b/>
                <w:bCs/>
                <w:color w:val="000000"/>
                <w:sz w:val="16"/>
                <w:szCs w:val="16"/>
                <w:lang w:val="de-CH" w:eastAsia="de-CH"/>
              </w:rPr>
              <w:t>3</w:t>
            </w:r>
          </w:p>
          <w:p w14:paraId="734E94E5" w14:textId="3EC76272" w:rsidR="00A0755F" w:rsidRPr="0029167E" w:rsidRDefault="005C5C26" w:rsidP="00874F37">
            <w:pPr>
              <w:spacing w:line="240" w:lineRule="auto"/>
              <w:ind w:right="-546"/>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 (</w:t>
            </w:r>
            <w:proofErr w:type="spellStart"/>
            <w:r w:rsidRPr="0029167E">
              <w:rPr>
                <w:rFonts w:eastAsia="Times New Roman" w:cs="Arial"/>
                <w:b/>
                <w:bCs/>
                <w:color w:val="000000"/>
                <w:sz w:val="16"/>
                <w:szCs w:val="16"/>
                <w:lang w:val="de-CH" w:eastAsia="de-CH"/>
              </w:rPr>
              <w:t>recalculé</w:t>
            </w:r>
            <w:proofErr w:type="spellEnd"/>
            <w:r w:rsidRPr="0029167E">
              <w:rPr>
                <w:rFonts w:eastAsia="Times New Roman" w:cs="Arial"/>
                <w:b/>
                <w:bCs/>
                <w:color w:val="000000"/>
                <w:sz w:val="16"/>
                <w:szCs w:val="16"/>
                <w:lang w:val="de-CH" w:eastAsia="de-CH"/>
              </w:rPr>
              <w:t>)</w:t>
            </w:r>
          </w:p>
        </w:tc>
        <w:tc>
          <w:tcPr>
            <w:tcW w:w="657" w:type="dxa"/>
            <w:tcBorders>
              <w:top w:val="nil"/>
              <w:left w:val="nil"/>
              <w:bottom w:val="nil"/>
              <w:right w:val="nil"/>
            </w:tcBorders>
            <w:shd w:val="clear" w:color="000000" w:fill="D9D9D9"/>
            <w:noWrap/>
            <w:vAlign w:val="bottom"/>
            <w:hideMark/>
          </w:tcPr>
          <w:p w14:paraId="28B30536" w14:textId="77777777" w:rsidR="00A0755F" w:rsidRPr="0029167E" w:rsidRDefault="00A0755F" w:rsidP="00874F37">
            <w:pPr>
              <w:tabs>
                <w:tab w:val="left" w:pos="250"/>
              </w:tabs>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F34C40" w:rsidRPr="0029167E" w14:paraId="6072267B" w14:textId="77777777" w:rsidTr="00F34C40">
        <w:trPr>
          <w:trHeight w:val="1109"/>
        </w:trPr>
        <w:tc>
          <w:tcPr>
            <w:tcW w:w="2708" w:type="dxa"/>
            <w:tcBorders>
              <w:top w:val="nil"/>
              <w:left w:val="nil"/>
              <w:bottom w:val="single" w:sz="4" w:space="0" w:color="auto"/>
              <w:right w:val="nil"/>
            </w:tcBorders>
            <w:shd w:val="clear" w:color="000000" w:fill="FFFFFF"/>
            <w:vAlign w:val="bottom"/>
            <w:hideMark/>
          </w:tcPr>
          <w:p w14:paraId="653071A9" w14:textId="52423B9C" w:rsidR="00A0755F" w:rsidRPr="0029167E" w:rsidRDefault="00A0755F" w:rsidP="00A0755F">
            <w:pPr>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Convention de </w:t>
            </w:r>
            <w:proofErr w:type="gramStart"/>
            <w:r w:rsidRPr="0029167E">
              <w:rPr>
                <w:rFonts w:eastAsia="Times New Roman" w:cs="Arial"/>
                <w:color w:val="000000"/>
                <w:sz w:val="12"/>
                <w:szCs w:val="12"/>
                <w:lang w:val="fr-CH" w:eastAsia="de-CH"/>
              </w:rPr>
              <w:t>signes:</w:t>
            </w:r>
            <w:proofErr w:type="gramEnd"/>
            <w:r w:rsidRPr="0029167E">
              <w:rPr>
                <w:rFonts w:eastAsia="Times New Roman" w:cs="Arial"/>
                <w:color w:val="000000"/>
                <w:sz w:val="12"/>
                <w:szCs w:val="12"/>
                <w:lang w:val="fr-CH" w:eastAsia="de-CH"/>
              </w:rPr>
              <w:t xml:space="preserve"> </w:t>
            </w:r>
            <w:r w:rsidRPr="0029167E">
              <w:rPr>
                <w:rFonts w:eastAsia="Times New Roman" w:cs="Arial"/>
                <w:color w:val="000000"/>
                <w:sz w:val="12"/>
                <w:szCs w:val="12"/>
                <w:lang w:val="fr-CH" w:eastAsia="de-CH"/>
              </w:rPr>
              <w:br/>
              <w:t xml:space="preserve">CPR = actifs - </w:t>
            </w:r>
            <w:r w:rsidR="00C202E3" w:rsidRPr="0029167E">
              <w:rPr>
                <w:rFonts w:eastAsia="Times New Roman" w:cs="Arial"/>
                <w:color w:val="000000"/>
                <w:sz w:val="12"/>
                <w:szCs w:val="12"/>
                <w:lang w:val="fr-CH" w:eastAsia="de-CH"/>
              </w:rPr>
              <w:t>engagements</w:t>
            </w:r>
            <w:r w:rsidRPr="0029167E">
              <w:rPr>
                <w:rFonts w:eastAsia="Times New Roman" w:cs="Arial"/>
                <w:color w:val="000000"/>
                <w:sz w:val="12"/>
                <w:szCs w:val="12"/>
                <w:lang w:val="fr-CH" w:eastAsia="de-CH"/>
              </w:rPr>
              <w:t xml:space="preserve"> + (déductions</w:t>
            </w:r>
            <w:r w:rsidR="008F6763" w:rsidRPr="0029167E">
              <w:rPr>
                <w:rFonts w:eastAsia="Times New Roman" w:cs="Arial"/>
                <w:color w:val="000000"/>
                <w:sz w:val="12"/>
                <w:szCs w:val="12"/>
                <w:lang w:val="fr-CH" w:eastAsia="de-CH"/>
              </w:rPr>
              <w:t xml:space="preserve"> et RAK</w:t>
            </w:r>
            <w:r w:rsidRPr="0029167E">
              <w:rPr>
                <w:rFonts w:eastAsia="Times New Roman" w:cs="Arial"/>
                <w:color w:val="000000"/>
                <w:sz w:val="12"/>
                <w:szCs w:val="12"/>
                <w:lang w:val="fr-CH" w:eastAsia="de-CH"/>
              </w:rPr>
              <w:t>);</w:t>
            </w:r>
            <w:r w:rsidRPr="0029167E">
              <w:rPr>
                <w:rFonts w:eastAsia="Times New Roman" w:cs="Arial"/>
                <w:color w:val="000000"/>
                <w:sz w:val="12"/>
                <w:szCs w:val="12"/>
                <w:lang w:val="fr-CH" w:eastAsia="de-CH"/>
              </w:rPr>
              <w:br/>
              <w:t>CC = somme des composantes;</w:t>
            </w:r>
            <w:r w:rsidRPr="0029167E">
              <w:rPr>
                <w:rFonts w:eastAsia="Times New Roman" w:cs="Arial"/>
                <w:color w:val="000000"/>
                <w:sz w:val="12"/>
                <w:szCs w:val="12"/>
                <w:lang w:val="fr-CH" w:eastAsia="de-CH"/>
              </w:rPr>
              <w:br/>
            </w:r>
          </w:p>
        </w:tc>
        <w:tc>
          <w:tcPr>
            <w:tcW w:w="182" w:type="dxa"/>
            <w:tcBorders>
              <w:top w:val="nil"/>
              <w:left w:val="nil"/>
              <w:bottom w:val="single" w:sz="4" w:space="0" w:color="auto"/>
              <w:right w:val="nil"/>
            </w:tcBorders>
            <w:shd w:val="clear" w:color="000000" w:fill="FFFFFF"/>
            <w:vAlign w:val="bottom"/>
            <w:hideMark/>
          </w:tcPr>
          <w:p w14:paraId="0E854CD2"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single" w:sz="4" w:space="0" w:color="auto"/>
              <w:right w:val="nil"/>
            </w:tcBorders>
            <w:shd w:val="clear" w:color="000000" w:fill="F2F2F2"/>
            <w:vAlign w:val="bottom"/>
            <w:hideMark/>
          </w:tcPr>
          <w:p w14:paraId="2AE0C166" w14:textId="18B4788E"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millions de &lt;</w:t>
            </w:r>
            <w:proofErr w:type="spellStart"/>
            <w:r w:rsidRPr="0029167E">
              <w:rPr>
                <w:rFonts w:eastAsia="Times New Roman" w:cs="Arial"/>
                <w:color w:val="000000"/>
                <w:sz w:val="16"/>
                <w:szCs w:val="16"/>
                <w:lang w:val="fr-CH" w:eastAsia="de-CH"/>
              </w:rPr>
              <w:t>mon-naie</w:t>
            </w:r>
            <w:proofErr w:type="spellEnd"/>
            <w:r w:rsidRPr="0029167E">
              <w:rPr>
                <w:rFonts w:eastAsia="Times New Roman" w:cs="Arial"/>
                <w:color w:val="000000"/>
                <w:sz w:val="16"/>
                <w:szCs w:val="16"/>
                <w:lang w:val="fr-CH" w:eastAsia="de-CH"/>
              </w:rPr>
              <w:t xml:space="preserve"> du SST&gt;</w:t>
            </w:r>
          </w:p>
        </w:tc>
        <w:tc>
          <w:tcPr>
            <w:tcW w:w="490" w:type="dxa"/>
            <w:tcBorders>
              <w:top w:val="nil"/>
              <w:left w:val="nil"/>
              <w:bottom w:val="single" w:sz="4" w:space="0" w:color="auto"/>
              <w:right w:val="nil"/>
            </w:tcBorders>
            <w:shd w:val="clear" w:color="000000" w:fill="FFFFFF"/>
            <w:vAlign w:val="bottom"/>
            <w:hideMark/>
          </w:tcPr>
          <w:p w14:paraId="0B6826DF" w14:textId="77777777" w:rsidR="00A0755F" w:rsidRPr="0029167E" w:rsidRDefault="00A0755F" w:rsidP="00A0755F">
            <w:pPr>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Diff. rel. </w:t>
            </w:r>
            <w:proofErr w:type="spellStart"/>
            <w:r w:rsidRPr="0029167E">
              <w:rPr>
                <w:rFonts w:eastAsia="Times New Roman" w:cs="Arial"/>
                <w:color w:val="000000"/>
                <w:sz w:val="12"/>
                <w:szCs w:val="12"/>
                <w:lang w:val="de-CH" w:eastAsia="de-CH"/>
              </w:rPr>
              <w:t>année</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préc</w:t>
            </w:r>
            <w:proofErr w:type="spellEnd"/>
            <w:r w:rsidRPr="0029167E">
              <w:rPr>
                <w:rFonts w:eastAsia="Times New Roman" w:cs="Arial"/>
                <w:color w:val="000000"/>
                <w:sz w:val="12"/>
                <w:szCs w:val="12"/>
                <w:lang w:val="de-CH" w:eastAsia="de-CH"/>
              </w:rPr>
              <w:t>.</w:t>
            </w:r>
          </w:p>
        </w:tc>
        <w:tc>
          <w:tcPr>
            <w:tcW w:w="182" w:type="dxa"/>
            <w:tcBorders>
              <w:top w:val="nil"/>
              <w:left w:val="nil"/>
              <w:bottom w:val="single" w:sz="4" w:space="0" w:color="auto"/>
              <w:right w:val="nil"/>
            </w:tcBorders>
            <w:shd w:val="clear" w:color="000000" w:fill="FFFFFF"/>
            <w:vAlign w:val="bottom"/>
            <w:hideMark/>
          </w:tcPr>
          <w:p w14:paraId="35A7F10F"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678" w:type="dxa"/>
            <w:tcBorders>
              <w:top w:val="nil"/>
              <w:left w:val="nil"/>
              <w:bottom w:val="single" w:sz="4" w:space="0" w:color="auto"/>
              <w:right w:val="nil"/>
            </w:tcBorders>
            <w:shd w:val="clear" w:color="000000" w:fill="F2F2F2"/>
            <w:vAlign w:val="bottom"/>
            <w:hideMark/>
          </w:tcPr>
          <w:p w14:paraId="06D7A132"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 SCR</w:t>
            </w:r>
          </w:p>
        </w:tc>
        <w:tc>
          <w:tcPr>
            <w:tcW w:w="490" w:type="dxa"/>
            <w:tcBorders>
              <w:top w:val="nil"/>
              <w:left w:val="nil"/>
              <w:bottom w:val="single" w:sz="4" w:space="0" w:color="auto"/>
              <w:right w:val="nil"/>
            </w:tcBorders>
            <w:shd w:val="clear" w:color="000000" w:fill="FFFFFF"/>
            <w:vAlign w:val="bottom"/>
            <w:hideMark/>
          </w:tcPr>
          <w:p w14:paraId="194FBF5A" w14:textId="77777777" w:rsidR="00A0755F" w:rsidRPr="0029167E" w:rsidRDefault="00A0755F" w:rsidP="00A0755F">
            <w:pPr>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Diff. rel. </w:t>
            </w:r>
            <w:proofErr w:type="spellStart"/>
            <w:r w:rsidRPr="0029167E">
              <w:rPr>
                <w:rFonts w:eastAsia="Times New Roman" w:cs="Arial"/>
                <w:color w:val="000000"/>
                <w:sz w:val="12"/>
                <w:szCs w:val="12"/>
                <w:lang w:val="de-CH" w:eastAsia="de-CH"/>
              </w:rPr>
              <w:t>année</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préc</w:t>
            </w:r>
            <w:proofErr w:type="spellEnd"/>
            <w:r w:rsidRPr="0029167E">
              <w:rPr>
                <w:rFonts w:eastAsia="Times New Roman" w:cs="Arial"/>
                <w:color w:val="000000"/>
                <w:sz w:val="12"/>
                <w:szCs w:val="12"/>
                <w:lang w:val="de-CH" w:eastAsia="de-CH"/>
              </w:rPr>
              <w:t>.</w:t>
            </w:r>
          </w:p>
        </w:tc>
        <w:tc>
          <w:tcPr>
            <w:tcW w:w="216" w:type="dxa"/>
            <w:tcBorders>
              <w:top w:val="nil"/>
              <w:left w:val="nil"/>
              <w:bottom w:val="single" w:sz="4" w:space="0" w:color="auto"/>
              <w:right w:val="nil"/>
            </w:tcBorders>
            <w:shd w:val="clear" w:color="000000" w:fill="FFFFFF"/>
            <w:noWrap/>
            <w:vAlign w:val="bottom"/>
            <w:hideMark/>
          </w:tcPr>
          <w:p w14:paraId="236C9E6A"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657" w:type="dxa"/>
            <w:tcBorders>
              <w:top w:val="nil"/>
              <w:left w:val="nil"/>
              <w:bottom w:val="single" w:sz="4" w:space="0" w:color="auto"/>
              <w:right w:val="nil"/>
            </w:tcBorders>
            <w:shd w:val="clear" w:color="000000" w:fill="F2F2F2"/>
            <w:vAlign w:val="bottom"/>
            <w:hideMark/>
          </w:tcPr>
          <w:p w14:paraId="1905FD43"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Part somme du bilan SST</w:t>
            </w:r>
          </w:p>
        </w:tc>
        <w:tc>
          <w:tcPr>
            <w:tcW w:w="472" w:type="dxa"/>
            <w:tcBorders>
              <w:top w:val="nil"/>
              <w:left w:val="nil"/>
              <w:bottom w:val="single" w:sz="4" w:space="0" w:color="auto"/>
              <w:right w:val="nil"/>
            </w:tcBorders>
            <w:shd w:val="clear" w:color="000000" w:fill="FFFFFF"/>
            <w:vAlign w:val="bottom"/>
            <w:hideMark/>
          </w:tcPr>
          <w:p w14:paraId="15D1A206" w14:textId="77777777" w:rsidR="00A0755F" w:rsidRPr="0029167E" w:rsidRDefault="00A0755F" w:rsidP="00A0755F">
            <w:pPr>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Diff. rel. </w:t>
            </w:r>
            <w:proofErr w:type="spellStart"/>
            <w:r w:rsidRPr="0029167E">
              <w:rPr>
                <w:rFonts w:eastAsia="Times New Roman" w:cs="Arial"/>
                <w:color w:val="000000"/>
                <w:sz w:val="12"/>
                <w:szCs w:val="12"/>
                <w:lang w:val="de-CH" w:eastAsia="de-CH"/>
              </w:rPr>
              <w:t>année</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préc</w:t>
            </w:r>
            <w:proofErr w:type="spellEnd"/>
            <w:r w:rsidRPr="0029167E">
              <w:rPr>
                <w:rFonts w:eastAsia="Times New Roman" w:cs="Arial"/>
                <w:color w:val="000000"/>
                <w:sz w:val="12"/>
                <w:szCs w:val="12"/>
                <w:lang w:val="de-CH" w:eastAsia="de-CH"/>
              </w:rPr>
              <w:t>.</w:t>
            </w:r>
          </w:p>
        </w:tc>
        <w:tc>
          <w:tcPr>
            <w:tcW w:w="336" w:type="dxa"/>
            <w:tcBorders>
              <w:top w:val="nil"/>
              <w:left w:val="nil"/>
              <w:bottom w:val="single" w:sz="4" w:space="0" w:color="auto"/>
              <w:right w:val="nil"/>
            </w:tcBorders>
            <w:shd w:val="clear" w:color="000000" w:fill="FFFFFF"/>
            <w:vAlign w:val="bottom"/>
            <w:hideMark/>
          </w:tcPr>
          <w:p w14:paraId="264179E0"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46" w:type="dxa"/>
            <w:tcBorders>
              <w:top w:val="nil"/>
              <w:left w:val="nil"/>
              <w:bottom w:val="single" w:sz="4" w:space="0" w:color="auto"/>
              <w:right w:val="nil"/>
            </w:tcBorders>
            <w:shd w:val="clear" w:color="000000" w:fill="F2F2F2"/>
            <w:vAlign w:val="bottom"/>
            <w:hideMark/>
          </w:tcPr>
          <w:p w14:paraId="38ED5AF8" w14:textId="0E7C0EDD"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En millions de </w:t>
            </w:r>
            <w:r w:rsidR="004C17E4" w:rsidRPr="0029167E">
              <w:rPr>
                <w:rFonts w:eastAsia="Times New Roman" w:cs="Arial"/>
                <w:color w:val="000000"/>
                <w:sz w:val="16"/>
                <w:szCs w:val="16"/>
                <w:lang w:val="fr-CH" w:eastAsia="de-CH"/>
              </w:rPr>
              <w:t>&lt;</w:t>
            </w:r>
            <w:proofErr w:type="spellStart"/>
            <w:r w:rsidR="004C17E4" w:rsidRPr="0029167E">
              <w:rPr>
                <w:rFonts w:eastAsia="Times New Roman" w:cs="Arial"/>
                <w:color w:val="000000"/>
                <w:sz w:val="16"/>
                <w:szCs w:val="16"/>
                <w:lang w:val="fr-CH" w:eastAsia="de-CH"/>
              </w:rPr>
              <w:t>mon-naie</w:t>
            </w:r>
            <w:proofErr w:type="spellEnd"/>
            <w:r w:rsidR="004C17E4" w:rsidRPr="0029167E">
              <w:rPr>
                <w:rFonts w:eastAsia="Times New Roman" w:cs="Arial"/>
                <w:color w:val="000000"/>
                <w:sz w:val="16"/>
                <w:szCs w:val="16"/>
                <w:lang w:val="fr-CH" w:eastAsia="de-CH"/>
              </w:rPr>
              <w:t xml:space="preserve"> du SST&gt;</w:t>
            </w:r>
          </w:p>
        </w:tc>
        <w:tc>
          <w:tcPr>
            <w:tcW w:w="694" w:type="dxa"/>
            <w:tcBorders>
              <w:top w:val="nil"/>
              <w:left w:val="nil"/>
              <w:bottom w:val="single" w:sz="4" w:space="0" w:color="auto"/>
              <w:right w:val="nil"/>
            </w:tcBorders>
            <w:shd w:val="clear" w:color="000000" w:fill="F2F2F2"/>
            <w:vAlign w:val="bottom"/>
            <w:hideMark/>
          </w:tcPr>
          <w:p w14:paraId="04C7B8B6"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 SCR</w:t>
            </w:r>
          </w:p>
        </w:tc>
        <w:tc>
          <w:tcPr>
            <w:tcW w:w="657" w:type="dxa"/>
            <w:tcBorders>
              <w:top w:val="nil"/>
              <w:left w:val="nil"/>
              <w:bottom w:val="single" w:sz="4" w:space="0" w:color="auto"/>
              <w:right w:val="nil"/>
            </w:tcBorders>
            <w:shd w:val="clear" w:color="000000" w:fill="F2F2F2"/>
            <w:vAlign w:val="bottom"/>
            <w:hideMark/>
          </w:tcPr>
          <w:p w14:paraId="7D05BEB5"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Part somme du bilan SST</w:t>
            </w:r>
          </w:p>
        </w:tc>
      </w:tr>
      <w:tr w:rsidR="00F34C40" w:rsidRPr="0029167E" w14:paraId="25EEDA6F" w14:textId="77777777" w:rsidTr="00F34C40">
        <w:trPr>
          <w:trHeight w:val="251"/>
        </w:trPr>
        <w:tc>
          <w:tcPr>
            <w:tcW w:w="2708" w:type="dxa"/>
            <w:tcBorders>
              <w:top w:val="nil"/>
              <w:left w:val="nil"/>
              <w:bottom w:val="nil"/>
              <w:right w:val="nil"/>
            </w:tcBorders>
            <w:shd w:val="clear" w:color="auto" w:fill="auto"/>
            <w:noWrap/>
            <w:vAlign w:val="bottom"/>
            <w:hideMark/>
          </w:tcPr>
          <w:p w14:paraId="163B18EC" w14:textId="77777777" w:rsidR="00A0755F" w:rsidRPr="0029167E" w:rsidRDefault="00A0755F" w:rsidP="00A0755F">
            <w:pPr>
              <w:spacing w:line="240" w:lineRule="auto"/>
              <w:rPr>
                <w:rFonts w:eastAsia="Times New Roman" w:cs="Arial"/>
                <w:color w:val="000000"/>
                <w:sz w:val="16"/>
                <w:szCs w:val="16"/>
                <w:lang w:val="fr-CH" w:eastAsia="de-CH"/>
              </w:rPr>
            </w:pPr>
          </w:p>
        </w:tc>
        <w:tc>
          <w:tcPr>
            <w:tcW w:w="182" w:type="dxa"/>
            <w:tcBorders>
              <w:top w:val="nil"/>
              <w:left w:val="nil"/>
              <w:bottom w:val="nil"/>
              <w:right w:val="nil"/>
            </w:tcBorders>
            <w:shd w:val="clear" w:color="000000" w:fill="FFFFFF"/>
            <w:noWrap/>
            <w:vAlign w:val="bottom"/>
            <w:hideMark/>
          </w:tcPr>
          <w:p w14:paraId="7437E036"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auto" w:fill="auto"/>
            <w:noWrap/>
            <w:vAlign w:val="bottom"/>
            <w:hideMark/>
          </w:tcPr>
          <w:p w14:paraId="1EA16697" w14:textId="77777777" w:rsidR="00A0755F" w:rsidRPr="0029167E" w:rsidRDefault="00A0755F" w:rsidP="00A0755F">
            <w:pPr>
              <w:spacing w:line="240" w:lineRule="auto"/>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hideMark/>
          </w:tcPr>
          <w:p w14:paraId="30E962C8" w14:textId="77777777" w:rsidR="00A0755F" w:rsidRPr="0029167E" w:rsidRDefault="00A0755F" w:rsidP="00A0755F">
            <w:pPr>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w:t>
            </w:r>
          </w:p>
        </w:tc>
        <w:tc>
          <w:tcPr>
            <w:tcW w:w="182" w:type="dxa"/>
            <w:tcBorders>
              <w:top w:val="nil"/>
              <w:left w:val="nil"/>
              <w:bottom w:val="nil"/>
              <w:right w:val="nil"/>
            </w:tcBorders>
            <w:shd w:val="clear" w:color="000000" w:fill="FFFFFF"/>
            <w:noWrap/>
            <w:vAlign w:val="bottom"/>
            <w:hideMark/>
          </w:tcPr>
          <w:p w14:paraId="047F67C7"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678" w:type="dxa"/>
            <w:tcBorders>
              <w:top w:val="nil"/>
              <w:left w:val="nil"/>
              <w:bottom w:val="nil"/>
              <w:right w:val="nil"/>
            </w:tcBorders>
            <w:shd w:val="clear" w:color="auto" w:fill="auto"/>
            <w:noWrap/>
            <w:vAlign w:val="bottom"/>
            <w:hideMark/>
          </w:tcPr>
          <w:p w14:paraId="26BCFDF5" w14:textId="77777777" w:rsidR="00A0755F" w:rsidRPr="0029167E" w:rsidRDefault="00A0755F" w:rsidP="00A0755F">
            <w:pPr>
              <w:spacing w:line="240" w:lineRule="auto"/>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hideMark/>
          </w:tcPr>
          <w:p w14:paraId="3B67707A" w14:textId="77777777" w:rsidR="00A0755F" w:rsidRPr="0029167E" w:rsidRDefault="00A0755F" w:rsidP="00A0755F">
            <w:pPr>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w:t>
            </w:r>
          </w:p>
        </w:tc>
        <w:tc>
          <w:tcPr>
            <w:tcW w:w="216" w:type="dxa"/>
            <w:tcBorders>
              <w:top w:val="nil"/>
              <w:left w:val="nil"/>
              <w:bottom w:val="nil"/>
              <w:right w:val="nil"/>
            </w:tcBorders>
            <w:shd w:val="clear" w:color="000000" w:fill="FFFFFF"/>
            <w:noWrap/>
            <w:vAlign w:val="bottom"/>
            <w:hideMark/>
          </w:tcPr>
          <w:p w14:paraId="0A52D54F"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657" w:type="dxa"/>
            <w:tcBorders>
              <w:top w:val="nil"/>
              <w:left w:val="nil"/>
              <w:bottom w:val="nil"/>
              <w:right w:val="nil"/>
            </w:tcBorders>
            <w:shd w:val="clear" w:color="auto" w:fill="auto"/>
            <w:noWrap/>
            <w:vAlign w:val="bottom"/>
            <w:hideMark/>
          </w:tcPr>
          <w:p w14:paraId="26CDFB23" w14:textId="77777777" w:rsidR="00A0755F" w:rsidRPr="0029167E" w:rsidRDefault="00A0755F" w:rsidP="00A0755F">
            <w:pPr>
              <w:spacing w:line="240" w:lineRule="auto"/>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hideMark/>
          </w:tcPr>
          <w:p w14:paraId="47283379" w14:textId="77777777" w:rsidR="00A0755F" w:rsidRPr="0029167E" w:rsidRDefault="00A0755F" w:rsidP="00A0755F">
            <w:pPr>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w:t>
            </w:r>
          </w:p>
        </w:tc>
        <w:tc>
          <w:tcPr>
            <w:tcW w:w="336" w:type="dxa"/>
            <w:tcBorders>
              <w:top w:val="nil"/>
              <w:left w:val="nil"/>
              <w:bottom w:val="nil"/>
              <w:right w:val="nil"/>
            </w:tcBorders>
            <w:shd w:val="clear" w:color="000000" w:fill="FFFFFF"/>
            <w:noWrap/>
            <w:vAlign w:val="bottom"/>
            <w:hideMark/>
          </w:tcPr>
          <w:p w14:paraId="6C4B86EA"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46" w:type="dxa"/>
            <w:tcBorders>
              <w:top w:val="nil"/>
              <w:left w:val="nil"/>
              <w:bottom w:val="nil"/>
              <w:right w:val="nil"/>
            </w:tcBorders>
            <w:shd w:val="clear" w:color="auto" w:fill="auto"/>
            <w:noWrap/>
            <w:vAlign w:val="bottom"/>
            <w:hideMark/>
          </w:tcPr>
          <w:p w14:paraId="2883B6AC" w14:textId="77777777" w:rsidR="00A0755F" w:rsidRPr="0029167E" w:rsidRDefault="00A0755F" w:rsidP="00A0755F">
            <w:pPr>
              <w:spacing w:line="240" w:lineRule="auto"/>
              <w:rPr>
                <w:rFonts w:eastAsia="Times New Roman" w:cs="Arial"/>
                <w:color w:val="000000"/>
                <w:sz w:val="16"/>
                <w:szCs w:val="16"/>
                <w:lang w:val="fr-CH" w:eastAsia="de-CH"/>
              </w:rPr>
            </w:pPr>
          </w:p>
        </w:tc>
        <w:tc>
          <w:tcPr>
            <w:tcW w:w="694" w:type="dxa"/>
            <w:tcBorders>
              <w:top w:val="nil"/>
              <w:left w:val="nil"/>
              <w:bottom w:val="nil"/>
              <w:right w:val="nil"/>
            </w:tcBorders>
            <w:shd w:val="clear" w:color="auto" w:fill="auto"/>
            <w:noWrap/>
            <w:vAlign w:val="bottom"/>
            <w:hideMark/>
          </w:tcPr>
          <w:p w14:paraId="60039B1B" w14:textId="77777777" w:rsidR="00A0755F" w:rsidRPr="0029167E" w:rsidRDefault="00A0755F" w:rsidP="00A0755F">
            <w:pPr>
              <w:spacing w:line="240" w:lineRule="auto"/>
              <w:rPr>
                <w:rFonts w:ascii="Times New Roman" w:eastAsia="Times New Roman" w:hAnsi="Times New Roman"/>
                <w:sz w:val="20"/>
                <w:lang w:val="fr-CH" w:eastAsia="de-CH"/>
              </w:rPr>
            </w:pPr>
          </w:p>
        </w:tc>
        <w:tc>
          <w:tcPr>
            <w:tcW w:w="657" w:type="dxa"/>
            <w:tcBorders>
              <w:top w:val="nil"/>
              <w:left w:val="nil"/>
              <w:bottom w:val="nil"/>
              <w:right w:val="nil"/>
            </w:tcBorders>
            <w:shd w:val="clear" w:color="auto" w:fill="auto"/>
            <w:noWrap/>
            <w:vAlign w:val="bottom"/>
            <w:hideMark/>
          </w:tcPr>
          <w:p w14:paraId="0562449C" w14:textId="77777777" w:rsidR="00A0755F" w:rsidRPr="0029167E" w:rsidRDefault="00A0755F" w:rsidP="00A0755F">
            <w:pPr>
              <w:spacing w:line="240" w:lineRule="auto"/>
              <w:rPr>
                <w:rFonts w:ascii="Times New Roman" w:eastAsia="Times New Roman" w:hAnsi="Times New Roman"/>
                <w:sz w:val="20"/>
                <w:lang w:val="fr-CH" w:eastAsia="de-CH"/>
              </w:rPr>
            </w:pPr>
          </w:p>
        </w:tc>
      </w:tr>
      <w:tr w:rsidR="00F34C40" w:rsidRPr="0029167E" w14:paraId="79F5D9BF" w14:textId="77777777" w:rsidTr="00F34C40">
        <w:trPr>
          <w:trHeight w:val="251"/>
        </w:trPr>
        <w:tc>
          <w:tcPr>
            <w:tcW w:w="2708" w:type="dxa"/>
            <w:tcBorders>
              <w:top w:val="nil"/>
              <w:left w:val="nil"/>
              <w:bottom w:val="nil"/>
              <w:right w:val="nil"/>
            </w:tcBorders>
            <w:shd w:val="clear" w:color="000000" w:fill="D9D9D9"/>
            <w:noWrap/>
            <w:vAlign w:val="bottom"/>
            <w:hideMark/>
          </w:tcPr>
          <w:p w14:paraId="7EED1888"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Capital porteur de risque (CPR)</w:t>
            </w:r>
          </w:p>
        </w:tc>
        <w:tc>
          <w:tcPr>
            <w:tcW w:w="182" w:type="dxa"/>
            <w:tcBorders>
              <w:top w:val="nil"/>
              <w:left w:val="nil"/>
              <w:bottom w:val="nil"/>
              <w:right w:val="nil"/>
            </w:tcBorders>
            <w:shd w:val="clear" w:color="000000" w:fill="FFFFFF"/>
            <w:noWrap/>
            <w:vAlign w:val="bottom"/>
            <w:hideMark/>
          </w:tcPr>
          <w:p w14:paraId="68D316D6"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D9D9D9"/>
            <w:noWrap/>
            <w:vAlign w:val="bottom"/>
          </w:tcPr>
          <w:p w14:paraId="051FEC48" w14:textId="3B613452"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34B84625" w14:textId="5F46D4DE" w:rsidR="00A0755F" w:rsidRPr="0029167E" w:rsidRDefault="00A0755F" w:rsidP="00A0755F">
            <w:pPr>
              <w:spacing w:line="240" w:lineRule="auto"/>
              <w:jc w:val="right"/>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1C67D7EE" w14:textId="6932DCA0"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000000" w:fill="D9D9D9"/>
            <w:noWrap/>
            <w:vAlign w:val="bottom"/>
          </w:tcPr>
          <w:p w14:paraId="56D37ACF" w14:textId="04025992"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0A1B3DA1" w14:textId="4B5E8432" w:rsidR="00A0755F" w:rsidRPr="0029167E" w:rsidRDefault="00A0755F" w:rsidP="00A0755F">
            <w:pPr>
              <w:spacing w:line="240" w:lineRule="auto"/>
              <w:jc w:val="right"/>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52180894" w14:textId="4EB686CF"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000000" w:fill="D9D9D9"/>
            <w:noWrap/>
            <w:vAlign w:val="bottom"/>
          </w:tcPr>
          <w:p w14:paraId="7F0DED5A" w14:textId="7A093801" w:rsidR="00A0755F" w:rsidRPr="0029167E" w:rsidRDefault="00A0755F" w:rsidP="00A0755F">
            <w:pPr>
              <w:spacing w:line="240" w:lineRule="auto"/>
              <w:jc w:val="right"/>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tcPr>
          <w:p w14:paraId="5457A2DC" w14:textId="6B5369A8" w:rsidR="00A0755F" w:rsidRPr="0029167E" w:rsidRDefault="00A0755F" w:rsidP="00A0755F">
            <w:pPr>
              <w:spacing w:line="240" w:lineRule="auto"/>
              <w:jc w:val="right"/>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410FB3DA" w14:textId="7D9C2C10"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000000" w:fill="D9D9D9"/>
            <w:noWrap/>
            <w:vAlign w:val="bottom"/>
          </w:tcPr>
          <w:p w14:paraId="12739B8C" w14:textId="1BB1587B" w:rsidR="00A0755F" w:rsidRPr="0029167E" w:rsidRDefault="00A0755F"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000000" w:fill="D9D9D9"/>
            <w:noWrap/>
            <w:vAlign w:val="bottom"/>
          </w:tcPr>
          <w:p w14:paraId="78230C2B" w14:textId="12066DDC" w:rsidR="00A0755F" w:rsidRPr="0029167E" w:rsidRDefault="00A0755F"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000000" w:fill="D9D9D9"/>
            <w:noWrap/>
            <w:vAlign w:val="bottom"/>
          </w:tcPr>
          <w:p w14:paraId="7396C44E" w14:textId="7DE9EBC2" w:rsidR="00A0755F" w:rsidRPr="0029167E" w:rsidRDefault="00A0755F" w:rsidP="00A0755F">
            <w:pPr>
              <w:spacing w:line="240" w:lineRule="auto"/>
              <w:jc w:val="right"/>
              <w:rPr>
                <w:rFonts w:eastAsia="Times New Roman" w:cs="Arial"/>
                <w:color w:val="000000"/>
                <w:sz w:val="16"/>
                <w:szCs w:val="16"/>
                <w:lang w:val="fr-CH" w:eastAsia="de-CH"/>
              </w:rPr>
            </w:pPr>
          </w:p>
        </w:tc>
      </w:tr>
      <w:tr w:rsidR="00F34C40" w:rsidRPr="0029167E" w14:paraId="57671F73" w14:textId="77777777" w:rsidTr="00F34C40">
        <w:trPr>
          <w:trHeight w:val="251"/>
        </w:trPr>
        <w:tc>
          <w:tcPr>
            <w:tcW w:w="2708" w:type="dxa"/>
            <w:tcBorders>
              <w:top w:val="nil"/>
              <w:left w:val="nil"/>
              <w:bottom w:val="nil"/>
              <w:right w:val="nil"/>
            </w:tcBorders>
            <w:shd w:val="clear" w:color="000000" w:fill="F2F2F2"/>
            <w:noWrap/>
            <w:vAlign w:val="bottom"/>
            <w:hideMark/>
          </w:tcPr>
          <w:p w14:paraId="67AF6680" w14:textId="5C60BB00"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r w:rsidR="008F6763" w:rsidRPr="0029167E">
              <w:rPr>
                <w:rFonts w:eastAsia="Times New Roman" w:cs="Arial"/>
                <w:color w:val="000000"/>
                <w:sz w:val="16"/>
                <w:szCs w:val="16"/>
                <w:lang w:val="fr-CH" w:eastAsia="de-CH"/>
              </w:rPr>
              <w:t>Actifs</w:t>
            </w:r>
          </w:p>
        </w:tc>
        <w:tc>
          <w:tcPr>
            <w:tcW w:w="182" w:type="dxa"/>
            <w:tcBorders>
              <w:top w:val="nil"/>
              <w:left w:val="nil"/>
              <w:bottom w:val="nil"/>
              <w:right w:val="nil"/>
            </w:tcBorders>
            <w:shd w:val="clear" w:color="000000" w:fill="FFFFFF"/>
            <w:noWrap/>
            <w:vAlign w:val="bottom"/>
            <w:hideMark/>
          </w:tcPr>
          <w:p w14:paraId="4EFC2EEA"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2F2F2"/>
            <w:noWrap/>
            <w:vAlign w:val="bottom"/>
          </w:tcPr>
          <w:p w14:paraId="3BA0AEDC" w14:textId="098664C7"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1E60FE53" w14:textId="56D376EE" w:rsidR="00A0755F" w:rsidRPr="0029167E" w:rsidRDefault="00A0755F" w:rsidP="00A0755F">
            <w:pPr>
              <w:spacing w:line="240" w:lineRule="auto"/>
              <w:jc w:val="right"/>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0A0965CF" w14:textId="322BD692"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000000" w:fill="F2F2F2"/>
            <w:noWrap/>
            <w:vAlign w:val="bottom"/>
          </w:tcPr>
          <w:p w14:paraId="25937DC2" w14:textId="5D7D7CDB"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264C40DD" w14:textId="020D90ED" w:rsidR="00A0755F" w:rsidRPr="0029167E" w:rsidRDefault="00A0755F" w:rsidP="00A0755F">
            <w:pPr>
              <w:spacing w:line="240" w:lineRule="auto"/>
              <w:jc w:val="right"/>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56611967" w14:textId="3E9F585C"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66186A52" w14:textId="0ABDE9AC" w:rsidR="00A0755F" w:rsidRPr="0029167E" w:rsidRDefault="00A0755F" w:rsidP="00A0755F">
            <w:pPr>
              <w:spacing w:line="240" w:lineRule="auto"/>
              <w:jc w:val="right"/>
              <w:rPr>
                <w:rFonts w:eastAsia="Times New Roman" w:cs="Arial"/>
                <w:color w:val="000000"/>
                <w:sz w:val="16"/>
                <w:szCs w:val="16"/>
                <w:lang w:val="fr-CH" w:eastAsia="de-CH"/>
              </w:rPr>
            </w:pPr>
            <w:r w:rsidRPr="0029167E">
              <w:rPr>
                <w:rFonts w:eastAsia="Times New Roman" w:cs="Arial"/>
                <w:color w:val="000000"/>
                <w:sz w:val="16"/>
                <w:szCs w:val="16"/>
                <w:lang w:val="fr-CH" w:eastAsia="de-CH"/>
              </w:rPr>
              <w:t>100%</w:t>
            </w:r>
          </w:p>
        </w:tc>
        <w:tc>
          <w:tcPr>
            <w:tcW w:w="472" w:type="dxa"/>
            <w:tcBorders>
              <w:top w:val="nil"/>
              <w:left w:val="nil"/>
              <w:bottom w:val="nil"/>
              <w:right w:val="nil"/>
            </w:tcBorders>
            <w:shd w:val="clear" w:color="000000" w:fill="FFFFFF"/>
            <w:noWrap/>
            <w:vAlign w:val="bottom"/>
          </w:tcPr>
          <w:p w14:paraId="51B3A6D4" w14:textId="28A4E276" w:rsidR="00A0755F" w:rsidRPr="0029167E" w:rsidRDefault="00A0755F" w:rsidP="00A0755F">
            <w:pPr>
              <w:spacing w:line="240" w:lineRule="auto"/>
              <w:jc w:val="right"/>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7413E117" w14:textId="1F29FB92"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000000" w:fill="F2F2F2"/>
            <w:noWrap/>
            <w:vAlign w:val="bottom"/>
          </w:tcPr>
          <w:p w14:paraId="39AF1389" w14:textId="3BFE204D" w:rsidR="00A0755F" w:rsidRPr="0029167E" w:rsidRDefault="00A0755F"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000000" w:fill="F2F2F2"/>
            <w:noWrap/>
            <w:vAlign w:val="bottom"/>
          </w:tcPr>
          <w:p w14:paraId="0C8D4311" w14:textId="5D485BFF" w:rsidR="00A0755F" w:rsidRPr="0029167E" w:rsidRDefault="00A0755F"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2252A3EA" w14:textId="11FDC970" w:rsidR="00A0755F" w:rsidRPr="0029167E" w:rsidRDefault="00A0755F" w:rsidP="00A0755F">
            <w:pPr>
              <w:spacing w:line="240" w:lineRule="auto"/>
              <w:jc w:val="right"/>
              <w:rPr>
                <w:rFonts w:eastAsia="Times New Roman" w:cs="Arial"/>
                <w:color w:val="000000"/>
                <w:sz w:val="16"/>
                <w:szCs w:val="16"/>
                <w:lang w:val="fr-CH" w:eastAsia="de-CH"/>
              </w:rPr>
            </w:pPr>
            <w:r w:rsidRPr="0029167E">
              <w:rPr>
                <w:rFonts w:eastAsia="Times New Roman" w:cs="Arial"/>
                <w:color w:val="000000"/>
                <w:sz w:val="16"/>
                <w:szCs w:val="16"/>
                <w:lang w:val="fr-CH" w:eastAsia="de-CH"/>
              </w:rPr>
              <w:t>100%</w:t>
            </w:r>
          </w:p>
        </w:tc>
      </w:tr>
      <w:tr w:rsidR="00F34C40" w:rsidRPr="0029167E" w14:paraId="1F27D419" w14:textId="77777777" w:rsidTr="00F34C40">
        <w:trPr>
          <w:trHeight w:val="251"/>
        </w:trPr>
        <w:tc>
          <w:tcPr>
            <w:tcW w:w="2708" w:type="dxa"/>
            <w:tcBorders>
              <w:top w:val="nil"/>
              <w:left w:val="nil"/>
              <w:right w:val="nil"/>
            </w:tcBorders>
            <w:shd w:val="clear" w:color="000000" w:fill="FFFFFF"/>
            <w:noWrap/>
            <w:vAlign w:val="bottom"/>
            <w:hideMark/>
          </w:tcPr>
          <w:p w14:paraId="2A2E57A5" w14:textId="02718CD9"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fr-CH" w:eastAsia="de-CH"/>
              </w:rPr>
              <w:t xml:space="preserve"> </w:t>
            </w:r>
            <w:r w:rsidR="00C202E3" w:rsidRPr="0029167E">
              <w:rPr>
                <w:rFonts w:eastAsia="Times New Roman" w:cs="Arial"/>
                <w:color w:val="000000"/>
                <w:sz w:val="16"/>
                <w:szCs w:val="16"/>
                <w:lang w:val="de-CH" w:eastAsia="de-CH"/>
              </w:rPr>
              <w:t>Engagements</w:t>
            </w:r>
          </w:p>
        </w:tc>
        <w:tc>
          <w:tcPr>
            <w:tcW w:w="182" w:type="dxa"/>
            <w:tcBorders>
              <w:top w:val="nil"/>
              <w:left w:val="nil"/>
              <w:right w:val="nil"/>
            </w:tcBorders>
            <w:shd w:val="clear" w:color="000000" w:fill="FFFFFF"/>
            <w:noWrap/>
            <w:vAlign w:val="bottom"/>
            <w:hideMark/>
          </w:tcPr>
          <w:p w14:paraId="4EE518C0"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right w:val="nil"/>
            </w:tcBorders>
            <w:shd w:val="clear" w:color="000000" w:fill="FFFFFF"/>
            <w:noWrap/>
            <w:vAlign w:val="bottom"/>
          </w:tcPr>
          <w:p w14:paraId="45F3665A" w14:textId="4EEAC871"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right w:val="nil"/>
            </w:tcBorders>
            <w:shd w:val="clear" w:color="000000" w:fill="FFFFFF"/>
            <w:noWrap/>
            <w:vAlign w:val="bottom"/>
          </w:tcPr>
          <w:p w14:paraId="25AA540D" w14:textId="3B8DEDDB"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right w:val="nil"/>
            </w:tcBorders>
            <w:shd w:val="clear" w:color="000000" w:fill="FFFFFF"/>
            <w:noWrap/>
            <w:vAlign w:val="bottom"/>
          </w:tcPr>
          <w:p w14:paraId="126749E5" w14:textId="510803FD"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right w:val="nil"/>
            </w:tcBorders>
            <w:shd w:val="clear" w:color="000000" w:fill="FFFFFF"/>
            <w:noWrap/>
            <w:vAlign w:val="bottom"/>
          </w:tcPr>
          <w:p w14:paraId="1F8AA17F" w14:textId="59CAB82A"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right w:val="nil"/>
            </w:tcBorders>
            <w:shd w:val="clear" w:color="000000" w:fill="FFFFFF"/>
            <w:noWrap/>
            <w:vAlign w:val="bottom"/>
          </w:tcPr>
          <w:p w14:paraId="24624DAB" w14:textId="60849811"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right w:val="nil"/>
            </w:tcBorders>
            <w:shd w:val="clear" w:color="000000" w:fill="FFFFFF"/>
            <w:noWrap/>
            <w:vAlign w:val="bottom"/>
          </w:tcPr>
          <w:p w14:paraId="6A4A6C5D" w14:textId="42D42B0E"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right w:val="nil"/>
            </w:tcBorders>
            <w:shd w:val="clear" w:color="000000" w:fill="FFFFFF"/>
            <w:noWrap/>
            <w:vAlign w:val="bottom"/>
          </w:tcPr>
          <w:p w14:paraId="442C246B" w14:textId="157EF6F1"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right w:val="nil"/>
            </w:tcBorders>
            <w:shd w:val="clear" w:color="000000" w:fill="FFFFFF"/>
            <w:noWrap/>
            <w:vAlign w:val="bottom"/>
          </w:tcPr>
          <w:p w14:paraId="6C7E07A4" w14:textId="117A2235"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right w:val="nil"/>
            </w:tcBorders>
            <w:shd w:val="clear" w:color="000000" w:fill="FFFFFF"/>
            <w:noWrap/>
            <w:vAlign w:val="bottom"/>
          </w:tcPr>
          <w:p w14:paraId="39F81890" w14:textId="7B734DBC"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right w:val="nil"/>
            </w:tcBorders>
            <w:shd w:val="clear" w:color="000000" w:fill="FFFFFF"/>
            <w:noWrap/>
            <w:vAlign w:val="bottom"/>
          </w:tcPr>
          <w:p w14:paraId="7DD31B0F" w14:textId="10E6A5CC"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right w:val="nil"/>
            </w:tcBorders>
            <w:shd w:val="clear" w:color="000000" w:fill="FFFFFF"/>
            <w:noWrap/>
            <w:vAlign w:val="bottom"/>
          </w:tcPr>
          <w:p w14:paraId="26C20AFB" w14:textId="16713ABA"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right w:val="nil"/>
            </w:tcBorders>
            <w:shd w:val="clear" w:color="000000" w:fill="FFFFFF"/>
            <w:noWrap/>
            <w:vAlign w:val="bottom"/>
          </w:tcPr>
          <w:p w14:paraId="7D2C14D3" w14:textId="03D4D161" w:rsidR="00A0755F" w:rsidRPr="0029167E" w:rsidRDefault="00A0755F" w:rsidP="00A0755F">
            <w:pPr>
              <w:spacing w:line="240" w:lineRule="auto"/>
              <w:jc w:val="right"/>
              <w:rPr>
                <w:rFonts w:eastAsia="Times New Roman" w:cs="Arial"/>
                <w:color w:val="000000"/>
                <w:sz w:val="16"/>
                <w:szCs w:val="16"/>
                <w:lang w:val="de-CH" w:eastAsia="de-CH"/>
              </w:rPr>
            </w:pPr>
          </w:p>
        </w:tc>
      </w:tr>
      <w:tr w:rsidR="008F6763" w:rsidRPr="0029167E" w14:paraId="64C5E916" w14:textId="77777777" w:rsidTr="00F34C40">
        <w:trPr>
          <w:trHeight w:val="251"/>
        </w:trPr>
        <w:tc>
          <w:tcPr>
            <w:tcW w:w="2708" w:type="dxa"/>
            <w:tcBorders>
              <w:top w:val="nil"/>
              <w:left w:val="nil"/>
              <w:bottom w:val="nil"/>
              <w:right w:val="nil"/>
            </w:tcBorders>
            <w:shd w:val="clear" w:color="auto" w:fill="auto"/>
            <w:noWrap/>
            <w:vAlign w:val="bottom"/>
          </w:tcPr>
          <w:p w14:paraId="7405BA06" w14:textId="504F1C2E" w:rsidR="008F6763" w:rsidRPr="0029167E" w:rsidRDefault="008F6763"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proofErr w:type="gramStart"/>
            <w:r w:rsidRPr="0029167E">
              <w:rPr>
                <w:rFonts w:eastAsia="Times New Roman" w:cs="Arial"/>
                <w:color w:val="000000"/>
                <w:sz w:val="16"/>
                <w:szCs w:val="16"/>
                <w:lang w:val="fr-CH" w:eastAsia="de-CH"/>
              </w:rPr>
              <w:t>dont</w:t>
            </w:r>
            <w:proofErr w:type="gramEnd"/>
            <w:r w:rsidRPr="0029167E">
              <w:rPr>
                <w:rFonts w:eastAsia="Times New Roman" w:cs="Arial"/>
                <w:color w:val="000000"/>
                <w:sz w:val="16"/>
                <w:szCs w:val="16"/>
                <w:lang w:val="fr-CH" w:eastAsia="de-CH"/>
              </w:rPr>
              <w:t xml:space="preserve"> montant minimum (MVM)</w:t>
            </w:r>
          </w:p>
        </w:tc>
        <w:tc>
          <w:tcPr>
            <w:tcW w:w="182" w:type="dxa"/>
            <w:tcBorders>
              <w:top w:val="nil"/>
              <w:left w:val="nil"/>
              <w:bottom w:val="nil"/>
              <w:right w:val="nil"/>
            </w:tcBorders>
            <w:shd w:val="clear" w:color="auto" w:fill="auto"/>
            <w:noWrap/>
            <w:vAlign w:val="bottom"/>
          </w:tcPr>
          <w:p w14:paraId="1ABE7F81" w14:textId="77777777" w:rsidR="008F6763" w:rsidRPr="0029167E" w:rsidRDefault="008F6763" w:rsidP="00A0755F">
            <w:pPr>
              <w:spacing w:line="240" w:lineRule="auto"/>
              <w:rPr>
                <w:rFonts w:eastAsia="Times New Roman" w:cs="Arial"/>
                <w:color w:val="000000"/>
                <w:sz w:val="16"/>
                <w:szCs w:val="16"/>
                <w:lang w:val="fr-CH" w:eastAsia="de-CH"/>
              </w:rPr>
            </w:pPr>
          </w:p>
        </w:tc>
        <w:tc>
          <w:tcPr>
            <w:tcW w:w="728" w:type="dxa"/>
            <w:tcBorders>
              <w:top w:val="nil"/>
              <w:left w:val="nil"/>
              <w:bottom w:val="nil"/>
              <w:right w:val="nil"/>
            </w:tcBorders>
            <w:shd w:val="clear" w:color="auto" w:fill="auto"/>
            <w:noWrap/>
            <w:vAlign w:val="bottom"/>
          </w:tcPr>
          <w:p w14:paraId="192E2D24" w14:textId="77777777" w:rsidR="008F6763" w:rsidRPr="0029167E" w:rsidRDefault="008F6763"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auto" w:fill="auto"/>
            <w:noWrap/>
            <w:vAlign w:val="bottom"/>
          </w:tcPr>
          <w:p w14:paraId="1B86772D" w14:textId="77777777" w:rsidR="008F6763" w:rsidRPr="0029167E" w:rsidRDefault="008F6763" w:rsidP="00A0755F">
            <w:pPr>
              <w:spacing w:line="240" w:lineRule="auto"/>
              <w:rPr>
                <w:rFonts w:eastAsia="Times New Roman" w:cs="Arial"/>
                <w:color w:val="000000"/>
                <w:sz w:val="12"/>
                <w:szCs w:val="12"/>
                <w:lang w:val="fr-CH" w:eastAsia="de-CH"/>
              </w:rPr>
            </w:pPr>
          </w:p>
        </w:tc>
        <w:tc>
          <w:tcPr>
            <w:tcW w:w="182" w:type="dxa"/>
            <w:tcBorders>
              <w:top w:val="nil"/>
              <w:left w:val="nil"/>
              <w:bottom w:val="nil"/>
              <w:right w:val="nil"/>
            </w:tcBorders>
            <w:shd w:val="clear" w:color="auto" w:fill="auto"/>
            <w:noWrap/>
            <w:vAlign w:val="bottom"/>
          </w:tcPr>
          <w:p w14:paraId="1096BC90" w14:textId="77777777" w:rsidR="008F6763" w:rsidRPr="0029167E" w:rsidRDefault="008F6763"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auto" w:fill="auto"/>
            <w:noWrap/>
            <w:vAlign w:val="bottom"/>
          </w:tcPr>
          <w:p w14:paraId="01CC912B" w14:textId="77777777" w:rsidR="008F6763" w:rsidRPr="0029167E" w:rsidRDefault="008F6763"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auto" w:fill="auto"/>
            <w:noWrap/>
            <w:vAlign w:val="bottom"/>
          </w:tcPr>
          <w:p w14:paraId="1FE9E295" w14:textId="77777777" w:rsidR="008F6763" w:rsidRPr="0029167E" w:rsidRDefault="008F6763" w:rsidP="00A0755F">
            <w:pPr>
              <w:spacing w:line="240" w:lineRule="auto"/>
              <w:rPr>
                <w:rFonts w:eastAsia="Times New Roman" w:cs="Arial"/>
                <w:color w:val="000000"/>
                <w:sz w:val="12"/>
                <w:szCs w:val="12"/>
                <w:lang w:val="fr-CH" w:eastAsia="de-CH"/>
              </w:rPr>
            </w:pPr>
          </w:p>
        </w:tc>
        <w:tc>
          <w:tcPr>
            <w:tcW w:w="216" w:type="dxa"/>
            <w:tcBorders>
              <w:top w:val="nil"/>
              <w:left w:val="nil"/>
              <w:bottom w:val="nil"/>
              <w:right w:val="nil"/>
            </w:tcBorders>
            <w:shd w:val="clear" w:color="auto" w:fill="auto"/>
            <w:noWrap/>
            <w:vAlign w:val="bottom"/>
          </w:tcPr>
          <w:p w14:paraId="6AA63E4D" w14:textId="77777777" w:rsidR="008F6763" w:rsidRPr="0029167E" w:rsidRDefault="008F6763"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auto" w:fill="auto"/>
            <w:noWrap/>
            <w:vAlign w:val="bottom"/>
          </w:tcPr>
          <w:p w14:paraId="06B10E75" w14:textId="77777777" w:rsidR="008F6763" w:rsidRPr="0029167E" w:rsidRDefault="008F6763" w:rsidP="00A0755F">
            <w:pPr>
              <w:spacing w:line="240" w:lineRule="auto"/>
              <w:jc w:val="right"/>
              <w:rPr>
                <w:rFonts w:eastAsia="Times New Roman" w:cs="Arial"/>
                <w:color w:val="000000"/>
                <w:sz w:val="16"/>
                <w:szCs w:val="16"/>
                <w:lang w:val="fr-CH" w:eastAsia="de-CH"/>
              </w:rPr>
            </w:pPr>
          </w:p>
        </w:tc>
        <w:tc>
          <w:tcPr>
            <w:tcW w:w="472" w:type="dxa"/>
            <w:tcBorders>
              <w:top w:val="nil"/>
              <w:left w:val="nil"/>
              <w:bottom w:val="nil"/>
              <w:right w:val="nil"/>
            </w:tcBorders>
            <w:shd w:val="clear" w:color="auto" w:fill="auto"/>
            <w:noWrap/>
            <w:vAlign w:val="bottom"/>
          </w:tcPr>
          <w:p w14:paraId="518442FE" w14:textId="77777777" w:rsidR="008F6763" w:rsidRPr="0029167E" w:rsidRDefault="008F6763" w:rsidP="00A0755F">
            <w:pPr>
              <w:spacing w:line="240" w:lineRule="auto"/>
              <w:rPr>
                <w:rFonts w:eastAsia="Times New Roman" w:cs="Arial"/>
                <w:color w:val="000000"/>
                <w:sz w:val="12"/>
                <w:szCs w:val="12"/>
                <w:lang w:val="fr-CH" w:eastAsia="de-CH"/>
              </w:rPr>
            </w:pPr>
          </w:p>
        </w:tc>
        <w:tc>
          <w:tcPr>
            <w:tcW w:w="336" w:type="dxa"/>
            <w:tcBorders>
              <w:top w:val="nil"/>
              <w:left w:val="nil"/>
              <w:bottom w:val="nil"/>
              <w:right w:val="nil"/>
            </w:tcBorders>
            <w:shd w:val="clear" w:color="auto" w:fill="auto"/>
            <w:noWrap/>
            <w:vAlign w:val="bottom"/>
          </w:tcPr>
          <w:p w14:paraId="5A0AF5B8" w14:textId="77777777" w:rsidR="008F6763" w:rsidRPr="0029167E" w:rsidRDefault="008F6763"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auto" w:fill="auto"/>
            <w:noWrap/>
            <w:vAlign w:val="bottom"/>
          </w:tcPr>
          <w:p w14:paraId="71817FD0" w14:textId="77777777" w:rsidR="008F6763" w:rsidRPr="0029167E" w:rsidRDefault="008F6763"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auto" w:fill="auto"/>
            <w:noWrap/>
            <w:vAlign w:val="bottom"/>
          </w:tcPr>
          <w:p w14:paraId="101144F4" w14:textId="77777777" w:rsidR="008F6763" w:rsidRPr="0029167E" w:rsidRDefault="008F6763"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auto" w:fill="auto"/>
            <w:noWrap/>
            <w:vAlign w:val="bottom"/>
          </w:tcPr>
          <w:p w14:paraId="018EF7D2" w14:textId="77777777" w:rsidR="008F6763" w:rsidRPr="0029167E" w:rsidRDefault="008F6763" w:rsidP="00A0755F">
            <w:pPr>
              <w:spacing w:line="240" w:lineRule="auto"/>
              <w:jc w:val="right"/>
              <w:rPr>
                <w:rFonts w:eastAsia="Times New Roman" w:cs="Arial"/>
                <w:color w:val="000000"/>
                <w:sz w:val="16"/>
                <w:szCs w:val="16"/>
                <w:lang w:val="fr-CH" w:eastAsia="de-CH"/>
              </w:rPr>
            </w:pPr>
          </w:p>
        </w:tc>
      </w:tr>
      <w:tr w:rsidR="00F34C40" w:rsidRPr="0029167E" w14:paraId="0FB372C1" w14:textId="77777777" w:rsidTr="00F34C40">
        <w:trPr>
          <w:trHeight w:val="251"/>
        </w:trPr>
        <w:tc>
          <w:tcPr>
            <w:tcW w:w="2708" w:type="dxa"/>
            <w:tcBorders>
              <w:top w:val="nil"/>
              <w:left w:val="nil"/>
              <w:bottom w:val="nil"/>
              <w:right w:val="nil"/>
            </w:tcBorders>
            <w:shd w:val="clear" w:color="000000" w:fill="F2F2F2"/>
            <w:noWrap/>
            <w:vAlign w:val="bottom"/>
            <w:hideMark/>
          </w:tcPr>
          <w:p w14:paraId="560076DB" w14:textId="549746A4"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Déductions</w:t>
            </w:r>
            <w:r w:rsidR="008F6763" w:rsidRPr="0029167E">
              <w:rPr>
                <w:rFonts w:eastAsia="Times New Roman" w:cs="Arial"/>
                <w:color w:val="000000"/>
                <w:sz w:val="16"/>
                <w:szCs w:val="16"/>
                <w:lang w:val="fr-CH" w:eastAsia="de-CH"/>
              </w:rPr>
              <w:t xml:space="preserve"> et instruments de capital amortisseurs de risque (RAK)</w:t>
            </w:r>
          </w:p>
        </w:tc>
        <w:tc>
          <w:tcPr>
            <w:tcW w:w="182" w:type="dxa"/>
            <w:tcBorders>
              <w:top w:val="nil"/>
              <w:left w:val="nil"/>
              <w:bottom w:val="nil"/>
              <w:right w:val="nil"/>
            </w:tcBorders>
            <w:shd w:val="clear" w:color="000000" w:fill="FFFFFF"/>
            <w:noWrap/>
            <w:vAlign w:val="bottom"/>
            <w:hideMark/>
          </w:tcPr>
          <w:p w14:paraId="6ADC9D1A"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2F2F2"/>
            <w:noWrap/>
            <w:vAlign w:val="bottom"/>
          </w:tcPr>
          <w:p w14:paraId="2C83DDB7" w14:textId="2F3E34FA"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59DD8547" w14:textId="77FFE697" w:rsidR="00A0755F" w:rsidRPr="0029167E" w:rsidRDefault="00A0755F" w:rsidP="00A0755F">
            <w:pPr>
              <w:spacing w:line="240" w:lineRule="auto"/>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224EDFCB" w14:textId="620BC135"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000000" w:fill="F2F2F2"/>
            <w:noWrap/>
            <w:vAlign w:val="bottom"/>
          </w:tcPr>
          <w:p w14:paraId="46EC30E8" w14:textId="0CE2560C"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6E1D1D07" w14:textId="6A77B186" w:rsidR="00A0755F" w:rsidRPr="0029167E" w:rsidRDefault="00A0755F" w:rsidP="00A0755F">
            <w:pPr>
              <w:spacing w:line="240" w:lineRule="auto"/>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6DEF9332" w14:textId="241C3DB3"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1AEED688" w14:textId="67B19E8C" w:rsidR="00A0755F" w:rsidRPr="0029167E" w:rsidRDefault="00A0755F" w:rsidP="00A0755F">
            <w:pPr>
              <w:spacing w:line="240" w:lineRule="auto"/>
              <w:jc w:val="right"/>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tcPr>
          <w:p w14:paraId="57A8F280" w14:textId="7DD4CC61" w:rsidR="00A0755F" w:rsidRPr="0029167E" w:rsidRDefault="00A0755F" w:rsidP="00A0755F">
            <w:pPr>
              <w:spacing w:line="240" w:lineRule="auto"/>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076C0334" w14:textId="38B11DE6"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000000" w:fill="F2F2F2"/>
            <w:noWrap/>
            <w:vAlign w:val="bottom"/>
          </w:tcPr>
          <w:p w14:paraId="55C3882E" w14:textId="245DAC8B" w:rsidR="00A0755F" w:rsidRPr="0029167E" w:rsidRDefault="00A0755F"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000000" w:fill="F2F2F2"/>
            <w:noWrap/>
            <w:vAlign w:val="bottom"/>
          </w:tcPr>
          <w:p w14:paraId="494C1F95" w14:textId="681C650E" w:rsidR="00A0755F" w:rsidRPr="0029167E" w:rsidRDefault="00A0755F"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08646CED" w14:textId="201887BF" w:rsidR="00A0755F" w:rsidRPr="0029167E" w:rsidRDefault="00A0755F" w:rsidP="00A0755F">
            <w:pPr>
              <w:spacing w:line="240" w:lineRule="auto"/>
              <w:jc w:val="right"/>
              <w:rPr>
                <w:rFonts w:eastAsia="Times New Roman" w:cs="Arial"/>
                <w:color w:val="000000"/>
                <w:sz w:val="16"/>
                <w:szCs w:val="16"/>
                <w:lang w:val="fr-CH" w:eastAsia="de-CH"/>
              </w:rPr>
            </w:pPr>
          </w:p>
        </w:tc>
      </w:tr>
      <w:tr w:rsidR="00F34C40" w:rsidRPr="0029167E" w14:paraId="59DA569B" w14:textId="77777777" w:rsidTr="00F34C40">
        <w:trPr>
          <w:trHeight w:val="251"/>
        </w:trPr>
        <w:tc>
          <w:tcPr>
            <w:tcW w:w="2708" w:type="dxa"/>
            <w:tcBorders>
              <w:top w:val="nil"/>
              <w:left w:val="nil"/>
              <w:bottom w:val="nil"/>
              <w:right w:val="nil"/>
            </w:tcBorders>
            <w:shd w:val="clear" w:color="auto" w:fill="auto"/>
            <w:noWrap/>
            <w:vAlign w:val="bottom"/>
            <w:hideMark/>
          </w:tcPr>
          <w:p w14:paraId="7246017E" w14:textId="77777777" w:rsidR="00A0755F" w:rsidRPr="0029167E" w:rsidRDefault="00A0755F" w:rsidP="00A0755F">
            <w:pPr>
              <w:spacing w:line="240" w:lineRule="auto"/>
              <w:jc w:val="right"/>
              <w:rPr>
                <w:rFonts w:eastAsia="Times New Roman" w:cs="Arial"/>
                <w:color w:val="000000"/>
                <w:sz w:val="16"/>
                <w:szCs w:val="16"/>
                <w:lang w:val="fr-CH" w:eastAsia="de-CH"/>
              </w:rPr>
            </w:pPr>
          </w:p>
        </w:tc>
        <w:tc>
          <w:tcPr>
            <w:tcW w:w="182" w:type="dxa"/>
            <w:tcBorders>
              <w:top w:val="nil"/>
              <w:left w:val="nil"/>
              <w:bottom w:val="nil"/>
              <w:right w:val="nil"/>
            </w:tcBorders>
            <w:shd w:val="clear" w:color="000000" w:fill="FFFFFF"/>
            <w:noWrap/>
            <w:vAlign w:val="bottom"/>
            <w:hideMark/>
          </w:tcPr>
          <w:p w14:paraId="02B44580"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auto" w:fill="auto"/>
            <w:noWrap/>
            <w:vAlign w:val="bottom"/>
          </w:tcPr>
          <w:p w14:paraId="58DAE364" w14:textId="77777777" w:rsidR="00A0755F" w:rsidRPr="0029167E" w:rsidRDefault="00A0755F" w:rsidP="00A0755F">
            <w:pPr>
              <w:spacing w:line="240" w:lineRule="auto"/>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60524D65" w14:textId="2A35EC00" w:rsidR="00A0755F" w:rsidRPr="0029167E" w:rsidRDefault="00A0755F" w:rsidP="00A0755F">
            <w:pPr>
              <w:spacing w:line="240" w:lineRule="auto"/>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506FF2E8" w14:textId="7636AA73"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auto" w:fill="auto"/>
            <w:noWrap/>
            <w:vAlign w:val="bottom"/>
          </w:tcPr>
          <w:p w14:paraId="71C6989A" w14:textId="77777777" w:rsidR="00A0755F" w:rsidRPr="0029167E" w:rsidRDefault="00A0755F" w:rsidP="00A0755F">
            <w:pPr>
              <w:spacing w:line="240" w:lineRule="auto"/>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6AD9427B" w14:textId="1AA2E4F7" w:rsidR="00A0755F" w:rsidRPr="0029167E" w:rsidRDefault="00A0755F" w:rsidP="00A0755F">
            <w:pPr>
              <w:spacing w:line="240" w:lineRule="auto"/>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2BD85050" w14:textId="359E72B2"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auto" w:fill="auto"/>
            <w:noWrap/>
            <w:vAlign w:val="bottom"/>
          </w:tcPr>
          <w:p w14:paraId="248DC8A2" w14:textId="77777777" w:rsidR="00A0755F" w:rsidRPr="0029167E" w:rsidRDefault="00A0755F" w:rsidP="00A0755F">
            <w:pPr>
              <w:spacing w:line="240" w:lineRule="auto"/>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tcPr>
          <w:p w14:paraId="6E56B1D6" w14:textId="4556FFC1" w:rsidR="00A0755F" w:rsidRPr="0029167E" w:rsidRDefault="00A0755F" w:rsidP="00A0755F">
            <w:pPr>
              <w:spacing w:line="240" w:lineRule="auto"/>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0EF1476C" w14:textId="00833A0F"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auto" w:fill="auto"/>
            <w:noWrap/>
            <w:vAlign w:val="bottom"/>
          </w:tcPr>
          <w:p w14:paraId="594DA445" w14:textId="77777777" w:rsidR="00A0755F" w:rsidRPr="0029167E" w:rsidRDefault="00A0755F" w:rsidP="00A0755F">
            <w:pPr>
              <w:spacing w:line="240" w:lineRule="auto"/>
              <w:rPr>
                <w:rFonts w:eastAsia="Times New Roman" w:cs="Arial"/>
                <w:color w:val="000000"/>
                <w:sz w:val="16"/>
                <w:szCs w:val="16"/>
                <w:lang w:val="fr-CH" w:eastAsia="de-CH"/>
              </w:rPr>
            </w:pPr>
          </w:p>
        </w:tc>
        <w:tc>
          <w:tcPr>
            <w:tcW w:w="694" w:type="dxa"/>
            <w:tcBorders>
              <w:top w:val="nil"/>
              <w:left w:val="nil"/>
              <w:bottom w:val="nil"/>
              <w:right w:val="nil"/>
            </w:tcBorders>
            <w:shd w:val="clear" w:color="auto" w:fill="auto"/>
            <w:noWrap/>
            <w:vAlign w:val="bottom"/>
          </w:tcPr>
          <w:p w14:paraId="12A3C116" w14:textId="77777777" w:rsidR="00A0755F" w:rsidRPr="0029167E" w:rsidRDefault="00A0755F" w:rsidP="00A0755F">
            <w:pPr>
              <w:spacing w:line="240" w:lineRule="auto"/>
              <w:rPr>
                <w:rFonts w:ascii="Times New Roman" w:eastAsia="Times New Roman" w:hAnsi="Times New Roman"/>
                <w:sz w:val="20"/>
                <w:lang w:val="fr-CH" w:eastAsia="de-CH"/>
              </w:rPr>
            </w:pPr>
          </w:p>
        </w:tc>
        <w:tc>
          <w:tcPr>
            <w:tcW w:w="657" w:type="dxa"/>
            <w:tcBorders>
              <w:top w:val="nil"/>
              <w:left w:val="nil"/>
              <w:bottom w:val="nil"/>
              <w:right w:val="nil"/>
            </w:tcBorders>
            <w:shd w:val="clear" w:color="auto" w:fill="auto"/>
            <w:noWrap/>
            <w:vAlign w:val="bottom"/>
          </w:tcPr>
          <w:p w14:paraId="2F33308D" w14:textId="77777777" w:rsidR="00A0755F" w:rsidRPr="0029167E" w:rsidRDefault="00A0755F" w:rsidP="00A0755F">
            <w:pPr>
              <w:spacing w:line="240" w:lineRule="auto"/>
              <w:rPr>
                <w:rFonts w:ascii="Times New Roman" w:eastAsia="Times New Roman" w:hAnsi="Times New Roman"/>
                <w:sz w:val="20"/>
                <w:lang w:val="fr-CH" w:eastAsia="de-CH"/>
              </w:rPr>
            </w:pPr>
          </w:p>
        </w:tc>
      </w:tr>
      <w:tr w:rsidR="00F34C40" w:rsidRPr="0029167E" w14:paraId="0B138DBD" w14:textId="77777777" w:rsidTr="00F34C40">
        <w:trPr>
          <w:trHeight w:val="251"/>
        </w:trPr>
        <w:tc>
          <w:tcPr>
            <w:tcW w:w="2708" w:type="dxa"/>
            <w:tcBorders>
              <w:top w:val="nil"/>
              <w:left w:val="nil"/>
              <w:bottom w:val="nil"/>
              <w:right w:val="nil"/>
            </w:tcBorders>
            <w:shd w:val="clear" w:color="000000" w:fill="D9D9D9"/>
            <w:noWrap/>
            <w:vAlign w:val="bottom"/>
            <w:hideMark/>
          </w:tcPr>
          <w:p w14:paraId="283959CB"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Capital </w:t>
            </w:r>
            <w:proofErr w:type="spellStart"/>
            <w:r w:rsidRPr="0029167E">
              <w:rPr>
                <w:rFonts w:eastAsia="Times New Roman" w:cs="Arial"/>
                <w:color w:val="000000"/>
                <w:sz w:val="16"/>
                <w:szCs w:val="16"/>
                <w:lang w:val="de-CH" w:eastAsia="de-CH"/>
              </w:rPr>
              <w:t>cible</w:t>
            </w:r>
            <w:proofErr w:type="spellEnd"/>
            <w:r w:rsidRPr="0029167E">
              <w:rPr>
                <w:rFonts w:eastAsia="Times New Roman" w:cs="Arial"/>
                <w:color w:val="000000"/>
                <w:sz w:val="16"/>
                <w:szCs w:val="16"/>
                <w:lang w:val="de-CH" w:eastAsia="de-CH"/>
              </w:rPr>
              <w:t xml:space="preserve"> (CC)</w:t>
            </w:r>
          </w:p>
        </w:tc>
        <w:tc>
          <w:tcPr>
            <w:tcW w:w="182" w:type="dxa"/>
            <w:tcBorders>
              <w:top w:val="nil"/>
              <w:left w:val="nil"/>
              <w:bottom w:val="nil"/>
              <w:right w:val="nil"/>
            </w:tcBorders>
            <w:shd w:val="clear" w:color="000000" w:fill="FFFFFF"/>
            <w:noWrap/>
            <w:vAlign w:val="bottom"/>
            <w:hideMark/>
          </w:tcPr>
          <w:p w14:paraId="3B368049"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D9D9D9"/>
            <w:noWrap/>
            <w:vAlign w:val="bottom"/>
          </w:tcPr>
          <w:p w14:paraId="34E44B8F" w14:textId="1CA8BAAA"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35337B07" w14:textId="1DFD6216"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1303795D" w14:textId="20BD6CA3"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D9D9D9"/>
            <w:noWrap/>
            <w:vAlign w:val="bottom"/>
          </w:tcPr>
          <w:p w14:paraId="075392A5" w14:textId="12C8143F"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2C2D7DB6" w14:textId="3E530A8A"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683C8AAD" w14:textId="53E2C958"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D9D9D9"/>
            <w:noWrap/>
            <w:vAlign w:val="bottom"/>
          </w:tcPr>
          <w:p w14:paraId="75A10DB3" w14:textId="0C668401"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3E9779B9" w14:textId="76C55BFA"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5425850C" w14:textId="6100CD00"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D9D9D9"/>
            <w:noWrap/>
            <w:vAlign w:val="bottom"/>
          </w:tcPr>
          <w:p w14:paraId="3E6E0B34" w14:textId="484382E1"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D9D9D9"/>
            <w:noWrap/>
            <w:vAlign w:val="bottom"/>
          </w:tcPr>
          <w:p w14:paraId="1EB0AEAC" w14:textId="59FFE00F"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D9D9D9"/>
            <w:noWrap/>
            <w:vAlign w:val="bottom"/>
          </w:tcPr>
          <w:p w14:paraId="7B29BBB8" w14:textId="71AB76F7"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3E8F9B5B" w14:textId="77777777" w:rsidTr="00F34C40">
        <w:trPr>
          <w:trHeight w:val="251"/>
        </w:trPr>
        <w:tc>
          <w:tcPr>
            <w:tcW w:w="2708" w:type="dxa"/>
            <w:tcBorders>
              <w:top w:val="nil"/>
              <w:left w:val="nil"/>
              <w:bottom w:val="nil"/>
              <w:right w:val="nil"/>
            </w:tcBorders>
            <w:shd w:val="clear" w:color="000000" w:fill="F2F2F2"/>
            <w:noWrap/>
            <w:vAlign w:val="bottom"/>
            <w:hideMark/>
          </w:tcPr>
          <w:p w14:paraId="083143EF" w14:textId="4F4C2EA5"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Risque</w:t>
            </w:r>
            <w:r w:rsidR="006A7CC3" w:rsidRPr="0029167E">
              <w:rPr>
                <w:rFonts w:eastAsia="Times New Roman" w:cs="Arial"/>
                <w:color w:val="000000"/>
                <w:sz w:val="16"/>
                <w:szCs w:val="16"/>
                <w:lang w:val="de-CH" w:eastAsia="de-CH"/>
              </w:rPr>
              <w:t>s</w:t>
            </w:r>
            <w:proofErr w:type="spellEnd"/>
            <w:r w:rsidRPr="0029167E">
              <w:rPr>
                <w:rFonts w:eastAsia="Times New Roman" w:cs="Arial"/>
                <w:color w:val="000000"/>
                <w:sz w:val="16"/>
                <w:szCs w:val="16"/>
                <w:lang w:val="de-CH" w:eastAsia="de-CH"/>
              </w:rPr>
              <w:t xml:space="preserve"> de </w:t>
            </w:r>
            <w:proofErr w:type="spellStart"/>
            <w:r w:rsidRPr="0029167E">
              <w:rPr>
                <w:rFonts w:eastAsia="Times New Roman" w:cs="Arial"/>
                <w:color w:val="000000"/>
                <w:sz w:val="16"/>
                <w:szCs w:val="16"/>
                <w:lang w:val="de-CH" w:eastAsia="de-CH"/>
              </w:rPr>
              <w:t>marché</w:t>
            </w:r>
            <w:proofErr w:type="spellEnd"/>
          </w:p>
        </w:tc>
        <w:tc>
          <w:tcPr>
            <w:tcW w:w="182" w:type="dxa"/>
            <w:tcBorders>
              <w:top w:val="nil"/>
              <w:left w:val="nil"/>
              <w:bottom w:val="nil"/>
              <w:right w:val="nil"/>
            </w:tcBorders>
            <w:shd w:val="clear" w:color="000000" w:fill="FFFFFF"/>
            <w:noWrap/>
            <w:vAlign w:val="bottom"/>
            <w:hideMark/>
          </w:tcPr>
          <w:p w14:paraId="6507EB1C"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2F2F2"/>
            <w:noWrap/>
            <w:vAlign w:val="bottom"/>
          </w:tcPr>
          <w:p w14:paraId="7BD36F5A" w14:textId="61724924"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7963DC42" w14:textId="650A913A"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0705C6E4" w14:textId="2EAE0535"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2F2F2"/>
            <w:noWrap/>
            <w:vAlign w:val="bottom"/>
          </w:tcPr>
          <w:p w14:paraId="03ABD680" w14:textId="1166C55C"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72508C6B" w14:textId="393DC2CB"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1727CD40" w14:textId="04D6A327"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6CF9C4C6" w14:textId="3B85533A"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44FEC66E" w14:textId="46AED099"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7D0F5661" w14:textId="7F0D9234"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2F2F2"/>
            <w:noWrap/>
            <w:vAlign w:val="bottom"/>
          </w:tcPr>
          <w:p w14:paraId="5071C112" w14:textId="7054C4C4"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2F2F2"/>
            <w:noWrap/>
            <w:vAlign w:val="bottom"/>
          </w:tcPr>
          <w:p w14:paraId="3708B6DE" w14:textId="7BE3E1A7"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645C28A1" w14:textId="100DC8FA"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0DD670E8" w14:textId="77777777" w:rsidTr="00F34C40">
        <w:trPr>
          <w:trHeight w:val="251"/>
        </w:trPr>
        <w:tc>
          <w:tcPr>
            <w:tcW w:w="2708" w:type="dxa"/>
            <w:tcBorders>
              <w:top w:val="nil"/>
              <w:left w:val="nil"/>
              <w:bottom w:val="nil"/>
              <w:right w:val="nil"/>
            </w:tcBorders>
            <w:shd w:val="clear" w:color="000000" w:fill="FFFFFF"/>
            <w:noWrap/>
            <w:vAlign w:val="bottom"/>
            <w:hideMark/>
          </w:tcPr>
          <w:p w14:paraId="2647B6FF" w14:textId="7D08357A"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Risque</w:t>
            </w:r>
            <w:r w:rsidR="006A7CC3" w:rsidRPr="0029167E">
              <w:rPr>
                <w:rFonts w:eastAsia="Times New Roman" w:cs="Arial"/>
                <w:color w:val="000000"/>
                <w:sz w:val="16"/>
                <w:szCs w:val="16"/>
                <w:lang w:val="de-CH" w:eastAsia="de-CH"/>
              </w:rPr>
              <w:t>s</w:t>
            </w:r>
            <w:proofErr w:type="spellEnd"/>
            <w:r w:rsidRPr="0029167E">
              <w:rPr>
                <w:rFonts w:eastAsia="Times New Roman" w:cs="Arial"/>
                <w:color w:val="000000"/>
                <w:sz w:val="16"/>
                <w:szCs w:val="16"/>
                <w:lang w:val="de-CH" w:eastAsia="de-CH"/>
              </w:rPr>
              <w:t xml:space="preserve"> de </w:t>
            </w:r>
            <w:proofErr w:type="spellStart"/>
            <w:r w:rsidRPr="0029167E">
              <w:rPr>
                <w:rFonts w:eastAsia="Times New Roman" w:cs="Arial"/>
                <w:color w:val="000000"/>
                <w:sz w:val="16"/>
                <w:szCs w:val="16"/>
                <w:lang w:val="de-CH" w:eastAsia="de-CH"/>
              </w:rPr>
              <w:t>crédit</w:t>
            </w:r>
            <w:proofErr w:type="spellEnd"/>
          </w:p>
        </w:tc>
        <w:tc>
          <w:tcPr>
            <w:tcW w:w="182" w:type="dxa"/>
            <w:tcBorders>
              <w:top w:val="nil"/>
              <w:left w:val="nil"/>
              <w:bottom w:val="nil"/>
              <w:right w:val="nil"/>
            </w:tcBorders>
            <w:shd w:val="clear" w:color="000000" w:fill="FFFFFF"/>
            <w:noWrap/>
            <w:vAlign w:val="bottom"/>
            <w:hideMark/>
          </w:tcPr>
          <w:p w14:paraId="28440C4F"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tcPr>
          <w:p w14:paraId="55990AF7" w14:textId="39D5F3F1"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6B467E85" w14:textId="3FC313A8"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0A709786" w14:textId="1F209364"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FFFFF"/>
            <w:noWrap/>
            <w:vAlign w:val="bottom"/>
          </w:tcPr>
          <w:p w14:paraId="1C71B60A" w14:textId="76EA8C98"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5161669D" w14:textId="60BABCD1"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20AA6BBB" w14:textId="007D4488"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44F39E7B" w14:textId="50DB19E5"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51139B57" w14:textId="18AD712A"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783B3D75" w14:textId="613711A9"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FFFFF"/>
            <w:noWrap/>
            <w:vAlign w:val="bottom"/>
          </w:tcPr>
          <w:p w14:paraId="13B19E14" w14:textId="70B169DC"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FFFFF"/>
            <w:noWrap/>
            <w:vAlign w:val="bottom"/>
          </w:tcPr>
          <w:p w14:paraId="200A2063" w14:textId="02E39AAC"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3F893581" w14:textId="786CD991"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2AFA2681" w14:textId="77777777" w:rsidTr="00F34C40">
        <w:trPr>
          <w:trHeight w:val="251"/>
        </w:trPr>
        <w:tc>
          <w:tcPr>
            <w:tcW w:w="2708" w:type="dxa"/>
            <w:tcBorders>
              <w:top w:val="nil"/>
              <w:left w:val="nil"/>
              <w:bottom w:val="nil"/>
              <w:right w:val="nil"/>
            </w:tcBorders>
            <w:shd w:val="clear" w:color="000000" w:fill="F2F2F2"/>
            <w:noWrap/>
            <w:vAlign w:val="bottom"/>
            <w:hideMark/>
          </w:tcPr>
          <w:p w14:paraId="76B61BFE" w14:textId="3CCCE1C6" w:rsidR="00A0755F" w:rsidRPr="0029167E" w:rsidRDefault="006A7CC3"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w:t>
            </w:r>
            <w:r w:rsidR="00A0755F" w:rsidRPr="0029167E">
              <w:rPr>
                <w:rFonts w:eastAsia="Times New Roman" w:cs="Arial"/>
                <w:color w:val="000000"/>
                <w:sz w:val="16"/>
                <w:szCs w:val="16"/>
                <w:lang w:val="de-CH" w:eastAsia="de-CH"/>
              </w:rPr>
              <w:t>isque</w:t>
            </w:r>
            <w:r w:rsidRPr="0029167E">
              <w:rPr>
                <w:rFonts w:eastAsia="Times New Roman" w:cs="Arial"/>
                <w:color w:val="000000"/>
                <w:sz w:val="16"/>
                <w:szCs w:val="16"/>
                <w:lang w:val="de-CH" w:eastAsia="de-CH"/>
              </w:rPr>
              <w:t>s</w:t>
            </w:r>
            <w:proofErr w:type="spellEnd"/>
            <w:r w:rsidR="00A0755F" w:rsidRPr="0029167E">
              <w:rPr>
                <w:rFonts w:eastAsia="Times New Roman" w:cs="Arial"/>
                <w:color w:val="000000"/>
                <w:sz w:val="16"/>
                <w:szCs w:val="16"/>
                <w:lang w:val="de-CH" w:eastAsia="de-CH"/>
              </w:rPr>
              <w:t xml:space="preserve"> </w:t>
            </w:r>
            <w:proofErr w:type="spellStart"/>
            <w:r w:rsidR="00A0755F" w:rsidRPr="0029167E">
              <w:rPr>
                <w:rFonts w:eastAsia="Times New Roman" w:cs="Arial"/>
                <w:color w:val="000000"/>
                <w:sz w:val="16"/>
                <w:szCs w:val="16"/>
                <w:lang w:val="de-CH" w:eastAsia="de-CH"/>
              </w:rPr>
              <w:t>d’assurance</w:t>
            </w:r>
            <w:proofErr w:type="spellEnd"/>
          </w:p>
        </w:tc>
        <w:tc>
          <w:tcPr>
            <w:tcW w:w="182" w:type="dxa"/>
            <w:tcBorders>
              <w:top w:val="nil"/>
              <w:left w:val="nil"/>
              <w:bottom w:val="nil"/>
              <w:right w:val="nil"/>
            </w:tcBorders>
            <w:shd w:val="clear" w:color="000000" w:fill="FFFFFF"/>
            <w:noWrap/>
            <w:vAlign w:val="bottom"/>
            <w:hideMark/>
          </w:tcPr>
          <w:p w14:paraId="435CC374"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2F2F2"/>
            <w:noWrap/>
            <w:vAlign w:val="bottom"/>
          </w:tcPr>
          <w:p w14:paraId="58C30D6F" w14:textId="2FA1B296"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4DE7426D" w14:textId="7E58CC47"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3BEC270A" w14:textId="32D3B1CD"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2F2F2"/>
            <w:noWrap/>
            <w:vAlign w:val="bottom"/>
          </w:tcPr>
          <w:p w14:paraId="6DA2837F" w14:textId="10309513"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0E9B8950" w14:textId="37353B4C"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7FEF845F" w14:textId="035A3879"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22B62733" w14:textId="5D683F88"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410A9E94" w14:textId="38061BE0"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4F725F71" w14:textId="16F45FA6"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2F2F2"/>
            <w:noWrap/>
            <w:vAlign w:val="bottom"/>
          </w:tcPr>
          <w:p w14:paraId="71C45D6C" w14:textId="27237962"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2F2F2"/>
            <w:noWrap/>
            <w:vAlign w:val="bottom"/>
          </w:tcPr>
          <w:p w14:paraId="1540DD3E" w14:textId="6812751B"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7474414D" w14:textId="5FFC2B35"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4E044A6E" w14:textId="77777777" w:rsidTr="00F34C40">
        <w:trPr>
          <w:trHeight w:val="251"/>
        </w:trPr>
        <w:tc>
          <w:tcPr>
            <w:tcW w:w="2708" w:type="dxa"/>
            <w:tcBorders>
              <w:top w:val="nil"/>
              <w:left w:val="nil"/>
              <w:bottom w:val="nil"/>
              <w:right w:val="nil"/>
            </w:tcBorders>
            <w:shd w:val="clear" w:color="000000" w:fill="FFFFFF"/>
            <w:noWrap/>
            <w:vAlign w:val="bottom"/>
            <w:hideMark/>
          </w:tcPr>
          <w:p w14:paraId="59A3DC55"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Effet de </w:t>
            </w:r>
            <w:proofErr w:type="spellStart"/>
            <w:r w:rsidRPr="0029167E">
              <w:rPr>
                <w:rFonts w:eastAsia="Times New Roman" w:cs="Arial"/>
                <w:color w:val="000000"/>
                <w:sz w:val="16"/>
                <w:szCs w:val="16"/>
                <w:lang w:val="de-CH" w:eastAsia="de-CH"/>
              </w:rPr>
              <w:t>diversification</w:t>
            </w:r>
            <w:proofErr w:type="spellEnd"/>
          </w:p>
        </w:tc>
        <w:tc>
          <w:tcPr>
            <w:tcW w:w="182" w:type="dxa"/>
            <w:tcBorders>
              <w:top w:val="nil"/>
              <w:left w:val="nil"/>
              <w:bottom w:val="nil"/>
              <w:right w:val="nil"/>
            </w:tcBorders>
            <w:shd w:val="clear" w:color="000000" w:fill="FFFFFF"/>
            <w:noWrap/>
            <w:vAlign w:val="bottom"/>
            <w:hideMark/>
          </w:tcPr>
          <w:p w14:paraId="7E488EEE"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tcPr>
          <w:p w14:paraId="40A02970" w14:textId="5002B45F"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5B627398" w14:textId="717FD45C"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6AF97A1D" w14:textId="4EBADB67"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FFFFF"/>
            <w:noWrap/>
            <w:vAlign w:val="bottom"/>
          </w:tcPr>
          <w:p w14:paraId="7FCE99F3" w14:textId="6D9D8316"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33F50361" w14:textId="7475FDFB"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598F5CB4" w14:textId="06FEB518"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6BE455A1" w14:textId="22969C81"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31B60570" w14:textId="5DEB2FD3"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2EFB6E95" w14:textId="5C8B0FD4"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FFFFF"/>
            <w:noWrap/>
            <w:vAlign w:val="bottom"/>
          </w:tcPr>
          <w:p w14:paraId="7ECE1C3F" w14:textId="07261F4A"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FFFFF"/>
            <w:noWrap/>
            <w:vAlign w:val="bottom"/>
          </w:tcPr>
          <w:p w14:paraId="441EA016" w14:textId="459884A9"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65F047ED" w14:textId="694CE275"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2783DC51" w14:textId="77777777" w:rsidTr="00F34C40">
        <w:trPr>
          <w:trHeight w:val="251"/>
        </w:trPr>
        <w:tc>
          <w:tcPr>
            <w:tcW w:w="2708" w:type="dxa"/>
            <w:tcBorders>
              <w:top w:val="nil"/>
              <w:left w:val="nil"/>
              <w:bottom w:val="nil"/>
              <w:right w:val="nil"/>
            </w:tcBorders>
            <w:shd w:val="clear" w:color="000000" w:fill="F2F2F2"/>
            <w:noWrap/>
            <w:vAlign w:val="bottom"/>
            <w:hideMark/>
          </w:tcPr>
          <w:p w14:paraId="02F741B2" w14:textId="77777777" w:rsidR="004C1C1B"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r w:rsidR="004C1C1B" w:rsidRPr="0029167E">
              <w:rPr>
                <w:rFonts w:eastAsia="Times New Roman" w:cs="Arial"/>
                <w:color w:val="000000"/>
                <w:sz w:val="16"/>
                <w:szCs w:val="16"/>
                <w:lang w:val="fr-CH" w:eastAsia="de-CH"/>
              </w:rPr>
              <w:t xml:space="preserve">Négatif du </w:t>
            </w:r>
          </w:p>
          <w:p w14:paraId="15A8370E" w14:textId="321968D6" w:rsidR="00A0755F" w:rsidRPr="0029167E" w:rsidRDefault="004C1C1B"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proofErr w:type="gramStart"/>
            <w:r w:rsidRPr="0029167E">
              <w:rPr>
                <w:rFonts w:eastAsia="Times New Roman" w:cs="Arial"/>
                <w:color w:val="000000"/>
                <w:sz w:val="16"/>
                <w:szCs w:val="16"/>
                <w:lang w:val="fr-CH" w:eastAsia="de-CH"/>
              </w:rPr>
              <w:t>r</w:t>
            </w:r>
            <w:r w:rsidR="00A0755F" w:rsidRPr="0029167E">
              <w:rPr>
                <w:rFonts w:eastAsia="Times New Roman" w:cs="Arial"/>
                <w:color w:val="000000"/>
                <w:sz w:val="16"/>
                <w:szCs w:val="16"/>
                <w:lang w:val="fr-CH" w:eastAsia="de-CH"/>
              </w:rPr>
              <w:t>ésultat</w:t>
            </w:r>
            <w:proofErr w:type="gramEnd"/>
            <w:r w:rsidR="00A0755F" w:rsidRPr="0029167E">
              <w:rPr>
                <w:rFonts w:eastAsia="Times New Roman" w:cs="Arial"/>
                <w:color w:val="000000"/>
                <w:sz w:val="16"/>
                <w:szCs w:val="16"/>
                <w:lang w:val="fr-CH" w:eastAsia="de-CH"/>
              </w:rPr>
              <w:t xml:space="preserve"> financier attendu </w:t>
            </w:r>
          </w:p>
        </w:tc>
        <w:tc>
          <w:tcPr>
            <w:tcW w:w="182" w:type="dxa"/>
            <w:tcBorders>
              <w:top w:val="nil"/>
              <w:left w:val="nil"/>
              <w:bottom w:val="nil"/>
              <w:right w:val="nil"/>
            </w:tcBorders>
            <w:shd w:val="clear" w:color="000000" w:fill="FFFFFF"/>
            <w:noWrap/>
            <w:vAlign w:val="bottom"/>
            <w:hideMark/>
          </w:tcPr>
          <w:p w14:paraId="7154C66F"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2F2F2"/>
            <w:noWrap/>
            <w:vAlign w:val="bottom"/>
          </w:tcPr>
          <w:p w14:paraId="5C4D92EC" w14:textId="5FCC004F"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270A58A7" w14:textId="6048B170" w:rsidR="00A0755F" w:rsidRPr="0029167E" w:rsidRDefault="00A0755F" w:rsidP="00A0755F">
            <w:pPr>
              <w:spacing w:line="240" w:lineRule="auto"/>
              <w:jc w:val="right"/>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52F7CE3E" w14:textId="7B17EF6A"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000000" w:fill="F2F2F2"/>
            <w:noWrap/>
            <w:vAlign w:val="bottom"/>
          </w:tcPr>
          <w:p w14:paraId="07AFF69F" w14:textId="13D55B30"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0494D9ED" w14:textId="7DC1EE06" w:rsidR="00A0755F" w:rsidRPr="0029167E" w:rsidRDefault="00A0755F" w:rsidP="00A0755F">
            <w:pPr>
              <w:spacing w:line="240" w:lineRule="auto"/>
              <w:jc w:val="right"/>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5D791A5C" w14:textId="5E2648C1"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09F51D48" w14:textId="21C6AEA2" w:rsidR="00A0755F" w:rsidRPr="0029167E" w:rsidRDefault="00A0755F" w:rsidP="00A0755F">
            <w:pPr>
              <w:spacing w:line="240" w:lineRule="auto"/>
              <w:jc w:val="right"/>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tcPr>
          <w:p w14:paraId="1B710F2D" w14:textId="20596D66" w:rsidR="00A0755F" w:rsidRPr="0029167E" w:rsidRDefault="00A0755F" w:rsidP="00A0755F">
            <w:pPr>
              <w:spacing w:line="240" w:lineRule="auto"/>
              <w:jc w:val="right"/>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5B5FF7C7" w14:textId="6436AB60"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000000" w:fill="F2F2F2"/>
            <w:noWrap/>
            <w:vAlign w:val="bottom"/>
          </w:tcPr>
          <w:p w14:paraId="0BB1839C" w14:textId="16D77F2D" w:rsidR="00A0755F" w:rsidRPr="0029167E" w:rsidRDefault="00A0755F"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000000" w:fill="F2F2F2"/>
            <w:noWrap/>
            <w:vAlign w:val="bottom"/>
          </w:tcPr>
          <w:p w14:paraId="3412A3E1" w14:textId="198B7A17" w:rsidR="00A0755F" w:rsidRPr="0029167E" w:rsidRDefault="00A0755F"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2F2F2"/>
            <w:noWrap/>
            <w:vAlign w:val="bottom"/>
          </w:tcPr>
          <w:p w14:paraId="4A25CF05" w14:textId="12CE9088" w:rsidR="00A0755F" w:rsidRPr="0029167E" w:rsidRDefault="00A0755F" w:rsidP="00A0755F">
            <w:pPr>
              <w:spacing w:line="240" w:lineRule="auto"/>
              <w:jc w:val="right"/>
              <w:rPr>
                <w:rFonts w:eastAsia="Times New Roman" w:cs="Arial"/>
                <w:color w:val="000000"/>
                <w:sz w:val="16"/>
                <w:szCs w:val="16"/>
                <w:lang w:val="fr-CH" w:eastAsia="de-CH"/>
              </w:rPr>
            </w:pPr>
          </w:p>
        </w:tc>
      </w:tr>
      <w:tr w:rsidR="00F34C40" w:rsidRPr="0029167E" w14:paraId="6BBCA4AF" w14:textId="77777777" w:rsidTr="00F34C40">
        <w:trPr>
          <w:trHeight w:val="251"/>
        </w:trPr>
        <w:tc>
          <w:tcPr>
            <w:tcW w:w="2708" w:type="dxa"/>
            <w:tcBorders>
              <w:top w:val="nil"/>
              <w:left w:val="nil"/>
              <w:bottom w:val="nil"/>
              <w:right w:val="nil"/>
            </w:tcBorders>
            <w:shd w:val="clear" w:color="000000" w:fill="FFFFFF"/>
            <w:noWrap/>
            <w:vAlign w:val="bottom"/>
            <w:hideMark/>
          </w:tcPr>
          <w:p w14:paraId="08A7DFAD" w14:textId="34F575AF"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r w:rsidR="004C1C1B" w:rsidRPr="0029167E">
              <w:rPr>
                <w:rFonts w:eastAsia="Times New Roman" w:cs="Arial"/>
                <w:color w:val="000000"/>
                <w:sz w:val="16"/>
                <w:szCs w:val="16"/>
                <w:lang w:val="fr-CH" w:eastAsia="de-CH"/>
              </w:rPr>
              <w:t>Négatif du</w:t>
            </w:r>
            <w:r w:rsidR="004C1C1B" w:rsidRPr="0029167E">
              <w:rPr>
                <w:rFonts w:eastAsia="Times New Roman" w:cs="Arial"/>
                <w:color w:val="000000"/>
                <w:sz w:val="16"/>
                <w:szCs w:val="16"/>
                <w:lang w:val="fr-CH" w:eastAsia="de-CH"/>
              </w:rPr>
              <w:br/>
              <w:t xml:space="preserve">  r</w:t>
            </w:r>
            <w:r w:rsidRPr="0029167E">
              <w:rPr>
                <w:rFonts w:eastAsia="Times New Roman" w:cs="Arial"/>
                <w:color w:val="000000"/>
                <w:sz w:val="16"/>
                <w:szCs w:val="16"/>
                <w:lang w:val="fr-CH" w:eastAsia="de-CH"/>
              </w:rPr>
              <w:t>ésultat d’assurance attendu</w:t>
            </w:r>
          </w:p>
        </w:tc>
        <w:tc>
          <w:tcPr>
            <w:tcW w:w="182" w:type="dxa"/>
            <w:tcBorders>
              <w:top w:val="nil"/>
              <w:left w:val="nil"/>
              <w:bottom w:val="nil"/>
              <w:right w:val="nil"/>
            </w:tcBorders>
            <w:shd w:val="clear" w:color="000000" w:fill="FFFFFF"/>
            <w:noWrap/>
            <w:vAlign w:val="bottom"/>
            <w:hideMark/>
          </w:tcPr>
          <w:p w14:paraId="2B3CB7EE" w14:textId="77777777" w:rsidR="00A0755F" w:rsidRPr="0029167E" w:rsidRDefault="00A0755F" w:rsidP="00A0755F">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FFFFF"/>
            <w:noWrap/>
            <w:vAlign w:val="bottom"/>
          </w:tcPr>
          <w:p w14:paraId="5368F542" w14:textId="776EE564"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7C95CFF9" w14:textId="53802DEE" w:rsidR="00A0755F" w:rsidRPr="0029167E" w:rsidRDefault="00A0755F" w:rsidP="00A0755F">
            <w:pPr>
              <w:spacing w:line="240" w:lineRule="auto"/>
              <w:jc w:val="right"/>
              <w:rPr>
                <w:rFonts w:eastAsia="Times New Roman" w:cs="Arial"/>
                <w:color w:val="000000"/>
                <w:sz w:val="12"/>
                <w:szCs w:val="12"/>
                <w:lang w:val="fr-CH" w:eastAsia="de-CH"/>
              </w:rPr>
            </w:pPr>
          </w:p>
        </w:tc>
        <w:tc>
          <w:tcPr>
            <w:tcW w:w="182" w:type="dxa"/>
            <w:tcBorders>
              <w:top w:val="nil"/>
              <w:left w:val="nil"/>
              <w:bottom w:val="nil"/>
              <w:right w:val="nil"/>
            </w:tcBorders>
            <w:shd w:val="clear" w:color="000000" w:fill="FFFFFF"/>
            <w:noWrap/>
            <w:vAlign w:val="bottom"/>
          </w:tcPr>
          <w:p w14:paraId="1A586BFC" w14:textId="41BB8F95" w:rsidR="00A0755F" w:rsidRPr="0029167E" w:rsidRDefault="00A0755F" w:rsidP="00A0755F">
            <w:pPr>
              <w:spacing w:line="240" w:lineRule="auto"/>
              <w:rPr>
                <w:rFonts w:eastAsia="Times New Roman" w:cs="Arial"/>
                <w:color w:val="000000"/>
                <w:sz w:val="16"/>
                <w:szCs w:val="16"/>
                <w:lang w:val="fr-CH" w:eastAsia="de-CH"/>
              </w:rPr>
            </w:pPr>
          </w:p>
        </w:tc>
        <w:tc>
          <w:tcPr>
            <w:tcW w:w="678" w:type="dxa"/>
            <w:tcBorders>
              <w:top w:val="nil"/>
              <w:left w:val="nil"/>
              <w:bottom w:val="nil"/>
              <w:right w:val="nil"/>
            </w:tcBorders>
            <w:shd w:val="clear" w:color="000000" w:fill="FFFFFF"/>
            <w:noWrap/>
            <w:vAlign w:val="bottom"/>
          </w:tcPr>
          <w:p w14:paraId="4D336502" w14:textId="6A4A5C15" w:rsidR="00A0755F" w:rsidRPr="0029167E" w:rsidRDefault="00A0755F" w:rsidP="00A0755F">
            <w:pPr>
              <w:spacing w:line="240" w:lineRule="auto"/>
              <w:jc w:val="right"/>
              <w:rPr>
                <w:rFonts w:eastAsia="Times New Roman" w:cs="Arial"/>
                <w:color w:val="000000"/>
                <w:sz w:val="16"/>
                <w:szCs w:val="16"/>
                <w:lang w:val="fr-CH" w:eastAsia="de-CH"/>
              </w:rPr>
            </w:pPr>
          </w:p>
        </w:tc>
        <w:tc>
          <w:tcPr>
            <w:tcW w:w="490" w:type="dxa"/>
            <w:tcBorders>
              <w:top w:val="nil"/>
              <w:left w:val="nil"/>
              <w:bottom w:val="nil"/>
              <w:right w:val="nil"/>
            </w:tcBorders>
            <w:shd w:val="clear" w:color="000000" w:fill="FFFFFF"/>
            <w:noWrap/>
            <w:vAlign w:val="bottom"/>
          </w:tcPr>
          <w:p w14:paraId="47B6DBFC" w14:textId="2F9E630B" w:rsidR="00A0755F" w:rsidRPr="0029167E" w:rsidRDefault="00A0755F" w:rsidP="00A0755F">
            <w:pPr>
              <w:spacing w:line="240" w:lineRule="auto"/>
              <w:jc w:val="right"/>
              <w:rPr>
                <w:rFonts w:eastAsia="Times New Roman" w:cs="Arial"/>
                <w:color w:val="000000"/>
                <w:sz w:val="12"/>
                <w:szCs w:val="12"/>
                <w:lang w:val="fr-CH" w:eastAsia="de-CH"/>
              </w:rPr>
            </w:pPr>
          </w:p>
        </w:tc>
        <w:tc>
          <w:tcPr>
            <w:tcW w:w="216" w:type="dxa"/>
            <w:tcBorders>
              <w:top w:val="nil"/>
              <w:left w:val="nil"/>
              <w:bottom w:val="nil"/>
              <w:right w:val="nil"/>
            </w:tcBorders>
            <w:shd w:val="clear" w:color="000000" w:fill="FFFFFF"/>
            <w:noWrap/>
            <w:vAlign w:val="bottom"/>
          </w:tcPr>
          <w:p w14:paraId="4D223FB8" w14:textId="34CCCB42" w:rsidR="00A0755F" w:rsidRPr="0029167E" w:rsidRDefault="00A0755F" w:rsidP="00A0755F">
            <w:pPr>
              <w:spacing w:line="240" w:lineRule="auto"/>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FFFFF"/>
            <w:noWrap/>
            <w:vAlign w:val="bottom"/>
          </w:tcPr>
          <w:p w14:paraId="35F34246" w14:textId="70A63F06" w:rsidR="00A0755F" w:rsidRPr="0029167E" w:rsidRDefault="00A0755F" w:rsidP="00A0755F">
            <w:pPr>
              <w:spacing w:line="240" w:lineRule="auto"/>
              <w:jc w:val="right"/>
              <w:rPr>
                <w:rFonts w:eastAsia="Times New Roman" w:cs="Arial"/>
                <w:color w:val="000000"/>
                <w:sz w:val="16"/>
                <w:szCs w:val="16"/>
                <w:lang w:val="fr-CH" w:eastAsia="de-CH"/>
              </w:rPr>
            </w:pPr>
          </w:p>
        </w:tc>
        <w:tc>
          <w:tcPr>
            <w:tcW w:w="472" w:type="dxa"/>
            <w:tcBorders>
              <w:top w:val="nil"/>
              <w:left w:val="nil"/>
              <w:bottom w:val="nil"/>
              <w:right w:val="nil"/>
            </w:tcBorders>
            <w:shd w:val="clear" w:color="000000" w:fill="FFFFFF"/>
            <w:noWrap/>
            <w:vAlign w:val="bottom"/>
          </w:tcPr>
          <w:p w14:paraId="50423565" w14:textId="3F4C6407" w:rsidR="00A0755F" w:rsidRPr="0029167E" w:rsidRDefault="00A0755F" w:rsidP="00A0755F">
            <w:pPr>
              <w:spacing w:line="240" w:lineRule="auto"/>
              <w:jc w:val="right"/>
              <w:rPr>
                <w:rFonts w:eastAsia="Times New Roman" w:cs="Arial"/>
                <w:color w:val="000000"/>
                <w:sz w:val="12"/>
                <w:szCs w:val="12"/>
                <w:lang w:val="fr-CH" w:eastAsia="de-CH"/>
              </w:rPr>
            </w:pPr>
          </w:p>
        </w:tc>
        <w:tc>
          <w:tcPr>
            <w:tcW w:w="336" w:type="dxa"/>
            <w:tcBorders>
              <w:top w:val="nil"/>
              <w:left w:val="nil"/>
              <w:bottom w:val="nil"/>
              <w:right w:val="nil"/>
            </w:tcBorders>
            <w:shd w:val="clear" w:color="000000" w:fill="FFFFFF"/>
            <w:noWrap/>
            <w:vAlign w:val="bottom"/>
          </w:tcPr>
          <w:p w14:paraId="170745DA" w14:textId="0C4E9F92" w:rsidR="00A0755F" w:rsidRPr="0029167E" w:rsidRDefault="00A0755F" w:rsidP="00A0755F">
            <w:pPr>
              <w:spacing w:line="240" w:lineRule="auto"/>
              <w:rPr>
                <w:rFonts w:eastAsia="Times New Roman" w:cs="Arial"/>
                <w:color w:val="000000"/>
                <w:sz w:val="16"/>
                <w:szCs w:val="16"/>
                <w:lang w:val="fr-CH" w:eastAsia="de-CH"/>
              </w:rPr>
            </w:pPr>
          </w:p>
        </w:tc>
        <w:tc>
          <w:tcPr>
            <w:tcW w:w="746" w:type="dxa"/>
            <w:tcBorders>
              <w:top w:val="nil"/>
              <w:left w:val="nil"/>
              <w:bottom w:val="nil"/>
              <w:right w:val="nil"/>
            </w:tcBorders>
            <w:shd w:val="clear" w:color="000000" w:fill="FFFFFF"/>
            <w:noWrap/>
            <w:vAlign w:val="bottom"/>
          </w:tcPr>
          <w:p w14:paraId="0D0F6DBA" w14:textId="2B558EA8" w:rsidR="00A0755F" w:rsidRPr="0029167E" w:rsidRDefault="00A0755F" w:rsidP="00A0755F">
            <w:pPr>
              <w:spacing w:line="240" w:lineRule="auto"/>
              <w:jc w:val="right"/>
              <w:rPr>
                <w:rFonts w:eastAsia="Times New Roman" w:cs="Arial"/>
                <w:color w:val="000000"/>
                <w:sz w:val="16"/>
                <w:szCs w:val="16"/>
                <w:lang w:val="fr-CH" w:eastAsia="de-CH"/>
              </w:rPr>
            </w:pPr>
          </w:p>
        </w:tc>
        <w:tc>
          <w:tcPr>
            <w:tcW w:w="694" w:type="dxa"/>
            <w:tcBorders>
              <w:top w:val="nil"/>
              <w:left w:val="nil"/>
              <w:bottom w:val="nil"/>
              <w:right w:val="nil"/>
            </w:tcBorders>
            <w:shd w:val="clear" w:color="000000" w:fill="FFFFFF"/>
            <w:noWrap/>
            <w:vAlign w:val="bottom"/>
          </w:tcPr>
          <w:p w14:paraId="23F12E85" w14:textId="731FF060" w:rsidR="00A0755F" w:rsidRPr="0029167E" w:rsidRDefault="00A0755F" w:rsidP="00A0755F">
            <w:pPr>
              <w:spacing w:line="240" w:lineRule="auto"/>
              <w:jc w:val="right"/>
              <w:rPr>
                <w:rFonts w:eastAsia="Times New Roman" w:cs="Arial"/>
                <w:color w:val="000000"/>
                <w:sz w:val="16"/>
                <w:szCs w:val="16"/>
                <w:lang w:val="fr-CH" w:eastAsia="de-CH"/>
              </w:rPr>
            </w:pPr>
          </w:p>
        </w:tc>
        <w:tc>
          <w:tcPr>
            <w:tcW w:w="657" w:type="dxa"/>
            <w:tcBorders>
              <w:top w:val="nil"/>
              <w:left w:val="nil"/>
              <w:bottom w:val="nil"/>
              <w:right w:val="nil"/>
            </w:tcBorders>
            <w:shd w:val="clear" w:color="000000" w:fill="FFFFFF"/>
            <w:noWrap/>
            <w:vAlign w:val="bottom"/>
          </w:tcPr>
          <w:p w14:paraId="769275C3" w14:textId="3034C2BF" w:rsidR="00A0755F" w:rsidRPr="0029167E" w:rsidRDefault="00A0755F" w:rsidP="00A0755F">
            <w:pPr>
              <w:spacing w:line="240" w:lineRule="auto"/>
              <w:jc w:val="right"/>
              <w:rPr>
                <w:rFonts w:eastAsia="Times New Roman" w:cs="Arial"/>
                <w:color w:val="000000"/>
                <w:sz w:val="16"/>
                <w:szCs w:val="16"/>
                <w:lang w:val="fr-CH" w:eastAsia="de-CH"/>
              </w:rPr>
            </w:pPr>
          </w:p>
        </w:tc>
      </w:tr>
      <w:tr w:rsidR="00F34C40" w:rsidRPr="0029167E" w14:paraId="660D4386" w14:textId="77777777" w:rsidTr="00F34C40">
        <w:trPr>
          <w:trHeight w:val="251"/>
        </w:trPr>
        <w:tc>
          <w:tcPr>
            <w:tcW w:w="2708" w:type="dxa"/>
            <w:tcBorders>
              <w:top w:val="nil"/>
              <w:left w:val="nil"/>
              <w:bottom w:val="nil"/>
              <w:right w:val="nil"/>
            </w:tcBorders>
            <w:shd w:val="clear" w:color="000000" w:fill="F2F2F2"/>
            <w:noWrap/>
            <w:vAlign w:val="bottom"/>
            <w:hideMark/>
          </w:tcPr>
          <w:p w14:paraId="3F06CEAD"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fr-CH" w:eastAsia="de-CH"/>
              </w:rPr>
              <w:t xml:space="preserve"> </w:t>
            </w:r>
            <w:r w:rsidRPr="0029167E">
              <w:rPr>
                <w:rFonts w:eastAsia="Times New Roman" w:cs="Arial"/>
                <w:color w:val="000000"/>
                <w:sz w:val="16"/>
                <w:szCs w:val="16"/>
                <w:lang w:val="de-CH" w:eastAsia="de-CH"/>
              </w:rPr>
              <w:t xml:space="preserve">Effet des </w:t>
            </w:r>
            <w:proofErr w:type="spellStart"/>
            <w:r w:rsidRPr="0029167E">
              <w:rPr>
                <w:rFonts w:eastAsia="Times New Roman" w:cs="Arial"/>
                <w:color w:val="000000"/>
                <w:sz w:val="16"/>
                <w:szCs w:val="16"/>
                <w:lang w:val="de-CH" w:eastAsia="de-CH"/>
              </w:rPr>
              <w:t>scénarios</w:t>
            </w:r>
            <w:proofErr w:type="spellEnd"/>
          </w:p>
        </w:tc>
        <w:tc>
          <w:tcPr>
            <w:tcW w:w="182" w:type="dxa"/>
            <w:tcBorders>
              <w:top w:val="nil"/>
              <w:left w:val="nil"/>
              <w:bottom w:val="nil"/>
              <w:right w:val="nil"/>
            </w:tcBorders>
            <w:shd w:val="clear" w:color="000000" w:fill="FFFFFF"/>
            <w:noWrap/>
            <w:vAlign w:val="bottom"/>
            <w:hideMark/>
          </w:tcPr>
          <w:p w14:paraId="03339B7E"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2F2F2"/>
            <w:noWrap/>
            <w:vAlign w:val="bottom"/>
          </w:tcPr>
          <w:p w14:paraId="6DE0DFAD" w14:textId="1D461CE2"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66F1E4D0" w14:textId="7296C666" w:rsidR="00A0755F" w:rsidRPr="0029167E" w:rsidRDefault="00A0755F" w:rsidP="00A0755F">
            <w:pPr>
              <w:spacing w:line="240" w:lineRule="auto"/>
              <w:jc w:val="right"/>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68E3DECB" w14:textId="11F802F9"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2F2F2"/>
            <w:noWrap/>
            <w:vAlign w:val="bottom"/>
          </w:tcPr>
          <w:p w14:paraId="08E70CC8" w14:textId="28EFC8D3"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22E211E0" w14:textId="4C49091F" w:rsidR="00A0755F" w:rsidRPr="0029167E" w:rsidRDefault="00A0755F" w:rsidP="00A0755F">
            <w:pPr>
              <w:spacing w:line="240" w:lineRule="auto"/>
              <w:jc w:val="right"/>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55D48136" w14:textId="19E04879"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546DCF5B" w14:textId="3BC54476"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13B8AEA0" w14:textId="50DCA57B" w:rsidR="00A0755F" w:rsidRPr="0029167E" w:rsidRDefault="00A0755F" w:rsidP="00A0755F">
            <w:pPr>
              <w:spacing w:line="240" w:lineRule="auto"/>
              <w:jc w:val="right"/>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2F0FFE6D" w14:textId="6D6B8510"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2F2F2"/>
            <w:noWrap/>
            <w:vAlign w:val="bottom"/>
          </w:tcPr>
          <w:p w14:paraId="13A06E52" w14:textId="2EEA4BD2"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2F2F2"/>
            <w:noWrap/>
            <w:vAlign w:val="bottom"/>
          </w:tcPr>
          <w:p w14:paraId="0CB507A6" w14:textId="1869D3AD"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2F2F2"/>
            <w:noWrap/>
            <w:vAlign w:val="bottom"/>
          </w:tcPr>
          <w:p w14:paraId="17F32633" w14:textId="746316AD"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37DF6BB6" w14:textId="77777777" w:rsidTr="00F34C40">
        <w:trPr>
          <w:trHeight w:val="251"/>
        </w:trPr>
        <w:tc>
          <w:tcPr>
            <w:tcW w:w="2708" w:type="dxa"/>
            <w:tcBorders>
              <w:top w:val="nil"/>
              <w:left w:val="nil"/>
              <w:bottom w:val="nil"/>
              <w:right w:val="nil"/>
            </w:tcBorders>
            <w:shd w:val="clear" w:color="000000" w:fill="FFFFFF"/>
            <w:noWrap/>
            <w:vAlign w:val="bottom"/>
            <w:hideMark/>
          </w:tcPr>
          <w:p w14:paraId="25E45315"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Effets </w:t>
            </w:r>
            <w:proofErr w:type="spellStart"/>
            <w:r w:rsidRPr="0029167E">
              <w:rPr>
                <w:rFonts w:eastAsia="Times New Roman" w:cs="Arial"/>
                <w:color w:val="000000"/>
                <w:sz w:val="16"/>
                <w:szCs w:val="16"/>
                <w:lang w:val="de-CH" w:eastAsia="de-CH"/>
              </w:rPr>
              <w:t>supplémentaires</w:t>
            </w:r>
            <w:proofErr w:type="spellEnd"/>
          </w:p>
        </w:tc>
        <w:tc>
          <w:tcPr>
            <w:tcW w:w="182" w:type="dxa"/>
            <w:tcBorders>
              <w:top w:val="nil"/>
              <w:left w:val="nil"/>
              <w:bottom w:val="nil"/>
              <w:right w:val="nil"/>
            </w:tcBorders>
            <w:shd w:val="clear" w:color="000000" w:fill="FFFFFF"/>
            <w:noWrap/>
            <w:vAlign w:val="bottom"/>
            <w:hideMark/>
          </w:tcPr>
          <w:p w14:paraId="43541995" w14:textId="77777777" w:rsidR="00A0755F" w:rsidRPr="0029167E" w:rsidRDefault="00A0755F" w:rsidP="00A0755F">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tcPr>
          <w:p w14:paraId="0C663183" w14:textId="5B7C2B4F"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478633E6" w14:textId="3F026F7F" w:rsidR="00A0755F" w:rsidRPr="0029167E" w:rsidRDefault="00A0755F" w:rsidP="00A0755F">
            <w:pPr>
              <w:spacing w:line="240" w:lineRule="auto"/>
              <w:rPr>
                <w:rFonts w:eastAsia="Times New Roman" w:cs="Arial"/>
                <w:color w:val="000000"/>
                <w:sz w:val="12"/>
                <w:szCs w:val="12"/>
                <w:lang w:val="de-CH" w:eastAsia="de-CH"/>
              </w:rPr>
            </w:pPr>
          </w:p>
        </w:tc>
        <w:tc>
          <w:tcPr>
            <w:tcW w:w="182" w:type="dxa"/>
            <w:tcBorders>
              <w:top w:val="nil"/>
              <w:left w:val="nil"/>
              <w:bottom w:val="nil"/>
              <w:right w:val="nil"/>
            </w:tcBorders>
            <w:shd w:val="clear" w:color="000000" w:fill="FFFFFF"/>
            <w:noWrap/>
            <w:vAlign w:val="bottom"/>
          </w:tcPr>
          <w:p w14:paraId="0281D912" w14:textId="2D9B6F1D" w:rsidR="00A0755F" w:rsidRPr="0029167E" w:rsidRDefault="00A0755F" w:rsidP="00A0755F">
            <w:pPr>
              <w:spacing w:line="240" w:lineRule="auto"/>
              <w:rPr>
                <w:rFonts w:eastAsia="Times New Roman" w:cs="Arial"/>
                <w:color w:val="000000"/>
                <w:sz w:val="16"/>
                <w:szCs w:val="16"/>
                <w:lang w:val="de-CH" w:eastAsia="de-CH"/>
              </w:rPr>
            </w:pPr>
          </w:p>
        </w:tc>
        <w:tc>
          <w:tcPr>
            <w:tcW w:w="678" w:type="dxa"/>
            <w:tcBorders>
              <w:top w:val="nil"/>
              <w:left w:val="nil"/>
              <w:bottom w:val="nil"/>
              <w:right w:val="nil"/>
            </w:tcBorders>
            <w:shd w:val="clear" w:color="000000" w:fill="FFFFFF"/>
            <w:noWrap/>
            <w:vAlign w:val="bottom"/>
          </w:tcPr>
          <w:p w14:paraId="4A714B33" w14:textId="77B31E39" w:rsidR="00A0755F" w:rsidRPr="0029167E" w:rsidRDefault="00A0755F" w:rsidP="00A0755F">
            <w:pPr>
              <w:spacing w:line="240" w:lineRule="auto"/>
              <w:jc w:val="right"/>
              <w:rPr>
                <w:rFonts w:eastAsia="Times New Roman" w:cs="Arial"/>
                <w:color w:val="000000"/>
                <w:sz w:val="16"/>
                <w:szCs w:val="16"/>
                <w:lang w:val="de-CH" w:eastAsia="de-CH"/>
              </w:rPr>
            </w:pPr>
          </w:p>
        </w:tc>
        <w:tc>
          <w:tcPr>
            <w:tcW w:w="490" w:type="dxa"/>
            <w:tcBorders>
              <w:top w:val="nil"/>
              <w:left w:val="nil"/>
              <w:bottom w:val="nil"/>
              <w:right w:val="nil"/>
            </w:tcBorders>
            <w:shd w:val="clear" w:color="000000" w:fill="FFFFFF"/>
            <w:noWrap/>
            <w:vAlign w:val="bottom"/>
          </w:tcPr>
          <w:p w14:paraId="775EBE31" w14:textId="1518E919" w:rsidR="00A0755F" w:rsidRPr="0029167E" w:rsidRDefault="00A0755F" w:rsidP="00A0755F">
            <w:pPr>
              <w:spacing w:line="240" w:lineRule="auto"/>
              <w:rPr>
                <w:rFonts w:eastAsia="Times New Roman" w:cs="Arial"/>
                <w:color w:val="000000"/>
                <w:sz w:val="12"/>
                <w:szCs w:val="12"/>
                <w:lang w:val="de-CH" w:eastAsia="de-CH"/>
              </w:rPr>
            </w:pPr>
          </w:p>
        </w:tc>
        <w:tc>
          <w:tcPr>
            <w:tcW w:w="216" w:type="dxa"/>
            <w:tcBorders>
              <w:top w:val="nil"/>
              <w:left w:val="nil"/>
              <w:bottom w:val="nil"/>
              <w:right w:val="nil"/>
            </w:tcBorders>
            <w:shd w:val="clear" w:color="000000" w:fill="FFFFFF"/>
            <w:noWrap/>
            <w:vAlign w:val="bottom"/>
          </w:tcPr>
          <w:p w14:paraId="08B34668" w14:textId="64470F0A" w:rsidR="00A0755F" w:rsidRPr="0029167E" w:rsidRDefault="00A0755F" w:rsidP="00A0755F">
            <w:pPr>
              <w:spacing w:line="240" w:lineRule="auto"/>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60A0A6C5" w14:textId="6DBC1A3A" w:rsidR="00A0755F" w:rsidRPr="0029167E" w:rsidRDefault="00A0755F" w:rsidP="00A0755F">
            <w:pPr>
              <w:spacing w:line="240" w:lineRule="auto"/>
              <w:jc w:val="right"/>
              <w:rPr>
                <w:rFonts w:eastAsia="Times New Roman" w:cs="Arial"/>
                <w:color w:val="000000"/>
                <w:sz w:val="16"/>
                <w:szCs w:val="16"/>
                <w:lang w:val="de-CH" w:eastAsia="de-CH"/>
              </w:rPr>
            </w:pPr>
          </w:p>
        </w:tc>
        <w:tc>
          <w:tcPr>
            <w:tcW w:w="472" w:type="dxa"/>
            <w:tcBorders>
              <w:top w:val="nil"/>
              <w:left w:val="nil"/>
              <w:bottom w:val="nil"/>
              <w:right w:val="nil"/>
            </w:tcBorders>
            <w:shd w:val="clear" w:color="000000" w:fill="FFFFFF"/>
            <w:noWrap/>
            <w:vAlign w:val="bottom"/>
          </w:tcPr>
          <w:p w14:paraId="0E2ACD1A" w14:textId="52D26D68" w:rsidR="00A0755F" w:rsidRPr="0029167E" w:rsidRDefault="00A0755F" w:rsidP="00A0755F">
            <w:pPr>
              <w:spacing w:line="240" w:lineRule="auto"/>
              <w:rPr>
                <w:rFonts w:eastAsia="Times New Roman" w:cs="Arial"/>
                <w:color w:val="000000"/>
                <w:sz w:val="12"/>
                <w:szCs w:val="12"/>
                <w:lang w:val="de-CH" w:eastAsia="de-CH"/>
              </w:rPr>
            </w:pPr>
          </w:p>
        </w:tc>
        <w:tc>
          <w:tcPr>
            <w:tcW w:w="336" w:type="dxa"/>
            <w:tcBorders>
              <w:top w:val="nil"/>
              <w:left w:val="nil"/>
              <w:bottom w:val="nil"/>
              <w:right w:val="nil"/>
            </w:tcBorders>
            <w:shd w:val="clear" w:color="000000" w:fill="FFFFFF"/>
            <w:noWrap/>
            <w:vAlign w:val="bottom"/>
          </w:tcPr>
          <w:p w14:paraId="1B0B29C0" w14:textId="664727E5" w:rsidR="00A0755F" w:rsidRPr="0029167E" w:rsidRDefault="00A0755F" w:rsidP="00A0755F">
            <w:pPr>
              <w:spacing w:line="240" w:lineRule="auto"/>
              <w:rPr>
                <w:rFonts w:eastAsia="Times New Roman" w:cs="Arial"/>
                <w:color w:val="000000"/>
                <w:sz w:val="16"/>
                <w:szCs w:val="16"/>
                <w:lang w:val="de-CH" w:eastAsia="de-CH"/>
              </w:rPr>
            </w:pPr>
          </w:p>
        </w:tc>
        <w:tc>
          <w:tcPr>
            <w:tcW w:w="746" w:type="dxa"/>
            <w:tcBorders>
              <w:top w:val="nil"/>
              <w:left w:val="nil"/>
              <w:bottom w:val="nil"/>
              <w:right w:val="nil"/>
            </w:tcBorders>
            <w:shd w:val="clear" w:color="000000" w:fill="FFFFFF"/>
            <w:noWrap/>
            <w:vAlign w:val="bottom"/>
          </w:tcPr>
          <w:p w14:paraId="164D7349" w14:textId="4C760268" w:rsidR="00A0755F" w:rsidRPr="0029167E" w:rsidRDefault="00A0755F" w:rsidP="00A0755F">
            <w:pPr>
              <w:spacing w:line="240" w:lineRule="auto"/>
              <w:jc w:val="right"/>
              <w:rPr>
                <w:rFonts w:eastAsia="Times New Roman" w:cs="Arial"/>
                <w:color w:val="000000"/>
                <w:sz w:val="16"/>
                <w:szCs w:val="16"/>
                <w:lang w:val="de-CH" w:eastAsia="de-CH"/>
              </w:rPr>
            </w:pPr>
          </w:p>
        </w:tc>
        <w:tc>
          <w:tcPr>
            <w:tcW w:w="694" w:type="dxa"/>
            <w:tcBorders>
              <w:top w:val="nil"/>
              <w:left w:val="nil"/>
              <w:bottom w:val="nil"/>
              <w:right w:val="nil"/>
            </w:tcBorders>
            <w:shd w:val="clear" w:color="000000" w:fill="FFFFFF"/>
            <w:noWrap/>
            <w:vAlign w:val="bottom"/>
          </w:tcPr>
          <w:p w14:paraId="344C6467" w14:textId="0C30F00E" w:rsidR="00A0755F" w:rsidRPr="0029167E" w:rsidRDefault="00A0755F" w:rsidP="00A0755F">
            <w:pPr>
              <w:spacing w:line="240" w:lineRule="auto"/>
              <w:jc w:val="right"/>
              <w:rPr>
                <w:rFonts w:eastAsia="Times New Roman" w:cs="Arial"/>
                <w:color w:val="000000"/>
                <w:sz w:val="16"/>
                <w:szCs w:val="16"/>
                <w:lang w:val="de-CH" w:eastAsia="de-CH"/>
              </w:rPr>
            </w:pPr>
          </w:p>
        </w:tc>
        <w:tc>
          <w:tcPr>
            <w:tcW w:w="657" w:type="dxa"/>
            <w:tcBorders>
              <w:top w:val="nil"/>
              <w:left w:val="nil"/>
              <w:bottom w:val="nil"/>
              <w:right w:val="nil"/>
            </w:tcBorders>
            <w:shd w:val="clear" w:color="000000" w:fill="FFFFFF"/>
            <w:noWrap/>
            <w:vAlign w:val="bottom"/>
          </w:tcPr>
          <w:p w14:paraId="71B495B0" w14:textId="25CEDE3F" w:rsidR="00A0755F" w:rsidRPr="0029167E" w:rsidRDefault="00A0755F" w:rsidP="00A0755F">
            <w:pPr>
              <w:spacing w:line="240" w:lineRule="auto"/>
              <w:jc w:val="right"/>
              <w:rPr>
                <w:rFonts w:eastAsia="Times New Roman" w:cs="Arial"/>
                <w:color w:val="000000"/>
                <w:sz w:val="16"/>
                <w:szCs w:val="16"/>
                <w:lang w:val="de-CH" w:eastAsia="de-CH"/>
              </w:rPr>
            </w:pPr>
          </w:p>
        </w:tc>
      </w:tr>
      <w:tr w:rsidR="00F34C40" w:rsidRPr="0029167E" w14:paraId="6C6DB263" w14:textId="77777777" w:rsidTr="00F34C40">
        <w:trPr>
          <w:trHeight w:val="251"/>
        </w:trPr>
        <w:tc>
          <w:tcPr>
            <w:tcW w:w="2708" w:type="dxa"/>
            <w:tcBorders>
              <w:top w:val="nil"/>
              <w:left w:val="nil"/>
              <w:right w:val="nil"/>
            </w:tcBorders>
            <w:shd w:val="clear" w:color="000000" w:fill="FFFFFF"/>
            <w:noWrap/>
            <w:vAlign w:val="bottom"/>
          </w:tcPr>
          <w:p w14:paraId="3AF482A2" w14:textId="77777777" w:rsidR="006A60CE" w:rsidRPr="0029167E" w:rsidRDefault="006A60CE" w:rsidP="00A0755F">
            <w:pPr>
              <w:spacing w:line="240" w:lineRule="auto"/>
              <w:rPr>
                <w:rFonts w:eastAsia="Times New Roman" w:cs="Arial"/>
                <w:color w:val="000000"/>
                <w:sz w:val="16"/>
                <w:szCs w:val="16"/>
                <w:lang w:val="de-CH" w:eastAsia="de-CH"/>
              </w:rPr>
            </w:pPr>
          </w:p>
        </w:tc>
        <w:tc>
          <w:tcPr>
            <w:tcW w:w="182" w:type="dxa"/>
            <w:tcBorders>
              <w:top w:val="nil"/>
              <w:left w:val="nil"/>
              <w:right w:val="nil"/>
            </w:tcBorders>
            <w:shd w:val="clear" w:color="000000" w:fill="FFFFFF"/>
            <w:noWrap/>
            <w:vAlign w:val="bottom"/>
          </w:tcPr>
          <w:p w14:paraId="5144470F" w14:textId="77777777" w:rsidR="006A60CE" w:rsidRPr="0029167E" w:rsidRDefault="006A60CE" w:rsidP="00A0755F">
            <w:pPr>
              <w:spacing w:line="240" w:lineRule="auto"/>
              <w:rPr>
                <w:rFonts w:eastAsia="Times New Roman" w:cs="Arial"/>
                <w:color w:val="000000"/>
                <w:sz w:val="16"/>
                <w:szCs w:val="16"/>
                <w:lang w:val="de-CH" w:eastAsia="de-CH"/>
              </w:rPr>
            </w:pPr>
          </w:p>
        </w:tc>
        <w:tc>
          <w:tcPr>
            <w:tcW w:w="728" w:type="dxa"/>
            <w:tcBorders>
              <w:top w:val="nil"/>
              <w:left w:val="nil"/>
              <w:right w:val="nil"/>
            </w:tcBorders>
            <w:shd w:val="clear" w:color="000000" w:fill="FFFFFF"/>
            <w:noWrap/>
            <w:vAlign w:val="bottom"/>
          </w:tcPr>
          <w:p w14:paraId="4366EBDB" w14:textId="77777777" w:rsidR="006A60CE" w:rsidRPr="0029167E" w:rsidRDefault="006A60CE" w:rsidP="00A0755F">
            <w:pPr>
              <w:spacing w:line="240" w:lineRule="auto"/>
              <w:jc w:val="right"/>
              <w:rPr>
                <w:rFonts w:eastAsia="Times New Roman" w:cs="Arial"/>
                <w:color w:val="000000"/>
                <w:sz w:val="16"/>
                <w:szCs w:val="16"/>
                <w:lang w:val="de-CH" w:eastAsia="de-CH"/>
              </w:rPr>
            </w:pPr>
          </w:p>
        </w:tc>
        <w:tc>
          <w:tcPr>
            <w:tcW w:w="490" w:type="dxa"/>
            <w:tcBorders>
              <w:top w:val="nil"/>
              <w:left w:val="nil"/>
              <w:right w:val="nil"/>
            </w:tcBorders>
            <w:shd w:val="clear" w:color="000000" w:fill="FFFFFF"/>
            <w:noWrap/>
            <w:vAlign w:val="bottom"/>
          </w:tcPr>
          <w:p w14:paraId="5E730F7E" w14:textId="77777777" w:rsidR="006A60CE" w:rsidRPr="0029167E" w:rsidRDefault="006A60CE" w:rsidP="00A0755F">
            <w:pPr>
              <w:spacing w:line="240" w:lineRule="auto"/>
              <w:rPr>
                <w:rFonts w:eastAsia="Times New Roman" w:cs="Arial"/>
                <w:color w:val="000000"/>
                <w:sz w:val="12"/>
                <w:szCs w:val="12"/>
                <w:lang w:val="de-CH" w:eastAsia="de-CH"/>
              </w:rPr>
            </w:pPr>
          </w:p>
        </w:tc>
        <w:tc>
          <w:tcPr>
            <w:tcW w:w="182" w:type="dxa"/>
            <w:tcBorders>
              <w:top w:val="nil"/>
              <w:left w:val="nil"/>
              <w:right w:val="nil"/>
            </w:tcBorders>
            <w:shd w:val="clear" w:color="000000" w:fill="FFFFFF"/>
            <w:noWrap/>
            <w:vAlign w:val="bottom"/>
          </w:tcPr>
          <w:p w14:paraId="7F2633EE" w14:textId="77777777" w:rsidR="006A60CE" w:rsidRPr="0029167E" w:rsidRDefault="006A60CE" w:rsidP="00A0755F">
            <w:pPr>
              <w:spacing w:line="240" w:lineRule="auto"/>
              <w:rPr>
                <w:rFonts w:eastAsia="Times New Roman" w:cs="Arial"/>
                <w:color w:val="000000"/>
                <w:sz w:val="16"/>
                <w:szCs w:val="16"/>
                <w:lang w:val="de-CH" w:eastAsia="de-CH"/>
              </w:rPr>
            </w:pPr>
          </w:p>
        </w:tc>
        <w:tc>
          <w:tcPr>
            <w:tcW w:w="678" w:type="dxa"/>
            <w:tcBorders>
              <w:top w:val="nil"/>
              <w:left w:val="nil"/>
              <w:right w:val="nil"/>
            </w:tcBorders>
            <w:shd w:val="clear" w:color="000000" w:fill="FFFFFF"/>
            <w:noWrap/>
            <w:vAlign w:val="bottom"/>
          </w:tcPr>
          <w:p w14:paraId="77A32586" w14:textId="77777777" w:rsidR="006A60CE" w:rsidRPr="0029167E" w:rsidRDefault="006A60CE" w:rsidP="00A0755F">
            <w:pPr>
              <w:spacing w:line="240" w:lineRule="auto"/>
              <w:jc w:val="right"/>
              <w:rPr>
                <w:rFonts w:eastAsia="Times New Roman" w:cs="Arial"/>
                <w:color w:val="000000"/>
                <w:sz w:val="16"/>
                <w:szCs w:val="16"/>
                <w:lang w:val="de-CH" w:eastAsia="de-CH"/>
              </w:rPr>
            </w:pPr>
          </w:p>
        </w:tc>
        <w:tc>
          <w:tcPr>
            <w:tcW w:w="490" w:type="dxa"/>
            <w:tcBorders>
              <w:top w:val="nil"/>
              <w:left w:val="nil"/>
              <w:right w:val="nil"/>
            </w:tcBorders>
            <w:shd w:val="clear" w:color="000000" w:fill="FFFFFF"/>
            <w:noWrap/>
            <w:vAlign w:val="bottom"/>
          </w:tcPr>
          <w:p w14:paraId="48E36D75" w14:textId="77777777" w:rsidR="006A60CE" w:rsidRPr="0029167E" w:rsidRDefault="006A60CE" w:rsidP="00A0755F">
            <w:pPr>
              <w:spacing w:line="240" w:lineRule="auto"/>
              <w:rPr>
                <w:rFonts w:eastAsia="Times New Roman" w:cs="Arial"/>
                <w:color w:val="000000"/>
                <w:sz w:val="12"/>
                <w:szCs w:val="12"/>
                <w:lang w:val="de-CH" w:eastAsia="de-CH"/>
              </w:rPr>
            </w:pPr>
          </w:p>
        </w:tc>
        <w:tc>
          <w:tcPr>
            <w:tcW w:w="216" w:type="dxa"/>
            <w:tcBorders>
              <w:top w:val="nil"/>
              <w:left w:val="nil"/>
              <w:right w:val="nil"/>
            </w:tcBorders>
            <w:shd w:val="clear" w:color="000000" w:fill="FFFFFF"/>
            <w:noWrap/>
            <w:vAlign w:val="bottom"/>
          </w:tcPr>
          <w:p w14:paraId="57EAEB02" w14:textId="77777777" w:rsidR="006A60CE" w:rsidRPr="0029167E" w:rsidRDefault="006A60CE" w:rsidP="00A0755F">
            <w:pPr>
              <w:spacing w:line="240" w:lineRule="auto"/>
              <w:rPr>
                <w:rFonts w:eastAsia="Times New Roman" w:cs="Arial"/>
                <w:color w:val="000000"/>
                <w:sz w:val="16"/>
                <w:szCs w:val="16"/>
                <w:lang w:val="de-CH" w:eastAsia="de-CH"/>
              </w:rPr>
            </w:pPr>
          </w:p>
        </w:tc>
        <w:tc>
          <w:tcPr>
            <w:tcW w:w="657" w:type="dxa"/>
            <w:tcBorders>
              <w:top w:val="nil"/>
              <w:left w:val="nil"/>
              <w:right w:val="nil"/>
            </w:tcBorders>
            <w:shd w:val="clear" w:color="000000" w:fill="FFFFFF"/>
            <w:noWrap/>
            <w:vAlign w:val="bottom"/>
          </w:tcPr>
          <w:p w14:paraId="6A468CD5" w14:textId="77777777" w:rsidR="006A60CE" w:rsidRPr="0029167E" w:rsidRDefault="006A60CE" w:rsidP="00A0755F">
            <w:pPr>
              <w:spacing w:line="240" w:lineRule="auto"/>
              <w:jc w:val="right"/>
              <w:rPr>
                <w:rFonts w:eastAsia="Times New Roman" w:cs="Arial"/>
                <w:color w:val="000000"/>
                <w:sz w:val="16"/>
                <w:szCs w:val="16"/>
                <w:lang w:val="de-CH" w:eastAsia="de-CH"/>
              </w:rPr>
            </w:pPr>
          </w:p>
        </w:tc>
        <w:tc>
          <w:tcPr>
            <w:tcW w:w="472" w:type="dxa"/>
            <w:tcBorders>
              <w:top w:val="nil"/>
              <w:left w:val="nil"/>
              <w:right w:val="nil"/>
            </w:tcBorders>
            <w:shd w:val="clear" w:color="000000" w:fill="FFFFFF"/>
            <w:noWrap/>
            <w:vAlign w:val="bottom"/>
          </w:tcPr>
          <w:p w14:paraId="2F95B0CE" w14:textId="77777777" w:rsidR="006A60CE" w:rsidRPr="0029167E" w:rsidRDefault="006A60CE" w:rsidP="00A0755F">
            <w:pPr>
              <w:spacing w:line="240" w:lineRule="auto"/>
              <w:rPr>
                <w:rFonts w:eastAsia="Times New Roman" w:cs="Arial"/>
                <w:color w:val="000000"/>
                <w:sz w:val="12"/>
                <w:szCs w:val="12"/>
                <w:lang w:val="de-CH" w:eastAsia="de-CH"/>
              </w:rPr>
            </w:pPr>
          </w:p>
        </w:tc>
        <w:tc>
          <w:tcPr>
            <w:tcW w:w="336" w:type="dxa"/>
            <w:tcBorders>
              <w:top w:val="nil"/>
              <w:left w:val="nil"/>
              <w:right w:val="nil"/>
            </w:tcBorders>
            <w:shd w:val="clear" w:color="000000" w:fill="FFFFFF"/>
            <w:noWrap/>
            <w:vAlign w:val="bottom"/>
          </w:tcPr>
          <w:p w14:paraId="1CAC981E" w14:textId="77777777" w:rsidR="006A60CE" w:rsidRPr="0029167E" w:rsidRDefault="006A60CE" w:rsidP="00A0755F">
            <w:pPr>
              <w:spacing w:line="240" w:lineRule="auto"/>
              <w:rPr>
                <w:rFonts w:eastAsia="Times New Roman" w:cs="Arial"/>
                <w:color w:val="000000"/>
                <w:sz w:val="16"/>
                <w:szCs w:val="16"/>
                <w:lang w:val="de-CH" w:eastAsia="de-CH"/>
              </w:rPr>
            </w:pPr>
          </w:p>
        </w:tc>
        <w:tc>
          <w:tcPr>
            <w:tcW w:w="746" w:type="dxa"/>
            <w:tcBorders>
              <w:top w:val="nil"/>
              <w:left w:val="nil"/>
              <w:right w:val="nil"/>
            </w:tcBorders>
            <w:shd w:val="clear" w:color="000000" w:fill="FFFFFF"/>
            <w:noWrap/>
            <w:vAlign w:val="bottom"/>
          </w:tcPr>
          <w:p w14:paraId="2454831A" w14:textId="77777777" w:rsidR="006A60CE" w:rsidRPr="0029167E" w:rsidRDefault="006A60CE" w:rsidP="00A0755F">
            <w:pPr>
              <w:spacing w:line="240" w:lineRule="auto"/>
              <w:jc w:val="right"/>
              <w:rPr>
                <w:rFonts w:eastAsia="Times New Roman" w:cs="Arial"/>
                <w:color w:val="000000"/>
                <w:sz w:val="16"/>
                <w:szCs w:val="16"/>
                <w:lang w:val="de-CH" w:eastAsia="de-CH"/>
              </w:rPr>
            </w:pPr>
          </w:p>
        </w:tc>
        <w:tc>
          <w:tcPr>
            <w:tcW w:w="694" w:type="dxa"/>
            <w:tcBorders>
              <w:top w:val="nil"/>
              <w:left w:val="nil"/>
              <w:right w:val="nil"/>
            </w:tcBorders>
            <w:shd w:val="clear" w:color="000000" w:fill="FFFFFF"/>
            <w:noWrap/>
            <w:vAlign w:val="bottom"/>
          </w:tcPr>
          <w:p w14:paraId="59364BDE" w14:textId="77777777" w:rsidR="006A60CE" w:rsidRPr="0029167E" w:rsidRDefault="006A60CE" w:rsidP="00A0755F">
            <w:pPr>
              <w:spacing w:line="240" w:lineRule="auto"/>
              <w:jc w:val="right"/>
              <w:rPr>
                <w:rFonts w:eastAsia="Times New Roman" w:cs="Arial"/>
                <w:color w:val="000000"/>
                <w:sz w:val="16"/>
                <w:szCs w:val="16"/>
                <w:lang w:val="de-CH" w:eastAsia="de-CH"/>
              </w:rPr>
            </w:pPr>
          </w:p>
        </w:tc>
        <w:tc>
          <w:tcPr>
            <w:tcW w:w="657" w:type="dxa"/>
            <w:tcBorders>
              <w:top w:val="nil"/>
              <w:left w:val="nil"/>
              <w:right w:val="nil"/>
            </w:tcBorders>
            <w:shd w:val="clear" w:color="000000" w:fill="FFFFFF"/>
            <w:noWrap/>
            <w:vAlign w:val="bottom"/>
          </w:tcPr>
          <w:p w14:paraId="1309722C" w14:textId="77777777" w:rsidR="006A60CE" w:rsidRPr="0029167E" w:rsidRDefault="006A60CE" w:rsidP="00A0755F">
            <w:pPr>
              <w:spacing w:line="240" w:lineRule="auto"/>
              <w:jc w:val="right"/>
              <w:rPr>
                <w:rFonts w:eastAsia="Times New Roman" w:cs="Arial"/>
                <w:color w:val="000000"/>
                <w:sz w:val="16"/>
                <w:szCs w:val="16"/>
                <w:lang w:val="de-CH" w:eastAsia="de-CH"/>
              </w:rPr>
            </w:pPr>
          </w:p>
        </w:tc>
      </w:tr>
      <w:tr w:rsidR="00F34C40" w:rsidRPr="0029167E" w14:paraId="29F12179" w14:textId="77777777" w:rsidTr="00F34C40">
        <w:trPr>
          <w:trHeight w:val="251"/>
        </w:trPr>
        <w:tc>
          <w:tcPr>
            <w:tcW w:w="2708" w:type="dxa"/>
            <w:tcBorders>
              <w:top w:val="nil"/>
              <w:left w:val="nil"/>
              <w:bottom w:val="single" w:sz="4" w:space="0" w:color="auto"/>
              <w:right w:val="nil"/>
            </w:tcBorders>
            <w:shd w:val="clear" w:color="000000" w:fill="D9D9D9"/>
            <w:noWrap/>
            <w:vAlign w:val="bottom"/>
            <w:hideMark/>
          </w:tcPr>
          <w:p w14:paraId="1133F8D1" w14:textId="28B2F4D4" w:rsidR="006A60CE" w:rsidRPr="0029167E" w:rsidRDefault="006A60CE" w:rsidP="006A60CE">
            <w:pPr>
              <w:spacing w:line="240" w:lineRule="auto"/>
              <w:rPr>
                <w:rFonts w:eastAsia="Times New Roman" w:cs="Arial"/>
                <w:color w:val="000000"/>
                <w:sz w:val="16"/>
                <w:szCs w:val="16"/>
                <w:lang w:val="de-CH" w:eastAsia="de-CH"/>
              </w:rPr>
            </w:pPr>
            <w:proofErr w:type="spellStart"/>
            <w:r w:rsidRPr="0029167E">
              <w:rPr>
                <w:rFonts w:eastAsia="Times New Roman" w:cs="Arial"/>
                <w:color w:val="000000"/>
                <w:sz w:val="16"/>
                <w:szCs w:val="16"/>
                <w:lang w:val="de-CH" w:eastAsia="de-CH"/>
              </w:rPr>
              <w:t>Excédents</w:t>
            </w:r>
            <w:proofErr w:type="spellEnd"/>
            <w:r w:rsidR="005F09AC" w:rsidRPr="0029167E">
              <w:rPr>
                <w:rFonts w:eastAsia="Times New Roman" w:cs="Arial"/>
                <w:color w:val="000000"/>
                <w:sz w:val="16"/>
                <w:szCs w:val="16"/>
                <w:lang w:val="de-CH" w:eastAsia="de-CH"/>
              </w:rPr>
              <w:t xml:space="preserve"> (CPR </w:t>
            </w:r>
            <w:proofErr w:type="spellStart"/>
            <w:r w:rsidR="005F09AC" w:rsidRPr="0029167E">
              <w:rPr>
                <w:rFonts w:eastAsia="Times New Roman" w:cs="Arial"/>
                <w:color w:val="000000"/>
                <w:sz w:val="16"/>
                <w:szCs w:val="16"/>
                <w:lang w:val="de-CH" w:eastAsia="de-CH"/>
              </w:rPr>
              <w:t>moins</w:t>
            </w:r>
            <w:proofErr w:type="spellEnd"/>
            <w:r w:rsidR="005F09AC" w:rsidRPr="0029167E">
              <w:rPr>
                <w:rFonts w:eastAsia="Times New Roman" w:cs="Arial"/>
                <w:color w:val="000000"/>
                <w:sz w:val="16"/>
                <w:szCs w:val="16"/>
                <w:lang w:val="de-CH" w:eastAsia="de-CH"/>
              </w:rPr>
              <w:t xml:space="preserve"> CC)</w:t>
            </w:r>
          </w:p>
        </w:tc>
        <w:tc>
          <w:tcPr>
            <w:tcW w:w="182" w:type="dxa"/>
            <w:tcBorders>
              <w:top w:val="nil"/>
              <w:left w:val="nil"/>
              <w:bottom w:val="single" w:sz="4" w:space="0" w:color="auto"/>
              <w:right w:val="nil"/>
            </w:tcBorders>
            <w:shd w:val="clear" w:color="000000" w:fill="FFFFFF"/>
            <w:noWrap/>
            <w:vAlign w:val="bottom"/>
            <w:hideMark/>
          </w:tcPr>
          <w:p w14:paraId="11DD1949" w14:textId="08FF897E" w:rsidR="006A60CE" w:rsidRPr="0029167E" w:rsidRDefault="006A60CE" w:rsidP="006A60CE">
            <w:pPr>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single" w:sz="4" w:space="0" w:color="auto"/>
              <w:right w:val="nil"/>
            </w:tcBorders>
            <w:shd w:val="clear" w:color="000000" w:fill="D9D9D9"/>
            <w:noWrap/>
            <w:vAlign w:val="bottom"/>
          </w:tcPr>
          <w:p w14:paraId="6A1FB133" w14:textId="1BB10032" w:rsidR="006A60CE" w:rsidRPr="0029167E" w:rsidRDefault="006A60CE" w:rsidP="006A60CE">
            <w:pPr>
              <w:spacing w:line="240" w:lineRule="auto"/>
              <w:jc w:val="right"/>
              <w:rPr>
                <w:rFonts w:eastAsia="Times New Roman" w:cs="Arial"/>
                <w:color w:val="000000"/>
                <w:sz w:val="16"/>
                <w:szCs w:val="16"/>
                <w:lang w:val="de-CH" w:eastAsia="de-CH"/>
              </w:rPr>
            </w:pPr>
          </w:p>
        </w:tc>
        <w:tc>
          <w:tcPr>
            <w:tcW w:w="490" w:type="dxa"/>
            <w:tcBorders>
              <w:top w:val="nil"/>
              <w:left w:val="nil"/>
              <w:bottom w:val="single" w:sz="4" w:space="0" w:color="auto"/>
              <w:right w:val="nil"/>
            </w:tcBorders>
            <w:shd w:val="clear" w:color="000000" w:fill="FFFFFF"/>
            <w:noWrap/>
            <w:vAlign w:val="bottom"/>
          </w:tcPr>
          <w:p w14:paraId="5CDDEDC2" w14:textId="1BA17277" w:rsidR="006A60CE" w:rsidRPr="0029167E" w:rsidRDefault="006A60CE" w:rsidP="006A60CE">
            <w:pPr>
              <w:spacing w:line="240" w:lineRule="auto"/>
              <w:jc w:val="right"/>
              <w:rPr>
                <w:rFonts w:eastAsia="Times New Roman" w:cs="Arial"/>
                <w:color w:val="000000"/>
                <w:sz w:val="12"/>
                <w:szCs w:val="12"/>
                <w:lang w:val="de-CH" w:eastAsia="de-CH"/>
              </w:rPr>
            </w:pPr>
          </w:p>
        </w:tc>
        <w:tc>
          <w:tcPr>
            <w:tcW w:w="182" w:type="dxa"/>
            <w:tcBorders>
              <w:top w:val="nil"/>
              <w:left w:val="nil"/>
              <w:bottom w:val="single" w:sz="4" w:space="0" w:color="auto"/>
              <w:right w:val="nil"/>
            </w:tcBorders>
            <w:shd w:val="clear" w:color="000000" w:fill="FFFFFF"/>
            <w:noWrap/>
            <w:vAlign w:val="bottom"/>
          </w:tcPr>
          <w:p w14:paraId="48F70B76" w14:textId="390F50F4" w:rsidR="006A60CE" w:rsidRPr="0029167E" w:rsidRDefault="006A60CE" w:rsidP="006A60CE">
            <w:pPr>
              <w:spacing w:line="240" w:lineRule="auto"/>
              <w:rPr>
                <w:rFonts w:eastAsia="Times New Roman" w:cs="Arial"/>
                <w:color w:val="000000"/>
                <w:sz w:val="16"/>
                <w:szCs w:val="16"/>
                <w:lang w:val="de-CH" w:eastAsia="de-CH"/>
              </w:rPr>
            </w:pPr>
          </w:p>
        </w:tc>
        <w:tc>
          <w:tcPr>
            <w:tcW w:w="678" w:type="dxa"/>
            <w:tcBorders>
              <w:top w:val="nil"/>
              <w:left w:val="nil"/>
              <w:bottom w:val="single" w:sz="4" w:space="0" w:color="auto"/>
              <w:right w:val="nil"/>
            </w:tcBorders>
            <w:shd w:val="clear" w:color="000000" w:fill="D9D9D9"/>
            <w:noWrap/>
            <w:vAlign w:val="bottom"/>
          </w:tcPr>
          <w:p w14:paraId="487F7B7E" w14:textId="3700E99F" w:rsidR="006A60CE" w:rsidRPr="0029167E" w:rsidRDefault="006A60CE" w:rsidP="006A60CE">
            <w:pPr>
              <w:spacing w:line="240" w:lineRule="auto"/>
              <w:jc w:val="right"/>
              <w:rPr>
                <w:rFonts w:eastAsia="Times New Roman" w:cs="Arial"/>
                <w:color w:val="000000"/>
                <w:sz w:val="16"/>
                <w:szCs w:val="16"/>
                <w:lang w:val="de-CH" w:eastAsia="de-CH"/>
              </w:rPr>
            </w:pPr>
          </w:p>
        </w:tc>
        <w:tc>
          <w:tcPr>
            <w:tcW w:w="490" w:type="dxa"/>
            <w:tcBorders>
              <w:top w:val="nil"/>
              <w:left w:val="nil"/>
              <w:bottom w:val="single" w:sz="4" w:space="0" w:color="auto"/>
              <w:right w:val="nil"/>
            </w:tcBorders>
            <w:shd w:val="clear" w:color="000000" w:fill="FFFFFF"/>
            <w:noWrap/>
            <w:vAlign w:val="bottom"/>
          </w:tcPr>
          <w:p w14:paraId="5DB17181" w14:textId="1C3BA3A0" w:rsidR="006A60CE" w:rsidRPr="0029167E" w:rsidRDefault="006A60CE" w:rsidP="006A60CE">
            <w:pPr>
              <w:spacing w:line="240" w:lineRule="auto"/>
              <w:jc w:val="right"/>
              <w:rPr>
                <w:rFonts w:eastAsia="Times New Roman" w:cs="Arial"/>
                <w:color w:val="000000"/>
                <w:sz w:val="12"/>
                <w:szCs w:val="12"/>
                <w:lang w:val="de-CH" w:eastAsia="de-CH"/>
              </w:rPr>
            </w:pPr>
          </w:p>
        </w:tc>
        <w:tc>
          <w:tcPr>
            <w:tcW w:w="216" w:type="dxa"/>
            <w:tcBorders>
              <w:top w:val="nil"/>
              <w:left w:val="nil"/>
              <w:bottom w:val="single" w:sz="4" w:space="0" w:color="auto"/>
              <w:right w:val="nil"/>
            </w:tcBorders>
            <w:shd w:val="clear" w:color="000000" w:fill="FFFFFF"/>
            <w:noWrap/>
            <w:vAlign w:val="bottom"/>
          </w:tcPr>
          <w:p w14:paraId="7B5C4ECE" w14:textId="639668B4" w:rsidR="006A60CE" w:rsidRPr="0029167E" w:rsidRDefault="006A60CE" w:rsidP="006A60CE">
            <w:pPr>
              <w:spacing w:line="240" w:lineRule="auto"/>
              <w:rPr>
                <w:rFonts w:eastAsia="Times New Roman" w:cs="Arial"/>
                <w:color w:val="000000"/>
                <w:sz w:val="16"/>
                <w:szCs w:val="16"/>
                <w:lang w:val="de-CH" w:eastAsia="de-CH"/>
              </w:rPr>
            </w:pPr>
          </w:p>
        </w:tc>
        <w:tc>
          <w:tcPr>
            <w:tcW w:w="657" w:type="dxa"/>
            <w:tcBorders>
              <w:top w:val="nil"/>
              <w:left w:val="nil"/>
              <w:bottom w:val="single" w:sz="4" w:space="0" w:color="auto"/>
              <w:right w:val="nil"/>
            </w:tcBorders>
            <w:shd w:val="clear" w:color="000000" w:fill="D9D9D9"/>
            <w:noWrap/>
            <w:vAlign w:val="bottom"/>
          </w:tcPr>
          <w:p w14:paraId="1F483916" w14:textId="3E6C80CF" w:rsidR="006A60CE" w:rsidRPr="0029167E" w:rsidRDefault="006A60CE" w:rsidP="006A60CE">
            <w:pPr>
              <w:spacing w:line="240" w:lineRule="auto"/>
              <w:jc w:val="right"/>
              <w:rPr>
                <w:rFonts w:eastAsia="Times New Roman" w:cs="Arial"/>
                <w:color w:val="000000"/>
                <w:sz w:val="16"/>
                <w:szCs w:val="16"/>
                <w:lang w:val="de-CH" w:eastAsia="de-CH"/>
              </w:rPr>
            </w:pPr>
          </w:p>
        </w:tc>
        <w:tc>
          <w:tcPr>
            <w:tcW w:w="472" w:type="dxa"/>
            <w:tcBorders>
              <w:top w:val="nil"/>
              <w:left w:val="nil"/>
              <w:bottom w:val="single" w:sz="4" w:space="0" w:color="auto"/>
              <w:right w:val="nil"/>
            </w:tcBorders>
            <w:shd w:val="clear" w:color="000000" w:fill="FFFFFF"/>
            <w:noWrap/>
            <w:vAlign w:val="bottom"/>
          </w:tcPr>
          <w:p w14:paraId="30C2CB66" w14:textId="46A4E185" w:rsidR="006A60CE" w:rsidRPr="0029167E" w:rsidRDefault="006A60CE" w:rsidP="006A60CE">
            <w:pPr>
              <w:spacing w:line="240" w:lineRule="auto"/>
              <w:jc w:val="right"/>
              <w:rPr>
                <w:rFonts w:eastAsia="Times New Roman" w:cs="Arial"/>
                <w:color w:val="000000"/>
                <w:sz w:val="12"/>
                <w:szCs w:val="12"/>
                <w:lang w:val="de-CH" w:eastAsia="de-CH"/>
              </w:rPr>
            </w:pPr>
          </w:p>
        </w:tc>
        <w:tc>
          <w:tcPr>
            <w:tcW w:w="336" w:type="dxa"/>
            <w:tcBorders>
              <w:top w:val="nil"/>
              <w:left w:val="nil"/>
              <w:bottom w:val="single" w:sz="4" w:space="0" w:color="auto"/>
              <w:right w:val="nil"/>
            </w:tcBorders>
            <w:shd w:val="clear" w:color="000000" w:fill="FFFFFF"/>
            <w:noWrap/>
            <w:vAlign w:val="bottom"/>
          </w:tcPr>
          <w:p w14:paraId="3C01C9B1" w14:textId="7F3F9E32" w:rsidR="006A60CE" w:rsidRPr="0029167E" w:rsidRDefault="006A60CE" w:rsidP="006A60CE">
            <w:pPr>
              <w:spacing w:line="240" w:lineRule="auto"/>
              <w:rPr>
                <w:rFonts w:eastAsia="Times New Roman" w:cs="Arial"/>
                <w:color w:val="000000"/>
                <w:sz w:val="16"/>
                <w:szCs w:val="16"/>
                <w:lang w:val="de-CH" w:eastAsia="de-CH"/>
              </w:rPr>
            </w:pPr>
          </w:p>
        </w:tc>
        <w:tc>
          <w:tcPr>
            <w:tcW w:w="746" w:type="dxa"/>
            <w:tcBorders>
              <w:top w:val="nil"/>
              <w:left w:val="nil"/>
              <w:bottom w:val="single" w:sz="4" w:space="0" w:color="auto"/>
              <w:right w:val="nil"/>
            </w:tcBorders>
            <w:shd w:val="clear" w:color="000000" w:fill="D9D9D9"/>
            <w:noWrap/>
            <w:vAlign w:val="bottom"/>
          </w:tcPr>
          <w:p w14:paraId="2BA369A3" w14:textId="61972A53" w:rsidR="006A60CE" w:rsidRPr="0029167E" w:rsidRDefault="006A60CE" w:rsidP="006A60CE">
            <w:pPr>
              <w:spacing w:line="240" w:lineRule="auto"/>
              <w:jc w:val="right"/>
              <w:rPr>
                <w:rFonts w:eastAsia="Times New Roman" w:cs="Arial"/>
                <w:color w:val="000000"/>
                <w:sz w:val="16"/>
                <w:szCs w:val="16"/>
                <w:lang w:val="de-CH" w:eastAsia="de-CH"/>
              </w:rPr>
            </w:pPr>
          </w:p>
        </w:tc>
        <w:tc>
          <w:tcPr>
            <w:tcW w:w="694" w:type="dxa"/>
            <w:tcBorders>
              <w:top w:val="nil"/>
              <w:left w:val="nil"/>
              <w:bottom w:val="single" w:sz="4" w:space="0" w:color="auto"/>
              <w:right w:val="nil"/>
            </w:tcBorders>
            <w:shd w:val="clear" w:color="000000" w:fill="D9D9D9"/>
            <w:noWrap/>
            <w:vAlign w:val="bottom"/>
          </w:tcPr>
          <w:p w14:paraId="37185FFE" w14:textId="34815B45" w:rsidR="006A60CE" w:rsidRPr="0029167E" w:rsidRDefault="006A60CE" w:rsidP="006A60CE">
            <w:pPr>
              <w:spacing w:line="240" w:lineRule="auto"/>
              <w:jc w:val="right"/>
              <w:rPr>
                <w:rFonts w:eastAsia="Times New Roman" w:cs="Arial"/>
                <w:color w:val="000000"/>
                <w:sz w:val="16"/>
                <w:szCs w:val="16"/>
                <w:lang w:val="de-CH" w:eastAsia="de-CH"/>
              </w:rPr>
            </w:pPr>
          </w:p>
        </w:tc>
        <w:tc>
          <w:tcPr>
            <w:tcW w:w="657" w:type="dxa"/>
            <w:tcBorders>
              <w:top w:val="nil"/>
              <w:left w:val="nil"/>
              <w:bottom w:val="single" w:sz="4" w:space="0" w:color="auto"/>
              <w:right w:val="nil"/>
            </w:tcBorders>
            <w:shd w:val="clear" w:color="000000" w:fill="D9D9D9"/>
            <w:noWrap/>
            <w:vAlign w:val="bottom"/>
          </w:tcPr>
          <w:p w14:paraId="3D275B94" w14:textId="45965D2D" w:rsidR="006A60CE" w:rsidRPr="0029167E" w:rsidRDefault="006A60CE" w:rsidP="006A60CE">
            <w:pPr>
              <w:spacing w:line="240" w:lineRule="auto"/>
              <w:jc w:val="right"/>
              <w:rPr>
                <w:rFonts w:eastAsia="Times New Roman" w:cs="Arial"/>
                <w:color w:val="000000"/>
                <w:sz w:val="16"/>
                <w:szCs w:val="16"/>
                <w:lang w:val="de-CH" w:eastAsia="de-CH"/>
              </w:rPr>
            </w:pPr>
          </w:p>
        </w:tc>
      </w:tr>
    </w:tbl>
    <w:p w14:paraId="2B447160" w14:textId="6EE1D179" w:rsidR="00E343A4" w:rsidRPr="0029167E" w:rsidRDefault="00E343A4" w:rsidP="00D60D73">
      <w:pPr>
        <w:pStyle w:val="FINMAStandardAbsatz"/>
        <w:rPr>
          <w:i/>
        </w:rPr>
      </w:pPr>
      <w:r w:rsidRPr="0029167E">
        <w:rPr>
          <w:i/>
        </w:rPr>
        <w:t xml:space="preserve">&lt;Veuillez indiquer les principaux </w:t>
      </w:r>
      <w:r w:rsidR="00FE7F84" w:rsidRPr="0029167E">
        <w:rPr>
          <w:i/>
        </w:rPr>
        <w:t xml:space="preserve">agents </w:t>
      </w:r>
      <w:r w:rsidRPr="0029167E">
        <w:rPr>
          <w:i/>
        </w:rPr>
        <w:t>générateurs des changements.&gt;</w:t>
      </w:r>
    </w:p>
    <w:p w14:paraId="7170272E" w14:textId="299E95AC" w:rsidR="00E02925" w:rsidRPr="0029167E" w:rsidRDefault="00E02925" w:rsidP="00D60D73">
      <w:pPr>
        <w:pStyle w:val="Heading2"/>
      </w:pPr>
      <w:bookmarkStart w:id="11" w:name="_Toc148955326"/>
      <w:r w:rsidRPr="0029167E">
        <w:lastRenderedPageBreak/>
        <w:t>Perspective sur le SST de l’année prochaine</w:t>
      </w:r>
      <w:bookmarkEnd w:id="11"/>
    </w:p>
    <w:p w14:paraId="49C356BA" w14:textId="59640A6A" w:rsidR="00E02925" w:rsidRPr="0029167E" w:rsidRDefault="00E02925" w:rsidP="00D60D73">
      <w:pPr>
        <w:pStyle w:val="FINMAStandardAbsatz"/>
      </w:pPr>
      <w:r w:rsidRPr="0029167E">
        <w:t>Conclusions tirées du SST actuel qui devraient entraîner des modifications dans le SST suivant.</w:t>
      </w:r>
    </w:p>
    <w:p w14:paraId="22617E6D" w14:textId="54AF124D" w:rsidR="006F5B99" w:rsidRPr="0029167E" w:rsidRDefault="006F5B99" w:rsidP="00D60D73">
      <w:pPr>
        <w:pStyle w:val="StyleHeading1"/>
      </w:pPr>
      <w:bookmarkStart w:id="12" w:name="_Ref525735675"/>
      <w:bookmarkStart w:id="13" w:name="_Ref525735713"/>
      <w:bookmarkStart w:id="14" w:name="_Toc148955327"/>
      <w:bookmarkStart w:id="15" w:name="_Toc534297734"/>
      <w:r w:rsidRPr="0029167E">
        <w:t>Modèles utilisés</w:t>
      </w:r>
      <w:bookmarkEnd w:id="12"/>
      <w:bookmarkEnd w:id="13"/>
      <w:bookmarkEnd w:id="14"/>
      <w:r w:rsidRPr="0029167E">
        <w:t xml:space="preserve"> </w:t>
      </w:r>
      <w:bookmarkEnd w:id="15"/>
    </w:p>
    <w:p w14:paraId="09B2F5EA" w14:textId="4895D2F2" w:rsidR="001930BE" w:rsidRPr="0029167E" w:rsidRDefault="001930BE" w:rsidP="00D60D73">
      <w:pPr>
        <w:pStyle w:val="Heading2"/>
      </w:pPr>
      <w:bookmarkStart w:id="16" w:name="_Ref80024999"/>
      <w:bookmarkStart w:id="17" w:name="_Toc534297735"/>
      <w:bookmarkStart w:id="18" w:name="_Toc148955328"/>
      <w:r w:rsidRPr="0029167E">
        <w:t xml:space="preserve">Déclaration des modèles </w:t>
      </w:r>
      <w:r w:rsidR="00080047" w:rsidRPr="0029167E">
        <w:t xml:space="preserve">admis </w:t>
      </w:r>
      <w:r w:rsidRPr="0029167E">
        <w:t xml:space="preserve">pour le SST </w:t>
      </w:r>
      <w:bookmarkEnd w:id="16"/>
      <w:r w:rsidR="00BF0AA2" w:rsidRPr="0029167E">
        <w:t>202</w:t>
      </w:r>
      <w:r w:rsidR="00E5120D" w:rsidRPr="0029167E">
        <w:t>4</w:t>
      </w:r>
      <w:r w:rsidRPr="0029167E">
        <w:t xml:space="preserve"> </w:t>
      </w:r>
      <w:bookmarkEnd w:id="17"/>
      <w:bookmarkEnd w:id="18"/>
    </w:p>
    <w:p w14:paraId="078C26E5" w14:textId="4F05596F" w:rsidR="00BB1882" w:rsidRPr="0029167E" w:rsidRDefault="003F79AE" w:rsidP="00D60D73">
      <w:pPr>
        <w:pStyle w:val="FINMAStandardAbsatz"/>
        <w:rPr>
          <w:i/>
        </w:rPr>
      </w:pPr>
      <w:r w:rsidRPr="0029167E">
        <w:rPr>
          <w:i/>
        </w:rPr>
        <w:t>&lt;</w:t>
      </w:r>
      <w:proofErr w:type="spellStart"/>
      <w:r w:rsidRPr="0029167E">
        <w:rPr>
          <w:i/>
        </w:rPr>
        <w:t>Exrtrait</w:t>
      </w:r>
      <w:proofErr w:type="spellEnd"/>
      <w:r w:rsidRPr="0029167E">
        <w:rPr>
          <w:i/>
        </w:rPr>
        <w:t xml:space="preserve"> </w:t>
      </w:r>
      <w:r w:rsidR="00F84173" w:rsidRPr="0029167E">
        <w:rPr>
          <w:i/>
        </w:rPr>
        <w:t>du(</w:t>
      </w:r>
      <w:r w:rsidRPr="0029167E">
        <w:rPr>
          <w:i/>
        </w:rPr>
        <w:t>des</w:t>
      </w:r>
      <w:r w:rsidR="00F84173" w:rsidRPr="0029167E">
        <w:rPr>
          <w:i/>
        </w:rPr>
        <w:t>)</w:t>
      </w:r>
      <w:r w:rsidRPr="0029167E">
        <w:rPr>
          <w:i/>
        </w:rPr>
        <w:t xml:space="preserve"> dernier</w:t>
      </w:r>
      <w:r w:rsidR="00F84173" w:rsidRPr="0029167E">
        <w:rPr>
          <w:i/>
        </w:rPr>
        <w:t>(</w:t>
      </w:r>
      <w:r w:rsidRPr="0029167E">
        <w:rPr>
          <w:i/>
        </w:rPr>
        <w:t>s</w:t>
      </w:r>
      <w:r w:rsidR="00F84173" w:rsidRPr="0029167E">
        <w:rPr>
          <w:i/>
        </w:rPr>
        <w:t>)</w:t>
      </w:r>
      <w:r w:rsidRPr="0029167E">
        <w:rPr>
          <w:i/>
        </w:rPr>
        <w:t xml:space="preserve"> courrier</w:t>
      </w:r>
      <w:r w:rsidR="00F84173" w:rsidRPr="0029167E">
        <w:rPr>
          <w:i/>
        </w:rPr>
        <w:t>(</w:t>
      </w:r>
      <w:r w:rsidRPr="0029167E">
        <w:rPr>
          <w:i/>
        </w:rPr>
        <w:t>s</w:t>
      </w:r>
      <w:r w:rsidR="00F84173" w:rsidRPr="0029167E">
        <w:rPr>
          <w:i/>
        </w:rPr>
        <w:t>)</w:t>
      </w:r>
      <w:r w:rsidRPr="0029167E">
        <w:rPr>
          <w:i/>
        </w:rPr>
        <w:t xml:space="preserve"> de la FINMA, apparaît en principe dans </w:t>
      </w:r>
      <w:r w:rsidR="00F84173" w:rsidRPr="0029167E">
        <w:rPr>
          <w:i/>
        </w:rPr>
        <w:t>la lettre</w:t>
      </w:r>
      <w:r w:rsidRPr="0029167E">
        <w:rPr>
          <w:i/>
        </w:rPr>
        <w:t xml:space="preserve"> sur </w:t>
      </w:r>
      <w:r w:rsidR="00F84173" w:rsidRPr="0029167E">
        <w:rPr>
          <w:i/>
        </w:rPr>
        <w:t xml:space="preserve">l’examen </w:t>
      </w:r>
      <w:r w:rsidRPr="0029167E">
        <w:rPr>
          <w:i/>
        </w:rPr>
        <w:t xml:space="preserve">des rapports de l’année précédente, y compris la source (par ex. courrier du </w:t>
      </w:r>
      <w:proofErr w:type="spellStart"/>
      <w:r w:rsidRPr="0029167E">
        <w:rPr>
          <w:i/>
        </w:rPr>
        <w:t>xx.</w:t>
      </w:r>
      <w:proofErr w:type="gramStart"/>
      <w:r w:rsidRPr="0029167E">
        <w:rPr>
          <w:i/>
        </w:rPr>
        <w:t>xx.xxxx</w:t>
      </w:r>
      <w:proofErr w:type="spellEnd"/>
      <w:proofErr w:type="gramEnd"/>
      <w:r w:rsidRPr="0029167E">
        <w:rPr>
          <w:i/>
        </w:rPr>
        <w:t xml:space="preserve"> concernant XXX)&gt;</w:t>
      </w:r>
    </w:p>
    <w:p w14:paraId="020E549D" w14:textId="0C5D3B69" w:rsidR="00BB1882" w:rsidRPr="0029167E" w:rsidRDefault="00BB1882" w:rsidP="00D60D73">
      <w:pPr>
        <w:pStyle w:val="Heading2"/>
      </w:pPr>
      <w:bookmarkStart w:id="19" w:name="_Ref80024977"/>
      <w:bookmarkStart w:id="20" w:name="_Toc148955329"/>
      <w:r w:rsidRPr="0029167E">
        <w:t xml:space="preserve">Déclaration des modèles </w:t>
      </w:r>
      <w:r w:rsidR="00F84173" w:rsidRPr="0029167E">
        <w:t xml:space="preserve">utilisés </w:t>
      </w:r>
      <w:r w:rsidRPr="0029167E">
        <w:t xml:space="preserve">pour le SST </w:t>
      </w:r>
      <w:bookmarkEnd w:id="19"/>
      <w:r w:rsidR="00BF0AA2" w:rsidRPr="0029167E">
        <w:t>202</w:t>
      </w:r>
      <w:r w:rsidR="00E5120D" w:rsidRPr="0029167E">
        <w:t>4</w:t>
      </w:r>
      <w:r w:rsidRPr="0029167E">
        <w:t xml:space="preserve"> </w:t>
      </w:r>
      <w:bookmarkEnd w:id="20"/>
    </w:p>
    <w:p w14:paraId="4B11F696" w14:textId="374499E3" w:rsidR="006F5B99" w:rsidRPr="0029167E" w:rsidRDefault="00C8328A" w:rsidP="00D60D73">
      <w:pPr>
        <w:pStyle w:val="FINMAStandardAbsatz"/>
        <w:rPr>
          <w:i/>
        </w:rPr>
      </w:pPr>
      <w:r w:rsidRPr="0029167E">
        <w:rPr>
          <w:i/>
        </w:rPr>
        <w:t>&lt;Confirmation du modèle utilisé selon le chiffre marginal 163 et éventuelle liste des écarts au sens du Cm 16&gt;</w:t>
      </w:r>
    </w:p>
    <w:p w14:paraId="38E7D772" w14:textId="1CE0F57D" w:rsidR="00C53B03" w:rsidRPr="0029167E" w:rsidRDefault="002163F8" w:rsidP="00D60D73">
      <w:pPr>
        <w:pStyle w:val="Heading2"/>
      </w:pPr>
      <w:bookmarkStart w:id="21" w:name="_Toc148955330"/>
      <w:bookmarkStart w:id="22" w:name="_Ref525736746"/>
      <w:bookmarkStart w:id="23" w:name="_Toc534297736"/>
      <w:r w:rsidRPr="0029167E">
        <w:t>Modifications du modèle par rapport à l’année précédente</w:t>
      </w:r>
      <w:bookmarkEnd w:id="21"/>
    </w:p>
    <w:p w14:paraId="27A70E51" w14:textId="1961EC0B" w:rsidR="00E02925" w:rsidRPr="0029167E" w:rsidRDefault="00E02925" w:rsidP="00D60D73">
      <w:pPr>
        <w:pStyle w:val="FINMAStandardAbsatz"/>
      </w:pPr>
      <w:r w:rsidRPr="0029167E">
        <w:t>Chiffre marginal 158</w:t>
      </w:r>
    </w:p>
    <w:p w14:paraId="108315C7" w14:textId="38C2F952" w:rsidR="002163F8" w:rsidRPr="0029167E" w:rsidRDefault="00E02925" w:rsidP="00D60D73">
      <w:pPr>
        <w:pStyle w:val="FINMAStandardAbsatz"/>
      </w:pPr>
      <w:r w:rsidRPr="0029167E">
        <w:t xml:space="preserve">Une analyse d’impact quantitative est mise à disposition ici, permettant de rendre transparents les effets - pris isolément - des éventuelles </w:t>
      </w:r>
      <w:r w:rsidR="00C526FD" w:rsidRPr="0029167E">
        <w:t xml:space="preserve">modifications </w:t>
      </w:r>
      <w:r w:rsidRPr="0029167E">
        <w:t xml:space="preserve">du modèle sur les résultats </w:t>
      </w:r>
      <w:r w:rsidRPr="0029167E">
        <w:rPr>
          <w:i/>
          <w:iCs/>
        </w:rPr>
        <w:t>(</w:t>
      </w:r>
      <w:proofErr w:type="spellStart"/>
      <w:r w:rsidRPr="0029167E">
        <w:rPr>
          <w:i/>
          <w:iCs/>
        </w:rPr>
        <w:t>ceteris</w:t>
      </w:r>
      <w:proofErr w:type="spellEnd"/>
      <w:r w:rsidRPr="0029167E">
        <w:rPr>
          <w:i/>
          <w:iCs/>
        </w:rPr>
        <w:t xml:space="preserve"> </w:t>
      </w:r>
      <w:proofErr w:type="spellStart"/>
      <w:r w:rsidRPr="0029167E">
        <w:rPr>
          <w:i/>
          <w:iCs/>
        </w:rPr>
        <w:t>paribus</w:t>
      </w:r>
      <w:proofErr w:type="spellEnd"/>
      <w:r w:rsidRPr="0029167E">
        <w:rPr>
          <w:i/>
          <w:iCs/>
        </w:rPr>
        <w:t>)</w:t>
      </w:r>
      <w:r w:rsidRPr="0029167E">
        <w:t xml:space="preserve">. Lors de la quantification des effets des adaptations, les principales causes sont également expliquées dans le texte. </w:t>
      </w:r>
    </w:p>
    <w:p w14:paraId="41F8F39B" w14:textId="7712D94A" w:rsidR="00406910" w:rsidRPr="0029167E" w:rsidRDefault="00406910" w:rsidP="00D60D73">
      <w:pPr>
        <w:pStyle w:val="FINMAStandardAbsatz"/>
      </w:pPr>
      <w:r w:rsidRPr="0029167E">
        <w:t xml:space="preserve">Il faut faire la différence entre modifications du modèle standard (correspondant aux prescriptions de la FINMA) et modifications d’adaptations du modèle standard propres à l’entreprise ou du modèle interne (correspondant à </w:t>
      </w:r>
      <w:r w:rsidR="00B264AD" w:rsidRPr="0029167E">
        <w:t>l'implémentation</w:t>
      </w:r>
      <w:r w:rsidRPr="0029167E">
        <w:t xml:space="preserve"> par l’entreprise d’assurance). Dans ce dernier cas, il faut aussi </w:t>
      </w:r>
      <w:r w:rsidR="00F84173" w:rsidRPr="0029167E">
        <w:t xml:space="preserve">distinguer </w:t>
      </w:r>
      <w:r w:rsidRPr="0029167E">
        <w:t>les modifications importantes du modèle, approuvées au préalable, des modifications du modèle considérées par l’entreprise comme non importantes.</w:t>
      </w:r>
    </w:p>
    <w:p w14:paraId="3FA5131E" w14:textId="508719FF" w:rsidR="007C42E3" w:rsidRPr="0029167E" w:rsidRDefault="007C42E3" w:rsidP="00D60D73">
      <w:pPr>
        <w:pStyle w:val="Heading2"/>
      </w:pPr>
      <w:bookmarkStart w:id="24" w:name="_Toc148955331"/>
      <w:bookmarkStart w:id="25" w:name="_Hlk93866362"/>
      <w:bookmarkEnd w:id="22"/>
      <w:bookmarkEnd w:id="23"/>
      <w:r w:rsidRPr="0029167E">
        <w:t xml:space="preserve">Liste des documents </w:t>
      </w:r>
      <w:r w:rsidR="00F84173" w:rsidRPr="0029167E">
        <w:t xml:space="preserve">et pièces </w:t>
      </w:r>
      <w:r w:rsidRPr="0029167E">
        <w:t>remis</w:t>
      </w:r>
      <w:bookmarkEnd w:id="24"/>
    </w:p>
    <w:bookmarkEnd w:id="25"/>
    <w:p w14:paraId="3ADB4EE0" w14:textId="5F7BAE6D" w:rsidR="007C42E3" w:rsidRPr="0029167E" w:rsidRDefault="007C42E3" w:rsidP="00D60D73">
      <w:pPr>
        <w:pStyle w:val="FINMAStandardAbsatz"/>
      </w:pPr>
      <w:r w:rsidRPr="0029167E">
        <w:t>Chiffres marginaux 162 et 180</w:t>
      </w:r>
    </w:p>
    <w:p w14:paraId="0A6DAD36" w14:textId="30A0FFC0" w:rsidR="007C42E3" w:rsidRPr="0029167E" w:rsidRDefault="007C42E3" w:rsidP="00D60D73">
      <w:pPr>
        <w:pStyle w:val="FINMAStandardAbsatz"/>
      </w:pPr>
      <w:r w:rsidRPr="0029167E">
        <w:t xml:space="preserve">Liste des documents </w:t>
      </w:r>
      <w:r w:rsidR="00F84173" w:rsidRPr="0029167E">
        <w:t xml:space="preserve">et pièces </w:t>
      </w:r>
      <w:r w:rsidRPr="0029167E">
        <w:t xml:space="preserve">remis considérés comme </w:t>
      </w:r>
      <w:r w:rsidR="00F84173" w:rsidRPr="0029167E">
        <w:t xml:space="preserve">constituant le </w:t>
      </w:r>
      <w:r w:rsidRPr="0029167E">
        <w:t xml:space="preserve">rapport SST au sens du chiffre marginal 162, avec noms et références. </w:t>
      </w:r>
    </w:p>
    <w:p w14:paraId="0FDD3145" w14:textId="6F5C9CD7" w:rsidR="007C42E3" w:rsidRPr="0029167E" w:rsidRDefault="007C42E3" w:rsidP="00D60D73">
      <w:pPr>
        <w:pStyle w:val="FINMAStandardAbsatz"/>
        <w:rPr>
          <w:i/>
        </w:rPr>
      </w:pPr>
      <w:r w:rsidRPr="0029167E">
        <w:rPr>
          <w:i/>
        </w:rPr>
        <w:t>&lt;Normalement (en particulier en utilisant le modèle standard sans adaptations), cela correspond exactement aux exigences et aux documents prescrits sur le site Internet de la FINMA.&gt;</w:t>
      </w:r>
    </w:p>
    <w:p w14:paraId="320EB08B" w14:textId="77777777" w:rsidR="00EB058A" w:rsidRPr="0029167E" w:rsidRDefault="00EB058A" w:rsidP="00D60D73">
      <w:pPr>
        <w:pStyle w:val="StyleHeading1"/>
      </w:pPr>
      <w:bookmarkStart w:id="26" w:name="_Toc148955332"/>
      <w:bookmarkStart w:id="27" w:name="_Toc534297738"/>
      <w:r w:rsidRPr="0029167E">
        <w:lastRenderedPageBreak/>
        <w:t>Exigences qualitatives</w:t>
      </w:r>
      <w:bookmarkEnd w:id="26"/>
    </w:p>
    <w:p w14:paraId="78979664" w14:textId="77777777" w:rsidR="00EB058A" w:rsidRPr="0029167E" w:rsidRDefault="00EB058A" w:rsidP="00D60D73">
      <w:pPr>
        <w:pStyle w:val="Heading2"/>
      </w:pPr>
      <w:bookmarkStart w:id="28" w:name="_Toc148955333"/>
      <w:r w:rsidRPr="0029167E">
        <w:t>Auto-évaluation de l’entreprise d’assurance</w:t>
      </w:r>
      <w:bookmarkEnd w:id="28"/>
    </w:p>
    <w:p w14:paraId="6A71689F" w14:textId="14965DC7" w:rsidR="00EB058A" w:rsidRPr="0029167E" w:rsidRDefault="00EB058A" w:rsidP="00D60D73">
      <w:pPr>
        <w:pStyle w:val="FINMAStandardAbsatz"/>
        <w:spacing w:before="100" w:beforeAutospacing="1" w:after="100" w:afterAutospacing="1" w:line="240" w:lineRule="auto"/>
      </w:pPr>
      <w:r w:rsidRPr="0029167E">
        <w:t>Chiffres marginaux 139 à 143 et chiffre marginal 159</w:t>
      </w:r>
    </w:p>
    <w:p w14:paraId="1BC783FD" w14:textId="77777777" w:rsidR="00EB058A" w:rsidRPr="0029167E" w:rsidRDefault="00EB058A" w:rsidP="00D60D73">
      <w:pPr>
        <w:pStyle w:val="FINMAStandardAbsatz"/>
      </w:pPr>
      <w:r w:rsidRPr="0029167E">
        <w:t>Brève auto-évaluation sous forme de texte.</w:t>
      </w:r>
    </w:p>
    <w:p w14:paraId="501F4DC9" w14:textId="77777777" w:rsidR="00EB058A" w:rsidRPr="0029167E" w:rsidRDefault="00EB058A" w:rsidP="00D60D73">
      <w:pPr>
        <w:pStyle w:val="Heading2"/>
      </w:pPr>
      <w:bookmarkStart w:id="29" w:name="_Toc148955334"/>
      <w:r w:rsidRPr="0029167E">
        <w:t>Externalisation du calcul du SST</w:t>
      </w:r>
      <w:bookmarkEnd w:id="29"/>
    </w:p>
    <w:p w14:paraId="5BF7FFCB" w14:textId="6798628A" w:rsidR="00EB058A" w:rsidRPr="0029167E" w:rsidRDefault="00EB058A" w:rsidP="00D60D73">
      <w:pPr>
        <w:pStyle w:val="FINMAStandardAbsatz"/>
      </w:pPr>
      <w:r w:rsidRPr="0029167E">
        <w:t>Chiffre marginal 144</w:t>
      </w:r>
    </w:p>
    <w:p w14:paraId="541CFE8A" w14:textId="77777777" w:rsidR="00EB058A" w:rsidRPr="0029167E" w:rsidRDefault="00EB058A" w:rsidP="00D60D73">
      <w:pPr>
        <w:pStyle w:val="FINMAStandardAbsatz"/>
      </w:pPr>
      <w:r w:rsidRPr="0029167E">
        <w:t>Décrire la répartition des rôles entre fonctions internes et externes. Brève description des éléments externalisés et du contrôle de ces éléments.</w:t>
      </w:r>
    </w:p>
    <w:p w14:paraId="775DCE45" w14:textId="4BF9B1D0" w:rsidR="00EB058A" w:rsidRPr="0029167E" w:rsidRDefault="00EB058A" w:rsidP="00D60D73">
      <w:pPr>
        <w:pStyle w:val="FINMAStandardAbsatz"/>
        <w:rPr>
          <w:i/>
        </w:rPr>
      </w:pPr>
      <w:r w:rsidRPr="0029167E">
        <w:rPr>
          <w:i/>
        </w:rPr>
        <w:t>&lt;Veu</w:t>
      </w:r>
      <w:r w:rsidRPr="0029167E">
        <w:rPr>
          <w:i/>
          <w:iCs/>
        </w:rPr>
        <w:t>illez mentionner la documentation correspondante dans la liste des renvois à d’autres documents et ne la faire parvenir que sur demande explicite de la FINMA.&gt;</w:t>
      </w:r>
    </w:p>
    <w:p w14:paraId="64BF1A9C" w14:textId="77777777" w:rsidR="00EB058A" w:rsidRPr="0029167E" w:rsidRDefault="00EB058A" w:rsidP="00D60D73">
      <w:pPr>
        <w:pStyle w:val="Heading2"/>
      </w:pPr>
      <w:bookmarkStart w:id="30" w:name="_Toc148955335"/>
      <w:r w:rsidRPr="0029167E">
        <w:t>Saisie des données</w:t>
      </w:r>
      <w:bookmarkEnd w:id="30"/>
    </w:p>
    <w:p w14:paraId="126CC218" w14:textId="5C092F1F" w:rsidR="00EB058A" w:rsidRPr="0029167E" w:rsidRDefault="00EB058A" w:rsidP="00D60D73">
      <w:pPr>
        <w:pStyle w:val="FINMAStandardAbsatz"/>
      </w:pPr>
      <w:r w:rsidRPr="0029167E">
        <w:t>Chiffres marginaux 145 et 146</w:t>
      </w:r>
    </w:p>
    <w:p w14:paraId="715ECA03" w14:textId="7EFE665F" w:rsidR="00EB058A" w:rsidRPr="0029167E" w:rsidRDefault="00EB058A" w:rsidP="00D60D73">
      <w:pPr>
        <w:pStyle w:val="FINMAStandardAbsatz"/>
        <w:rPr>
          <w:i/>
        </w:rPr>
      </w:pPr>
      <w:r w:rsidRPr="0029167E">
        <w:rPr>
          <w:i/>
        </w:rPr>
        <w:t>&lt;Veu</w:t>
      </w:r>
      <w:r w:rsidRPr="0029167E">
        <w:rPr>
          <w:i/>
          <w:iCs/>
        </w:rPr>
        <w:t>illez mentionner la documentation correspondante dans la liste des renvois à d’autres documents et ne la faire parvenir que sur demande explicite de la FINMA.&gt;</w:t>
      </w:r>
    </w:p>
    <w:p w14:paraId="5C78D73D" w14:textId="77777777" w:rsidR="00EB058A" w:rsidRPr="0029167E" w:rsidRDefault="00EB058A" w:rsidP="00D60D73">
      <w:pPr>
        <w:pStyle w:val="Heading2"/>
      </w:pPr>
      <w:bookmarkStart w:id="31" w:name="_Toc148955336"/>
      <w:r w:rsidRPr="0029167E">
        <w:t>Validation</w:t>
      </w:r>
      <w:bookmarkEnd w:id="31"/>
    </w:p>
    <w:p w14:paraId="22E62CA2" w14:textId="67619878" w:rsidR="00EB058A" w:rsidRPr="0029167E" w:rsidRDefault="00EB058A" w:rsidP="00D60D73">
      <w:pPr>
        <w:pStyle w:val="FINMAStandardAbsatz"/>
      </w:pPr>
      <w:r w:rsidRPr="0029167E">
        <w:t>Chiffre marginal 149</w:t>
      </w:r>
    </w:p>
    <w:p w14:paraId="734B04C9" w14:textId="544EAD10" w:rsidR="00EB058A" w:rsidRPr="0029167E" w:rsidRDefault="00EB058A" w:rsidP="00424FDF">
      <w:pPr>
        <w:pStyle w:val="FINMAStandardAbsatz"/>
      </w:pPr>
      <w:r w:rsidRPr="0029167E">
        <w:t>Bref texte décrivant comment il a été garanti que les exigences qualitatives et organisationnelles du SST soient respectées. Brièvement apprécier les éventuelles modifications par rapport à l’année précédente.</w:t>
      </w:r>
    </w:p>
    <w:p w14:paraId="20038D3B" w14:textId="3025FE58" w:rsidR="00EB058A" w:rsidRPr="0029167E" w:rsidRDefault="00EB058A" w:rsidP="00D60D73">
      <w:pPr>
        <w:pStyle w:val="FINMAStandardAbsatz"/>
        <w:rPr>
          <w:i/>
        </w:rPr>
      </w:pPr>
      <w:r w:rsidRPr="0029167E">
        <w:rPr>
          <w:i/>
        </w:rPr>
        <w:t>&lt;Veu</w:t>
      </w:r>
      <w:r w:rsidRPr="0029167E">
        <w:rPr>
          <w:i/>
          <w:iCs/>
        </w:rPr>
        <w:t>illez mentionner la documentation correspondante dans la liste des renvois à d’autres documents et ne la faire parvenir que sur demande explicite de la FINMA.&gt;</w:t>
      </w:r>
    </w:p>
    <w:p w14:paraId="4FC3419B" w14:textId="1D0CA9E1" w:rsidR="00DB6BA6" w:rsidRPr="0029167E" w:rsidRDefault="006E5996" w:rsidP="00D60D73">
      <w:pPr>
        <w:pStyle w:val="StyleHeading1"/>
      </w:pPr>
      <w:bookmarkStart w:id="32" w:name="_Toc148955337"/>
      <w:r w:rsidRPr="0029167E">
        <w:t>Le CPR et ses composantes</w:t>
      </w:r>
      <w:bookmarkEnd w:id="27"/>
      <w:bookmarkEnd w:id="32"/>
    </w:p>
    <w:p w14:paraId="42DCCCEE" w14:textId="6793517D" w:rsidR="00BC5F32" w:rsidRPr="0029167E" w:rsidRDefault="00853A1E" w:rsidP="00D60D73">
      <w:pPr>
        <w:pStyle w:val="Heading2"/>
      </w:pPr>
      <w:bookmarkStart w:id="33" w:name="_Toc148955338"/>
      <w:bookmarkStart w:id="34" w:name="_Toc534297739"/>
      <w:r w:rsidRPr="0029167E">
        <w:t>Aperçu du CPR</w:t>
      </w:r>
      <w:bookmarkEnd w:id="33"/>
      <w:r w:rsidRPr="0029167E">
        <w:t xml:space="preserve"> </w:t>
      </w:r>
      <w:bookmarkEnd w:id="34"/>
    </w:p>
    <w:p w14:paraId="70B71CFF" w14:textId="4FAC859C" w:rsidR="002C03D9" w:rsidRPr="0029167E" w:rsidRDefault="002C03D9" w:rsidP="00D60D73">
      <w:pPr>
        <w:pStyle w:val="FINMAStandardAbsatz"/>
      </w:pPr>
      <w:r w:rsidRPr="0029167E">
        <w:t xml:space="preserve">Explications sur le CPR et appréciation des changements, approfondissement éventuel des déclarations faites dans le </w:t>
      </w:r>
      <w:r w:rsidRPr="0029167E">
        <w:rPr>
          <w:i/>
          <w:iCs/>
        </w:rPr>
        <w:t xml:space="preserve">management </w:t>
      </w:r>
      <w:proofErr w:type="spellStart"/>
      <w:r w:rsidRPr="0029167E">
        <w:rPr>
          <w:i/>
          <w:iCs/>
        </w:rPr>
        <w:t>summary</w:t>
      </w:r>
      <w:proofErr w:type="spellEnd"/>
      <w:r w:rsidRPr="0029167E">
        <w:t>.</w:t>
      </w:r>
    </w:p>
    <w:p w14:paraId="31746BA5" w14:textId="49FE0A27" w:rsidR="00EB058A" w:rsidRPr="0029167E" w:rsidRDefault="005501A5" w:rsidP="00750B6C">
      <w:pPr>
        <w:pStyle w:val="FINMAStandardAbsatz"/>
        <w:keepNext/>
        <w:spacing w:before="100" w:beforeAutospacing="1" w:after="100" w:afterAutospacing="1" w:line="240" w:lineRule="auto"/>
      </w:pPr>
      <w:r w:rsidRPr="0029167E">
        <w:lastRenderedPageBreak/>
        <w:t xml:space="preserve">Tableau récapitulatif </w:t>
      </w:r>
      <w:r w:rsidR="004979FC" w:rsidRPr="0029167E">
        <w:t xml:space="preserve">du </w:t>
      </w:r>
      <w:r w:rsidRPr="0029167E">
        <w:rPr>
          <w:i/>
        </w:rPr>
        <w:t>capital porteur de risque</w:t>
      </w:r>
      <w:r w:rsidRPr="0029167E">
        <w:t xml:space="preserve"> avec ses composantes </w:t>
      </w:r>
      <w:proofErr w:type="gramStart"/>
      <w:r w:rsidRPr="0029167E">
        <w:t>principales</w:t>
      </w:r>
      <w:r w:rsidR="004979FC" w:rsidRPr="0029167E">
        <w:t>:</w:t>
      </w:r>
      <w:proofErr w:type="gramEnd"/>
    </w:p>
    <w:tbl>
      <w:tblPr>
        <w:tblW w:w="8421" w:type="dxa"/>
        <w:tblCellMar>
          <w:left w:w="70" w:type="dxa"/>
          <w:right w:w="70" w:type="dxa"/>
        </w:tblCellMar>
        <w:tblLook w:val="04A0" w:firstRow="1" w:lastRow="0" w:firstColumn="1" w:lastColumn="0" w:noHBand="0" w:noVBand="1"/>
      </w:tblPr>
      <w:tblGrid>
        <w:gridCol w:w="3219"/>
        <w:gridCol w:w="227"/>
        <w:gridCol w:w="901"/>
        <w:gridCol w:w="606"/>
        <w:gridCol w:w="194"/>
        <w:gridCol w:w="728"/>
        <w:gridCol w:w="627"/>
        <w:gridCol w:w="269"/>
        <w:gridCol w:w="922"/>
        <w:gridCol w:w="728"/>
      </w:tblGrid>
      <w:tr w:rsidR="008A2DB6" w:rsidRPr="0029167E" w14:paraId="6672D721" w14:textId="77777777" w:rsidTr="008A2DB6">
        <w:trPr>
          <w:trHeight w:val="263"/>
        </w:trPr>
        <w:tc>
          <w:tcPr>
            <w:tcW w:w="3219" w:type="dxa"/>
            <w:tcBorders>
              <w:top w:val="nil"/>
              <w:left w:val="nil"/>
              <w:bottom w:val="nil"/>
              <w:right w:val="nil"/>
            </w:tcBorders>
            <w:shd w:val="clear" w:color="000000" w:fill="FFFFFF"/>
            <w:noWrap/>
            <w:vAlign w:val="bottom"/>
            <w:hideMark/>
          </w:tcPr>
          <w:p w14:paraId="228A88C1" w14:textId="77777777" w:rsidR="008A2DB6" w:rsidRPr="0029167E" w:rsidRDefault="008A2DB6" w:rsidP="00750B6C">
            <w:pPr>
              <w:keepNext/>
              <w:spacing w:line="240" w:lineRule="auto"/>
              <w:rPr>
                <w:rFonts w:eastAsia="Times New Roman" w:cs="Arial"/>
                <w:b/>
                <w:bCs/>
                <w:color w:val="000000"/>
                <w:sz w:val="16"/>
                <w:szCs w:val="16"/>
                <w:lang w:val="fr-CH" w:eastAsia="de-CH"/>
              </w:rPr>
            </w:pPr>
            <w:r w:rsidRPr="0029167E">
              <w:rPr>
                <w:rFonts w:eastAsia="Times New Roman" w:cs="Arial"/>
                <w:b/>
                <w:bCs/>
                <w:color w:val="000000"/>
                <w:sz w:val="16"/>
                <w:szCs w:val="16"/>
                <w:lang w:val="fr-CH" w:eastAsia="de-CH"/>
              </w:rPr>
              <w:t> </w:t>
            </w:r>
          </w:p>
        </w:tc>
        <w:tc>
          <w:tcPr>
            <w:tcW w:w="227" w:type="dxa"/>
            <w:tcBorders>
              <w:top w:val="nil"/>
              <w:left w:val="nil"/>
              <w:bottom w:val="nil"/>
              <w:right w:val="nil"/>
            </w:tcBorders>
            <w:shd w:val="clear" w:color="000000" w:fill="FFFFFF"/>
            <w:noWrap/>
            <w:vAlign w:val="bottom"/>
            <w:hideMark/>
          </w:tcPr>
          <w:p w14:paraId="37AD299B"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D9D9D9"/>
            <w:noWrap/>
            <w:vAlign w:val="bottom"/>
            <w:hideMark/>
          </w:tcPr>
          <w:p w14:paraId="092202D1" w14:textId="009C1A71"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8F6763" w:rsidRPr="0029167E">
              <w:rPr>
                <w:rFonts w:eastAsia="Times New Roman" w:cs="Arial"/>
                <w:b/>
                <w:bCs/>
                <w:color w:val="000000"/>
                <w:sz w:val="16"/>
                <w:szCs w:val="16"/>
                <w:lang w:val="de-CH" w:eastAsia="de-CH"/>
              </w:rPr>
              <w:t>4</w:t>
            </w:r>
          </w:p>
        </w:tc>
        <w:tc>
          <w:tcPr>
            <w:tcW w:w="606" w:type="dxa"/>
            <w:tcBorders>
              <w:top w:val="nil"/>
              <w:left w:val="nil"/>
              <w:bottom w:val="nil"/>
              <w:right w:val="nil"/>
            </w:tcBorders>
            <w:shd w:val="clear" w:color="000000" w:fill="D9D9D9"/>
            <w:noWrap/>
            <w:vAlign w:val="bottom"/>
            <w:hideMark/>
          </w:tcPr>
          <w:p w14:paraId="78D2C7CA"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194" w:type="dxa"/>
            <w:tcBorders>
              <w:top w:val="nil"/>
              <w:left w:val="nil"/>
              <w:bottom w:val="nil"/>
              <w:right w:val="nil"/>
            </w:tcBorders>
            <w:shd w:val="clear" w:color="000000" w:fill="D9D9D9"/>
            <w:noWrap/>
            <w:vAlign w:val="bottom"/>
            <w:hideMark/>
          </w:tcPr>
          <w:p w14:paraId="4947959B"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728" w:type="dxa"/>
            <w:tcBorders>
              <w:top w:val="nil"/>
              <w:left w:val="nil"/>
              <w:bottom w:val="nil"/>
              <w:right w:val="nil"/>
            </w:tcBorders>
            <w:shd w:val="clear" w:color="000000" w:fill="D9D9D9"/>
            <w:noWrap/>
            <w:vAlign w:val="bottom"/>
            <w:hideMark/>
          </w:tcPr>
          <w:p w14:paraId="5A4333A6"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627" w:type="dxa"/>
            <w:tcBorders>
              <w:top w:val="nil"/>
              <w:left w:val="nil"/>
              <w:bottom w:val="nil"/>
              <w:right w:val="nil"/>
            </w:tcBorders>
            <w:shd w:val="clear" w:color="000000" w:fill="D9D9D9"/>
            <w:noWrap/>
            <w:vAlign w:val="bottom"/>
            <w:hideMark/>
          </w:tcPr>
          <w:p w14:paraId="5F214710"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269" w:type="dxa"/>
            <w:tcBorders>
              <w:top w:val="nil"/>
              <w:left w:val="nil"/>
              <w:bottom w:val="nil"/>
              <w:right w:val="nil"/>
            </w:tcBorders>
            <w:shd w:val="clear" w:color="000000" w:fill="FFFFFF"/>
            <w:noWrap/>
            <w:vAlign w:val="bottom"/>
            <w:hideMark/>
          </w:tcPr>
          <w:p w14:paraId="1AB00FE6"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922" w:type="dxa"/>
            <w:tcBorders>
              <w:top w:val="nil"/>
              <w:left w:val="nil"/>
              <w:bottom w:val="nil"/>
              <w:right w:val="nil"/>
            </w:tcBorders>
            <w:shd w:val="clear" w:color="000000" w:fill="D9D9D9"/>
            <w:noWrap/>
            <w:vAlign w:val="bottom"/>
            <w:hideMark/>
          </w:tcPr>
          <w:p w14:paraId="6F5EB149" w14:textId="0877C38E" w:rsidR="008A2DB6" w:rsidRPr="0029167E" w:rsidRDefault="008A2DB6" w:rsidP="008F6763">
            <w:pPr>
              <w:keepNext/>
              <w:spacing w:line="240" w:lineRule="auto"/>
              <w:ind w:right="-35"/>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8F6763" w:rsidRPr="0029167E">
              <w:rPr>
                <w:rFonts w:eastAsia="Times New Roman" w:cs="Arial"/>
                <w:b/>
                <w:bCs/>
                <w:color w:val="000000"/>
                <w:sz w:val="16"/>
                <w:szCs w:val="16"/>
                <w:lang w:val="de-CH" w:eastAsia="de-CH"/>
              </w:rPr>
              <w:t xml:space="preserve">3 </w:t>
            </w:r>
            <w:r w:rsidR="00E8106C" w:rsidRPr="0029167E">
              <w:rPr>
                <w:rFonts w:eastAsia="Times New Roman" w:cs="Arial"/>
                <w:b/>
                <w:bCs/>
                <w:color w:val="000000"/>
                <w:sz w:val="16"/>
                <w:szCs w:val="16"/>
                <w:lang w:val="de-CH" w:eastAsia="de-CH"/>
              </w:rPr>
              <w:t>(</w:t>
            </w:r>
            <w:proofErr w:type="spellStart"/>
            <w:r w:rsidR="008F6763" w:rsidRPr="0029167E">
              <w:rPr>
                <w:rFonts w:eastAsia="Times New Roman" w:cs="Arial"/>
                <w:b/>
                <w:bCs/>
                <w:color w:val="000000"/>
                <w:sz w:val="16"/>
                <w:szCs w:val="16"/>
                <w:lang w:val="de-CH" w:eastAsia="de-CH"/>
              </w:rPr>
              <w:t>recalculé</w:t>
            </w:r>
            <w:proofErr w:type="spellEnd"/>
            <w:r w:rsidR="00E8106C" w:rsidRPr="0029167E">
              <w:rPr>
                <w:rFonts w:eastAsia="Times New Roman" w:cs="Arial"/>
                <w:b/>
                <w:bCs/>
                <w:color w:val="000000"/>
                <w:sz w:val="16"/>
                <w:szCs w:val="16"/>
                <w:lang w:val="de-CH" w:eastAsia="de-CH"/>
              </w:rPr>
              <w:t>)</w:t>
            </w:r>
          </w:p>
        </w:tc>
        <w:tc>
          <w:tcPr>
            <w:tcW w:w="728" w:type="dxa"/>
            <w:tcBorders>
              <w:top w:val="nil"/>
              <w:left w:val="nil"/>
              <w:bottom w:val="nil"/>
              <w:right w:val="nil"/>
            </w:tcBorders>
            <w:shd w:val="clear" w:color="000000" w:fill="D9D9D9"/>
            <w:noWrap/>
            <w:vAlign w:val="bottom"/>
            <w:hideMark/>
          </w:tcPr>
          <w:p w14:paraId="1EC42958" w14:textId="77777777" w:rsidR="008A2DB6" w:rsidRPr="0029167E" w:rsidRDefault="008A2DB6"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r>
      <w:tr w:rsidR="008A2DB6" w:rsidRPr="0029167E" w14:paraId="1C1EE9D4" w14:textId="77777777" w:rsidTr="008A2DB6">
        <w:trPr>
          <w:trHeight w:val="1161"/>
        </w:trPr>
        <w:tc>
          <w:tcPr>
            <w:tcW w:w="3219" w:type="dxa"/>
            <w:tcBorders>
              <w:top w:val="nil"/>
              <w:left w:val="nil"/>
              <w:bottom w:val="single" w:sz="4" w:space="0" w:color="auto"/>
              <w:right w:val="nil"/>
            </w:tcBorders>
            <w:shd w:val="clear" w:color="000000" w:fill="FFFFFF"/>
            <w:vAlign w:val="bottom"/>
            <w:hideMark/>
          </w:tcPr>
          <w:p w14:paraId="5EB3F5BD" w14:textId="6FD78F61" w:rsidR="008A2DB6" w:rsidRPr="0029167E" w:rsidRDefault="008A2DB6" w:rsidP="00750B6C">
            <w:pPr>
              <w:keepNext/>
              <w:spacing w:after="240"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Convention de </w:t>
            </w:r>
            <w:proofErr w:type="gramStart"/>
            <w:r w:rsidRPr="0029167E">
              <w:rPr>
                <w:rFonts w:eastAsia="Times New Roman" w:cs="Arial"/>
                <w:color w:val="000000"/>
                <w:sz w:val="12"/>
                <w:szCs w:val="12"/>
                <w:lang w:val="fr-CH" w:eastAsia="de-CH"/>
              </w:rPr>
              <w:t>signes:</w:t>
            </w:r>
            <w:proofErr w:type="gramEnd"/>
            <w:r w:rsidRPr="0029167E">
              <w:rPr>
                <w:rFonts w:eastAsia="Times New Roman" w:cs="Arial"/>
                <w:color w:val="000000"/>
                <w:sz w:val="12"/>
                <w:szCs w:val="12"/>
                <w:lang w:val="fr-CH" w:eastAsia="de-CH"/>
              </w:rPr>
              <w:t xml:space="preserve"> </w:t>
            </w:r>
            <w:r w:rsidRPr="0029167E">
              <w:rPr>
                <w:rFonts w:eastAsia="Times New Roman" w:cs="Arial"/>
                <w:color w:val="000000"/>
                <w:sz w:val="12"/>
                <w:szCs w:val="12"/>
                <w:lang w:val="fr-CH" w:eastAsia="de-CH"/>
              </w:rPr>
              <w:br/>
              <w:t xml:space="preserve">CPR = actifs -  </w:t>
            </w:r>
            <w:r w:rsidR="00C202E3" w:rsidRPr="0029167E">
              <w:rPr>
                <w:rFonts w:eastAsia="Times New Roman" w:cs="Arial"/>
                <w:color w:val="000000"/>
                <w:sz w:val="12"/>
                <w:szCs w:val="12"/>
                <w:lang w:val="fr-CH" w:eastAsia="de-CH"/>
              </w:rPr>
              <w:t>engagements</w:t>
            </w:r>
            <w:r w:rsidRPr="0029167E">
              <w:rPr>
                <w:rFonts w:eastAsia="Times New Roman" w:cs="Arial"/>
                <w:color w:val="000000"/>
                <w:sz w:val="12"/>
                <w:szCs w:val="12"/>
                <w:lang w:val="fr-CH" w:eastAsia="de-CH"/>
              </w:rPr>
              <w:t xml:space="preserve"> + déductions + </w:t>
            </w:r>
            <w:r w:rsidR="008F6763" w:rsidRPr="0029167E">
              <w:rPr>
                <w:rFonts w:eastAsia="Times New Roman" w:cs="Arial"/>
                <w:color w:val="000000"/>
                <w:sz w:val="12"/>
                <w:szCs w:val="12"/>
                <w:lang w:val="fr-CH" w:eastAsia="de-CH"/>
              </w:rPr>
              <w:t>RA</w:t>
            </w:r>
            <w:r w:rsidR="00DF507F" w:rsidRPr="0029167E">
              <w:rPr>
                <w:rFonts w:eastAsia="Times New Roman" w:cs="Arial"/>
                <w:color w:val="000000"/>
                <w:sz w:val="12"/>
                <w:szCs w:val="12"/>
                <w:lang w:val="fr-CH" w:eastAsia="de-CH"/>
              </w:rPr>
              <w:t>K</w:t>
            </w:r>
          </w:p>
        </w:tc>
        <w:tc>
          <w:tcPr>
            <w:tcW w:w="227" w:type="dxa"/>
            <w:tcBorders>
              <w:top w:val="nil"/>
              <w:left w:val="nil"/>
              <w:bottom w:val="single" w:sz="4" w:space="0" w:color="auto"/>
              <w:right w:val="nil"/>
            </w:tcBorders>
            <w:shd w:val="clear" w:color="000000" w:fill="FFFFFF"/>
            <w:vAlign w:val="bottom"/>
            <w:hideMark/>
          </w:tcPr>
          <w:p w14:paraId="38E72AF4"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single" w:sz="4" w:space="0" w:color="auto"/>
              <w:right w:val="nil"/>
            </w:tcBorders>
            <w:shd w:val="clear" w:color="000000" w:fill="F2F2F2"/>
            <w:vAlign w:val="bottom"/>
            <w:hideMark/>
          </w:tcPr>
          <w:p w14:paraId="5E2CB210" w14:textId="77777777" w:rsidR="008A2DB6" w:rsidRPr="0029167E" w:rsidRDefault="008A2DB6" w:rsidP="00750B6C">
            <w:pPr>
              <w:keepNext/>
              <w:spacing w:line="240" w:lineRule="auto"/>
              <w:rPr>
                <w:rFonts w:eastAsia="Times New Roman" w:cs="Arial"/>
                <w:color w:val="000000"/>
                <w:sz w:val="16"/>
                <w:szCs w:val="16"/>
                <w:lang w:val="fr-CH" w:eastAsia="de-CH"/>
              </w:rPr>
            </w:pPr>
            <w:proofErr w:type="gramStart"/>
            <w:r w:rsidRPr="0029167E">
              <w:rPr>
                <w:rFonts w:eastAsia="Times New Roman" w:cs="Arial"/>
                <w:color w:val="000000"/>
                <w:sz w:val="16"/>
                <w:szCs w:val="16"/>
                <w:lang w:val="fr-CH" w:eastAsia="de-CH"/>
              </w:rPr>
              <w:t>en</w:t>
            </w:r>
            <w:proofErr w:type="gramEnd"/>
            <w:r w:rsidRPr="0029167E">
              <w:rPr>
                <w:rFonts w:eastAsia="Times New Roman" w:cs="Arial"/>
                <w:color w:val="000000"/>
                <w:sz w:val="16"/>
                <w:szCs w:val="16"/>
                <w:lang w:val="fr-CH" w:eastAsia="de-CH"/>
              </w:rPr>
              <w:t xml:space="preserve"> millions de </w:t>
            </w:r>
          </w:p>
          <w:p w14:paraId="17679D92" w14:textId="19D01119" w:rsidR="008A2DB6" w:rsidRPr="0029167E" w:rsidRDefault="008A2DB6" w:rsidP="00750B6C">
            <w:pPr>
              <w:keepNext/>
              <w:spacing w:line="240" w:lineRule="auto"/>
              <w:rPr>
                <w:rFonts w:eastAsia="Times New Roman" w:cs="Arial"/>
                <w:color w:val="000000"/>
                <w:sz w:val="16"/>
                <w:szCs w:val="16"/>
                <w:lang w:val="fr-CH" w:eastAsia="de-CH"/>
              </w:rPr>
            </w:pPr>
            <w:r w:rsidRPr="0029167E">
              <w:rPr>
                <w:color w:val="000000"/>
                <w:sz w:val="16"/>
                <w:szCs w:val="16"/>
              </w:rPr>
              <w:t>&lt;</w:t>
            </w:r>
            <w:proofErr w:type="gramStart"/>
            <w:r w:rsidRPr="0029167E">
              <w:rPr>
                <w:color w:val="000000"/>
                <w:sz w:val="16"/>
                <w:szCs w:val="16"/>
              </w:rPr>
              <w:t>monnaie</w:t>
            </w:r>
            <w:proofErr w:type="gramEnd"/>
            <w:r w:rsidRPr="0029167E">
              <w:rPr>
                <w:color w:val="000000"/>
                <w:sz w:val="16"/>
                <w:szCs w:val="16"/>
              </w:rPr>
              <w:t xml:space="preserve"> du SST&gt;</w:t>
            </w:r>
          </w:p>
        </w:tc>
        <w:tc>
          <w:tcPr>
            <w:tcW w:w="606" w:type="dxa"/>
            <w:tcBorders>
              <w:top w:val="nil"/>
              <w:left w:val="nil"/>
              <w:bottom w:val="single" w:sz="4" w:space="0" w:color="auto"/>
              <w:right w:val="nil"/>
            </w:tcBorders>
            <w:shd w:val="clear" w:color="000000" w:fill="FFFFFF"/>
            <w:vAlign w:val="bottom"/>
            <w:hideMark/>
          </w:tcPr>
          <w:p w14:paraId="7D14B616"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Diff rel. </w:t>
            </w:r>
            <w:proofErr w:type="spellStart"/>
            <w:r w:rsidRPr="0029167E">
              <w:rPr>
                <w:rFonts w:eastAsia="Times New Roman" w:cs="Arial"/>
                <w:color w:val="000000"/>
                <w:sz w:val="16"/>
                <w:szCs w:val="16"/>
                <w:lang w:val="de-CH" w:eastAsia="de-CH"/>
              </w:rPr>
              <w:t>année</w:t>
            </w:r>
            <w:proofErr w:type="spellEnd"/>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préc</w:t>
            </w:r>
            <w:proofErr w:type="spellEnd"/>
            <w:r w:rsidRPr="0029167E">
              <w:rPr>
                <w:rFonts w:eastAsia="Times New Roman" w:cs="Arial"/>
                <w:color w:val="000000"/>
                <w:sz w:val="16"/>
                <w:szCs w:val="16"/>
                <w:lang w:val="de-CH" w:eastAsia="de-CH"/>
              </w:rPr>
              <w:t>.</w:t>
            </w:r>
          </w:p>
        </w:tc>
        <w:tc>
          <w:tcPr>
            <w:tcW w:w="194" w:type="dxa"/>
            <w:tcBorders>
              <w:top w:val="nil"/>
              <w:left w:val="nil"/>
              <w:bottom w:val="single" w:sz="4" w:space="0" w:color="auto"/>
              <w:right w:val="nil"/>
            </w:tcBorders>
            <w:shd w:val="clear" w:color="000000" w:fill="FFFFFF"/>
            <w:vAlign w:val="bottom"/>
            <w:hideMark/>
          </w:tcPr>
          <w:p w14:paraId="1E9A7835"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single" w:sz="4" w:space="0" w:color="auto"/>
              <w:right w:val="nil"/>
            </w:tcBorders>
            <w:shd w:val="clear" w:color="000000" w:fill="F2F2F2"/>
            <w:vAlign w:val="bottom"/>
            <w:hideMark/>
          </w:tcPr>
          <w:p w14:paraId="270259CE"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w:t>
            </w:r>
            <w:r w:rsidRPr="0029167E">
              <w:rPr>
                <w:rFonts w:eastAsia="Times New Roman" w:cs="Arial"/>
                <w:color w:val="000000"/>
                <w:sz w:val="16"/>
                <w:szCs w:val="16"/>
                <w:lang w:val="de-CH" w:eastAsia="de-CH"/>
              </w:rPr>
              <w:br/>
              <w:t xml:space="preserve">Somme </w:t>
            </w:r>
            <w:proofErr w:type="spellStart"/>
            <w:r w:rsidRPr="0029167E">
              <w:rPr>
                <w:rFonts w:eastAsia="Times New Roman" w:cs="Arial"/>
                <w:color w:val="000000"/>
                <w:sz w:val="16"/>
                <w:szCs w:val="16"/>
                <w:lang w:val="de-CH" w:eastAsia="de-CH"/>
              </w:rPr>
              <w:t>bilan</w:t>
            </w:r>
            <w:proofErr w:type="spellEnd"/>
            <w:r w:rsidRPr="0029167E">
              <w:rPr>
                <w:rFonts w:eastAsia="Times New Roman" w:cs="Arial"/>
                <w:color w:val="000000"/>
                <w:sz w:val="16"/>
                <w:szCs w:val="16"/>
                <w:lang w:val="de-CH" w:eastAsia="de-CH"/>
              </w:rPr>
              <w:t xml:space="preserve"> SST</w:t>
            </w:r>
          </w:p>
        </w:tc>
        <w:tc>
          <w:tcPr>
            <w:tcW w:w="627" w:type="dxa"/>
            <w:tcBorders>
              <w:top w:val="nil"/>
              <w:left w:val="nil"/>
              <w:bottom w:val="single" w:sz="4" w:space="0" w:color="auto"/>
              <w:right w:val="nil"/>
            </w:tcBorders>
            <w:shd w:val="clear" w:color="000000" w:fill="FFFFFF"/>
            <w:vAlign w:val="bottom"/>
            <w:hideMark/>
          </w:tcPr>
          <w:p w14:paraId="203BF16E"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Diff rel. </w:t>
            </w:r>
            <w:proofErr w:type="spellStart"/>
            <w:r w:rsidRPr="0029167E">
              <w:rPr>
                <w:rFonts w:eastAsia="Times New Roman" w:cs="Arial"/>
                <w:color w:val="000000"/>
                <w:sz w:val="16"/>
                <w:szCs w:val="16"/>
                <w:lang w:val="de-CH" w:eastAsia="de-CH"/>
              </w:rPr>
              <w:t>année</w:t>
            </w:r>
            <w:proofErr w:type="spellEnd"/>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préc</w:t>
            </w:r>
            <w:proofErr w:type="spellEnd"/>
            <w:r w:rsidRPr="0029167E">
              <w:rPr>
                <w:rFonts w:eastAsia="Times New Roman" w:cs="Arial"/>
                <w:color w:val="000000"/>
                <w:sz w:val="16"/>
                <w:szCs w:val="16"/>
                <w:lang w:val="de-CH" w:eastAsia="de-CH"/>
              </w:rPr>
              <w:t>.</w:t>
            </w:r>
          </w:p>
        </w:tc>
        <w:tc>
          <w:tcPr>
            <w:tcW w:w="269" w:type="dxa"/>
            <w:tcBorders>
              <w:top w:val="nil"/>
              <w:left w:val="nil"/>
              <w:bottom w:val="single" w:sz="4" w:space="0" w:color="auto"/>
              <w:right w:val="nil"/>
            </w:tcBorders>
            <w:shd w:val="clear" w:color="000000" w:fill="FFFFFF"/>
            <w:noWrap/>
            <w:vAlign w:val="bottom"/>
            <w:hideMark/>
          </w:tcPr>
          <w:p w14:paraId="36A9C847"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single" w:sz="4" w:space="0" w:color="auto"/>
              <w:right w:val="nil"/>
            </w:tcBorders>
            <w:shd w:val="clear" w:color="000000" w:fill="F2F2F2"/>
            <w:vAlign w:val="bottom"/>
            <w:hideMark/>
          </w:tcPr>
          <w:p w14:paraId="529A60E3" w14:textId="77777777" w:rsidR="008A2DB6" w:rsidRPr="0029167E" w:rsidRDefault="008A2DB6" w:rsidP="00750B6C">
            <w:pPr>
              <w:keepNext/>
              <w:spacing w:line="240" w:lineRule="auto"/>
              <w:rPr>
                <w:rFonts w:eastAsia="Times New Roman" w:cs="Arial"/>
                <w:color w:val="000000"/>
                <w:sz w:val="16"/>
                <w:szCs w:val="16"/>
                <w:lang w:val="fr-CH" w:eastAsia="de-CH"/>
              </w:rPr>
            </w:pPr>
            <w:proofErr w:type="gramStart"/>
            <w:r w:rsidRPr="0029167E">
              <w:rPr>
                <w:rFonts w:eastAsia="Times New Roman" w:cs="Arial"/>
                <w:color w:val="000000"/>
                <w:sz w:val="16"/>
                <w:szCs w:val="16"/>
                <w:lang w:val="fr-CH" w:eastAsia="de-CH"/>
              </w:rPr>
              <w:t>en</w:t>
            </w:r>
            <w:proofErr w:type="gramEnd"/>
            <w:r w:rsidRPr="0029167E">
              <w:rPr>
                <w:rFonts w:eastAsia="Times New Roman" w:cs="Arial"/>
                <w:color w:val="000000"/>
                <w:sz w:val="16"/>
                <w:szCs w:val="16"/>
                <w:lang w:val="fr-CH" w:eastAsia="de-CH"/>
              </w:rPr>
              <w:t xml:space="preserve"> millions de </w:t>
            </w:r>
          </w:p>
          <w:p w14:paraId="2A7511ED" w14:textId="64CE1F79" w:rsidR="008A2DB6" w:rsidRPr="0029167E" w:rsidRDefault="008A2DB6" w:rsidP="00750B6C">
            <w:pPr>
              <w:keepNext/>
              <w:spacing w:line="240" w:lineRule="auto"/>
              <w:rPr>
                <w:rFonts w:eastAsia="Times New Roman" w:cs="Arial"/>
                <w:color w:val="000000"/>
                <w:sz w:val="16"/>
                <w:szCs w:val="16"/>
                <w:lang w:val="fr-CH" w:eastAsia="de-CH"/>
              </w:rPr>
            </w:pPr>
            <w:r w:rsidRPr="0029167E">
              <w:rPr>
                <w:color w:val="000000"/>
                <w:sz w:val="16"/>
                <w:szCs w:val="16"/>
              </w:rPr>
              <w:t>&lt;</w:t>
            </w:r>
            <w:proofErr w:type="gramStart"/>
            <w:r w:rsidRPr="0029167E">
              <w:rPr>
                <w:color w:val="000000"/>
                <w:sz w:val="16"/>
                <w:szCs w:val="16"/>
              </w:rPr>
              <w:t>monnaie</w:t>
            </w:r>
            <w:proofErr w:type="gramEnd"/>
            <w:r w:rsidRPr="0029167E">
              <w:rPr>
                <w:color w:val="000000"/>
                <w:sz w:val="16"/>
                <w:szCs w:val="16"/>
              </w:rPr>
              <w:t xml:space="preserve"> du SST&gt;</w:t>
            </w:r>
          </w:p>
        </w:tc>
        <w:tc>
          <w:tcPr>
            <w:tcW w:w="728" w:type="dxa"/>
            <w:tcBorders>
              <w:top w:val="nil"/>
              <w:left w:val="nil"/>
              <w:bottom w:val="single" w:sz="4" w:space="0" w:color="auto"/>
              <w:right w:val="nil"/>
            </w:tcBorders>
            <w:shd w:val="clear" w:color="000000" w:fill="F2F2F2"/>
            <w:vAlign w:val="bottom"/>
            <w:hideMark/>
          </w:tcPr>
          <w:p w14:paraId="683D8B89"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w:t>
            </w:r>
            <w:r w:rsidRPr="0029167E">
              <w:rPr>
                <w:rFonts w:eastAsia="Times New Roman" w:cs="Arial"/>
                <w:color w:val="000000"/>
                <w:sz w:val="16"/>
                <w:szCs w:val="16"/>
                <w:lang w:val="de-CH" w:eastAsia="de-CH"/>
              </w:rPr>
              <w:br/>
              <w:t xml:space="preserve">Somme </w:t>
            </w:r>
            <w:proofErr w:type="spellStart"/>
            <w:r w:rsidRPr="0029167E">
              <w:rPr>
                <w:rFonts w:eastAsia="Times New Roman" w:cs="Arial"/>
                <w:color w:val="000000"/>
                <w:sz w:val="16"/>
                <w:szCs w:val="16"/>
                <w:lang w:val="de-CH" w:eastAsia="de-CH"/>
              </w:rPr>
              <w:t>bilan</w:t>
            </w:r>
            <w:proofErr w:type="spellEnd"/>
            <w:r w:rsidRPr="0029167E">
              <w:rPr>
                <w:rFonts w:eastAsia="Times New Roman" w:cs="Arial"/>
                <w:color w:val="000000"/>
                <w:sz w:val="16"/>
                <w:szCs w:val="16"/>
                <w:lang w:val="de-CH" w:eastAsia="de-CH"/>
              </w:rPr>
              <w:t xml:space="preserve"> SST</w:t>
            </w:r>
          </w:p>
        </w:tc>
      </w:tr>
      <w:tr w:rsidR="008A2DB6" w:rsidRPr="0029167E" w14:paraId="5F7FEFEC" w14:textId="77777777" w:rsidTr="008A2DB6">
        <w:trPr>
          <w:trHeight w:val="263"/>
        </w:trPr>
        <w:tc>
          <w:tcPr>
            <w:tcW w:w="3219" w:type="dxa"/>
            <w:tcBorders>
              <w:top w:val="nil"/>
              <w:left w:val="nil"/>
              <w:bottom w:val="nil"/>
              <w:right w:val="nil"/>
            </w:tcBorders>
            <w:shd w:val="clear" w:color="000000" w:fill="FFFFFF"/>
            <w:noWrap/>
            <w:vAlign w:val="bottom"/>
            <w:hideMark/>
          </w:tcPr>
          <w:p w14:paraId="68FD226F"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227" w:type="dxa"/>
            <w:tcBorders>
              <w:top w:val="nil"/>
              <w:left w:val="nil"/>
              <w:bottom w:val="nil"/>
              <w:right w:val="nil"/>
            </w:tcBorders>
            <w:shd w:val="clear" w:color="000000" w:fill="FFFFFF"/>
            <w:noWrap/>
            <w:vAlign w:val="bottom"/>
            <w:hideMark/>
          </w:tcPr>
          <w:p w14:paraId="521EF3E9"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01" w:type="dxa"/>
            <w:tcBorders>
              <w:top w:val="nil"/>
              <w:left w:val="nil"/>
              <w:bottom w:val="nil"/>
              <w:right w:val="nil"/>
            </w:tcBorders>
            <w:shd w:val="clear" w:color="000000" w:fill="FFFFFF"/>
            <w:noWrap/>
            <w:vAlign w:val="bottom"/>
            <w:hideMark/>
          </w:tcPr>
          <w:p w14:paraId="08800797"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606" w:type="dxa"/>
            <w:tcBorders>
              <w:top w:val="nil"/>
              <w:left w:val="nil"/>
              <w:bottom w:val="nil"/>
              <w:right w:val="nil"/>
            </w:tcBorders>
            <w:shd w:val="clear" w:color="000000" w:fill="FFFFFF"/>
            <w:noWrap/>
            <w:vAlign w:val="bottom"/>
            <w:hideMark/>
          </w:tcPr>
          <w:p w14:paraId="32AFEC72"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94" w:type="dxa"/>
            <w:tcBorders>
              <w:top w:val="nil"/>
              <w:left w:val="nil"/>
              <w:bottom w:val="nil"/>
              <w:right w:val="nil"/>
            </w:tcBorders>
            <w:shd w:val="clear" w:color="000000" w:fill="FFFFFF"/>
            <w:noWrap/>
            <w:vAlign w:val="bottom"/>
            <w:hideMark/>
          </w:tcPr>
          <w:p w14:paraId="220E9AEC"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hideMark/>
          </w:tcPr>
          <w:p w14:paraId="255A0A7B"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627" w:type="dxa"/>
            <w:tcBorders>
              <w:top w:val="nil"/>
              <w:left w:val="nil"/>
              <w:bottom w:val="nil"/>
              <w:right w:val="nil"/>
            </w:tcBorders>
            <w:shd w:val="clear" w:color="000000" w:fill="FFFFFF"/>
            <w:noWrap/>
            <w:vAlign w:val="bottom"/>
            <w:hideMark/>
          </w:tcPr>
          <w:p w14:paraId="0A50D3BF"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269" w:type="dxa"/>
            <w:tcBorders>
              <w:top w:val="nil"/>
              <w:left w:val="nil"/>
              <w:bottom w:val="nil"/>
              <w:right w:val="nil"/>
            </w:tcBorders>
            <w:shd w:val="clear" w:color="000000" w:fill="FFFFFF"/>
            <w:noWrap/>
            <w:vAlign w:val="bottom"/>
            <w:hideMark/>
          </w:tcPr>
          <w:p w14:paraId="59D80FAA"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nil"/>
              <w:right w:val="nil"/>
            </w:tcBorders>
            <w:shd w:val="clear" w:color="000000" w:fill="FFFFFF"/>
            <w:noWrap/>
            <w:vAlign w:val="bottom"/>
            <w:hideMark/>
          </w:tcPr>
          <w:p w14:paraId="50DDDF53"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hideMark/>
          </w:tcPr>
          <w:p w14:paraId="6ACD4293"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8A2DB6" w:rsidRPr="0029167E" w14:paraId="2C3B7022" w14:textId="77777777" w:rsidTr="00C276FE">
        <w:trPr>
          <w:trHeight w:val="263"/>
        </w:trPr>
        <w:tc>
          <w:tcPr>
            <w:tcW w:w="3219" w:type="dxa"/>
            <w:tcBorders>
              <w:top w:val="nil"/>
              <w:left w:val="nil"/>
              <w:bottom w:val="nil"/>
              <w:right w:val="nil"/>
            </w:tcBorders>
            <w:shd w:val="clear" w:color="000000" w:fill="D9D9D9"/>
            <w:noWrap/>
            <w:vAlign w:val="bottom"/>
            <w:hideMark/>
          </w:tcPr>
          <w:p w14:paraId="4A240793"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Capital porteur de risque (CPR)</w:t>
            </w:r>
          </w:p>
        </w:tc>
        <w:tc>
          <w:tcPr>
            <w:tcW w:w="227" w:type="dxa"/>
            <w:tcBorders>
              <w:top w:val="nil"/>
              <w:left w:val="nil"/>
              <w:bottom w:val="nil"/>
              <w:right w:val="nil"/>
            </w:tcBorders>
            <w:shd w:val="clear" w:color="000000" w:fill="FFFFFF"/>
            <w:noWrap/>
            <w:vAlign w:val="bottom"/>
            <w:hideMark/>
          </w:tcPr>
          <w:p w14:paraId="6343803F"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D9D9D9"/>
            <w:noWrap/>
            <w:vAlign w:val="bottom"/>
          </w:tcPr>
          <w:p w14:paraId="2F9BD5AB" w14:textId="1D9B8D8F"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0860C05D" w14:textId="6323AB7A"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hideMark/>
          </w:tcPr>
          <w:p w14:paraId="02C06EF4"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D9D9D9"/>
            <w:noWrap/>
            <w:vAlign w:val="bottom"/>
          </w:tcPr>
          <w:p w14:paraId="2B6D3ED7" w14:textId="0E523297"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19107A6E" w14:textId="6E515BEC"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hideMark/>
          </w:tcPr>
          <w:p w14:paraId="28357A8C"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22" w:type="dxa"/>
            <w:tcBorders>
              <w:top w:val="nil"/>
              <w:left w:val="nil"/>
              <w:bottom w:val="nil"/>
              <w:right w:val="nil"/>
            </w:tcBorders>
            <w:shd w:val="clear" w:color="000000" w:fill="D9D9D9"/>
            <w:noWrap/>
            <w:vAlign w:val="bottom"/>
          </w:tcPr>
          <w:p w14:paraId="26AB0342" w14:textId="3379CD6B"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D9D9D9"/>
            <w:noWrap/>
            <w:vAlign w:val="bottom"/>
            <w:hideMark/>
          </w:tcPr>
          <w:p w14:paraId="09A8CFE0" w14:textId="6B3CCCDD" w:rsidR="008A2DB6" w:rsidRPr="0029167E" w:rsidRDefault="008A2DB6" w:rsidP="00750B6C">
            <w:pPr>
              <w:keepNext/>
              <w:spacing w:line="240" w:lineRule="auto"/>
              <w:jc w:val="right"/>
              <w:rPr>
                <w:rFonts w:eastAsia="Times New Roman" w:cs="Arial"/>
                <w:color w:val="000000"/>
                <w:sz w:val="16"/>
                <w:szCs w:val="16"/>
                <w:lang w:val="fr-CH" w:eastAsia="de-CH"/>
              </w:rPr>
            </w:pPr>
          </w:p>
        </w:tc>
      </w:tr>
      <w:tr w:rsidR="008A2DB6" w:rsidRPr="0029167E" w14:paraId="1BA307C7" w14:textId="77777777" w:rsidTr="00C276FE">
        <w:trPr>
          <w:trHeight w:val="263"/>
        </w:trPr>
        <w:tc>
          <w:tcPr>
            <w:tcW w:w="3219" w:type="dxa"/>
            <w:tcBorders>
              <w:top w:val="nil"/>
              <w:left w:val="nil"/>
              <w:bottom w:val="nil"/>
              <w:right w:val="nil"/>
            </w:tcBorders>
            <w:shd w:val="clear" w:color="000000" w:fill="F2F2F2"/>
            <w:noWrap/>
            <w:vAlign w:val="bottom"/>
            <w:hideMark/>
          </w:tcPr>
          <w:p w14:paraId="7F49A52F" w14:textId="150F88D3"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Valeur </w:t>
            </w:r>
            <w:r w:rsidR="001602A0">
              <w:rPr>
                <w:rFonts w:eastAsia="Times New Roman" w:cs="Arial"/>
                <w:color w:val="000000"/>
                <w:sz w:val="16"/>
                <w:szCs w:val="16"/>
                <w:lang w:val="fr-CH" w:eastAsia="de-CH"/>
              </w:rPr>
              <w:t>conforme au</w:t>
            </w:r>
            <w:r w:rsidRPr="0029167E">
              <w:rPr>
                <w:rFonts w:eastAsia="Times New Roman" w:cs="Arial"/>
                <w:color w:val="000000"/>
                <w:sz w:val="16"/>
                <w:szCs w:val="16"/>
                <w:lang w:val="fr-CH" w:eastAsia="de-CH"/>
              </w:rPr>
              <w:t xml:space="preserve"> marché des actifs</w:t>
            </w:r>
          </w:p>
        </w:tc>
        <w:tc>
          <w:tcPr>
            <w:tcW w:w="227" w:type="dxa"/>
            <w:tcBorders>
              <w:top w:val="nil"/>
              <w:left w:val="nil"/>
              <w:bottom w:val="nil"/>
              <w:right w:val="nil"/>
            </w:tcBorders>
            <w:shd w:val="clear" w:color="000000" w:fill="FFFFFF"/>
            <w:noWrap/>
            <w:vAlign w:val="bottom"/>
            <w:hideMark/>
          </w:tcPr>
          <w:p w14:paraId="4752FE4D"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F2F2F2"/>
            <w:noWrap/>
            <w:vAlign w:val="bottom"/>
          </w:tcPr>
          <w:p w14:paraId="55F29E1F" w14:textId="73927B64"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57A8F668" w14:textId="6A7663B3"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hideMark/>
          </w:tcPr>
          <w:p w14:paraId="0801EA3F"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2F2F2"/>
            <w:noWrap/>
            <w:vAlign w:val="bottom"/>
          </w:tcPr>
          <w:p w14:paraId="4C842D08" w14:textId="6F809978" w:rsidR="008A2DB6" w:rsidRPr="00F34C40"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05C063F3" w14:textId="424056FC" w:rsidR="008A2DB6" w:rsidRPr="00F34C40"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hideMark/>
          </w:tcPr>
          <w:p w14:paraId="40C7252A" w14:textId="77777777" w:rsidR="008A2DB6" w:rsidRPr="00F34C40" w:rsidRDefault="008A2DB6" w:rsidP="00750B6C">
            <w:pPr>
              <w:keepNext/>
              <w:spacing w:line="240" w:lineRule="auto"/>
              <w:rPr>
                <w:rFonts w:eastAsia="Times New Roman" w:cs="Arial"/>
                <w:color w:val="000000"/>
                <w:sz w:val="16"/>
                <w:szCs w:val="16"/>
                <w:lang w:val="fr-CH" w:eastAsia="de-CH"/>
              </w:rPr>
            </w:pPr>
            <w:r w:rsidRPr="00F34C40">
              <w:rPr>
                <w:rFonts w:eastAsia="Times New Roman" w:cs="Arial"/>
                <w:color w:val="000000"/>
                <w:sz w:val="16"/>
                <w:szCs w:val="16"/>
                <w:lang w:val="fr-CH" w:eastAsia="de-CH"/>
              </w:rPr>
              <w:t> </w:t>
            </w:r>
          </w:p>
        </w:tc>
        <w:tc>
          <w:tcPr>
            <w:tcW w:w="922" w:type="dxa"/>
            <w:tcBorders>
              <w:top w:val="nil"/>
              <w:left w:val="nil"/>
              <w:bottom w:val="nil"/>
              <w:right w:val="nil"/>
            </w:tcBorders>
            <w:shd w:val="clear" w:color="000000" w:fill="F2F2F2"/>
            <w:noWrap/>
            <w:vAlign w:val="bottom"/>
          </w:tcPr>
          <w:p w14:paraId="32E98577" w14:textId="62CA58DC" w:rsidR="008A2DB6" w:rsidRPr="00F34C40"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2F2F2"/>
            <w:noWrap/>
            <w:vAlign w:val="bottom"/>
            <w:hideMark/>
          </w:tcPr>
          <w:p w14:paraId="43B1EB77" w14:textId="5D9523AD" w:rsidR="008A2DB6" w:rsidRPr="00F34C40" w:rsidRDefault="008A2DB6" w:rsidP="00750B6C">
            <w:pPr>
              <w:keepNext/>
              <w:spacing w:line="240" w:lineRule="auto"/>
              <w:jc w:val="right"/>
              <w:rPr>
                <w:rFonts w:eastAsia="Times New Roman" w:cs="Arial"/>
                <w:color w:val="000000"/>
                <w:sz w:val="16"/>
                <w:szCs w:val="16"/>
                <w:lang w:val="fr-CH" w:eastAsia="de-CH"/>
              </w:rPr>
            </w:pPr>
          </w:p>
        </w:tc>
      </w:tr>
      <w:tr w:rsidR="008A2DB6" w:rsidRPr="0029167E" w14:paraId="630C230B" w14:textId="77777777" w:rsidTr="00C276FE">
        <w:trPr>
          <w:trHeight w:val="263"/>
        </w:trPr>
        <w:tc>
          <w:tcPr>
            <w:tcW w:w="3219" w:type="dxa"/>
            <w:tcBorders>
              <w:top w:val="nil"/>
              <w:left w:val="nil"/>
              <w:bottom w:val="nil"/>
              <w:right w:val="nil"/>
            </w:tcBorders>
            <w:shd w:val="clear" w:color="000000" w:fill="FFFFFF"/>
            <w:noWrap/>
            <w:vAlign w:val="center"/>
            <w:hideMark/>
          </w:tcPr>
          <w:p w14:paraId="586E2513" w14:textId="77777777" w:rsidR="008A2DB6" w:rsidRPr="0029167E" w:rsidRDefault="008A2DB6" w:rsidP="00750B6C">
            <w:pPr>
              <w:keepNext/>
              <w:spacing w:line="240" w:lineRule="auto"/>
              <w:rPr>
                <w:rFonts w:eastAsia="Times New Roman" w:cs="Arial"/>
                <w:color w:val="000000"/>
                <w:sz w:val="12"/>
                <w:szCs w:val="12"/>
                <w:lang w:val="de-CH" w:eastAsia="de-CH"/>
              </w:rPr>
            </w:pPr>
            <w:r w:rsidRPr="00F34C40">
              <w:rPr>
                <w:rFonts w:eastAsia="Times New Roman" w:cs="Arial"/>
                <w:color w:val="000000"/>
                <w:sz w:val="12"/>
                <w:szCs w:val="12"/>
                <w:lang w:val="fr-CH" w:eastAsia="de-CH"/>
              </w:rPr>
              <w:t xml:space="preserve">    </w:t>
            </w:r>
            <w:r w:rsidRPr="0029167E">
              <w:rPr>
                <w:rFonts w:eastAsia="Times New Roman" w:cs="Arial"/>
                <w:color w:val="000000"/>
                <w:sz w:val="12"/>
                <w:szCs w:val="12"/>
                <w:lang w:val="de-CH" w:eastAsia="de-CH"/>
              </w:rPr>
              <w:t xml:space="preserve">Placements de </w:t>
            </w:r>
            <w:proofErr w:type="spellStart"/>
            <w:r w:rsidRPr="0029167E">
              <w:rPr>
                <w:rFonts w:eastAsia="Times New Roman" w:cs="Arial"/>
                <w:color w:val="000000"/>
                <w:sz w:val="12"/>
                <w:szCs w:val="12"/>
                <w:lang w:val="de-CH" w:eastAsia="de-CH"/>
              </w:rPr>
              <w:t>capitaux</w:t>
            </w:r>
            <w:proofErr w:type="spellEnd"/>
          </w:p>
        </w:tc>
        <w:tc>
          <w:tcPr>
            <w:tcW w:w="227" w:type="dxa"/>
            <w:tcBorders>
              <w:top w:val="nil"/>
              <w:left w:val="nil"/>
              <w:bottom w:val="nil"/>
              <w:right w:val="nil"/>
            </w:tcBorders>
            <w:shd w:val="clear" w:color="000000" w:fill="FFFFFF"/>
            <w:noWrap/>
            <w:vAlign w:val="bottom"/>
            <w:hideMark/>
          </w:tcPr>
          <w:p w14:paraId="14912432"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01" w:type="dxa"/>
            <w:tcBorders>
              <w:top w:val="nil"/>
              <w:left w:val="nil"/>
              <w:bottom w:val="nil"/>
              <w:right w:val="nil"/>
            </w:tcBorders>
            <w:shd w:val="clear" w:color="000000" w:fill="FFFFFF"/>
            <w:noWrap/>
            <w:vAlign w:val="bottom"/>
          </w:tcPr>
          <w:p w14:paraId="1F2640EC" w14:textId="5594A05D"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06" w:type="dxa"/>
            <w:tcBorders>
              <w:top w:val="nil"/>
              <w:left w:val="nil"/>
              <w:bottom w:val="nil"/>
              <w:right w:val="nil"/>
            </w:tcBorders>
            <w:shd w:val="clear" w:color="000000" w:fill="FFFFFF"/>
            <w:noWrap/>
            <w:vAlign w:val="bottom"/>
          </w:tcPr>
          <w:p w14:paraId="19955E66" w14:textId="5ADBB7F2"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194" w:type="dxa"/>
            <w:tcBorders>
              <w:top w:val="nil"/>
              <w:left w:val="nil"/>
              <w:bottom w:val="nil"/>
              <w:right w:val="nil"/>
            </w:tcBorders>
            <w:shd w:val="clear" w:color="000000" w:fill="FFFFFF"/>
            <w:noWrap/>
            <w:vAlign w:val="bottom"/>
            <w:hideMark/>
          </w:tcPr>
          <w:p w14:paraId="12533F88"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tcPr>
          <w:p w14:paraId="1EB8FB08" w14:textId="742D2E44"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27" w:type="dxa"/>
            <w:tcBorders>
              <w:top w:val="nil"/>
              <w:left w:val="nil"/>
              <w:bottom w:val="nil"/>
              <w:right w:val="nil"/>
            </w:tcBorders>
            <w:shd w:val="clear" w:color="000000" w:fill="FFFFFF"/>
            <w:noWrap/>
            <w:vAlign w:val="bottom"/>
          </w:tcPr>
          <w:p w14:paraId="39832558" w14:textId="3955CAE7"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269" w:type="dxa"/>
            <w:tcBorders>
              <w:top w:val="nil"/>
              <w:left w:val="nil"/>
              <w:bottom w:val="nil"/>
              <w:right w:val="nil"/>
            </w:tcBorders>
            <w:shd w:val="clear" w:color="000000" w:fill="FFFFFF"/>
            <w:noWrap/>
            <w:vAlign w:val="bottom"/>
            <w:hideMark/>
          </w:tcPr>
          <w:p w14:paraId="773C66B9"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nil"/>
              <w:right w:val="nil"/>
            </w:tcBorders>
            <w:shd w:val="clear" w:color="000000" w:fill="FFFFFF"/>
            <w:noWrap/>
            <w:vAlign w:val="bottom"/>
          </w:tcPr>
          <w:p w14:paraId="633DCB87" w14:textId="07BFEBB5"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728" w:type="dxa"/>
            <w:tcBorders>
              <w:top w:val="nil"/>
              <w:left w:val="nil"/>
              <w:bottom w:val="nil"/>
              <w:right w:val="nil"/>
            </w:tcBorders>
            <w:shd w:val="clear" w:color="000000" w:fill="FFFFFF"/>
            <w:noWrap/>
            <w:vAlign w:val="bottom"/>
          </w:tcPr>
          <w:p w14:paraId="54B5F1DA" w14:textId="19C51646" w:rsidR="008A2DB6" w:rsidRPr="0029167E" w:rsidRDefault="008A2DB6" w:rsidP="00750B6C">
            <w:pPr>
              <w:keepNext/>
              <w:spacing w:line="240" w:lineRule="auto"/>
              <w:jc w:val="right"/>
              <w:rPr>
                <w:rFonts w:eastAsia="Times New Roman" w:cs="Arial"/>
                <w:color w:val="000000"/>
                <w:sz w:val="16"/>
                <w:szCs w:val="16"/>
                <w:lang w:val="de-CH" w:eastAsia="de-CH"/>
              </w:rPr>
            </w:pPr>
          </w:p>
        </w:tc>
      </w:tr>
      <w:tr w:rsidR="008A2DB6" w:rsidRPr="0029167E" w14:paraId="38391198" w14:textId="77777777" w:rsidTr="00C276FE">
        <w:trPr>
          <w:trHeight w:val="263"/>
        </w:trPr>
        <w:tc>
          <w:tcPr>
            <w:tcW w:w="3219" w:type="dxa"/>
            <w:tcBorders>
              <w:top w:val="nil"/>
              <w:left w:val="nil"/>
              <w:bottom w:val="nil"/>
              <w:right w:val="nil"/>
            </w:tcBorders>
            <w:shd w:val="clear" w:color="000000" w:fill="FFFFFF"/>
            <w:noWrap/>
            <w:vAlign w:val="center"/>
            <w:hideMark/>
          </w:tcPr>
          <w:p w14:paraId="63A93795" w14:textId="77777777" w:rsidR="008A2DB6" w:rsidRPr="0029167E" w:rsidRDefault="008A2DB6" w:rsidP="00750B6C">
            <w:pPr>
              <w:keepNext/>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Autres</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actifs</w:t>
            </w:r>
            <w:proofErr w:type="spellEnd"/>
          </w:p>
        </w:tc>
        <w:tc>
          <w:tcPr>
            <w:tcW w:w="227" w:type="dxa"/>
            <w:tcBorders>
              <w:top w:val="nil"/>
              <w:left w:val="nil"/>
              <w:bottom w:val="nil"/>
              <w:right w:val="nil"/>
            </w:tcBorders>
            <w:shd w:val="clear" w:color="000000" w:fill="FFFFFF"/>
            <w:noWrap/>
            <w:vAlign w:val="bottom"/>
            <w:hideMark/>
          </w:tcPr>
          <w:p w14:paraId="6DC6401E"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01" w:type="dxa"/>
            <w:tcBorders>
              <w:top w:val="nil"/>
              <w:left w:val="nil"/>
              <w:bottom w:val="nil"/>
              <w:right w:val="nil"/>
            </w:tcBorders>
            <w:shd w:val="clear" w:color="000000" w:fill="FFFFFF"/>
            <w:noWrap/>
            <w:vAlign w:val="bottom"/>
          </w:tcPr>
          <w:p w14:paraId="6996BBCD" w14:textId="41D9057F"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06" w:type="dxa"/>
            <w:tcBorders>
              <w:top w:val="nil"/>
              <w:left w:val="nil"/>
              <w:bottom w:val="nil"/>
              <w:right w:val="nil"/>
            </w:tcBorders>
            <w:shd w:val="clear" w:color="000000" w:fill="FFFFFF"/>
            <w:noWrap/>
            <w:vAlign w:val="bottom"/>
          </w:tcPr>
          <w:p w14:paraId="56AF9FE2" w14:textId="3A2CAAA9"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194" w:type="dxa"/>
            <w:tcBorders>
              <w:top w:val="nil"/>
              <w:left w:val="nil"/>
              <w:bottom w:val="nil"/>
              <w:right w:val="nil"/>
            </w:tcBorders>
            <w:shd w:val="clear" w:color="000000" w:fill="FFFFFF"/>
            <w:noWrap/>
            <w:vAlign w:val="bottom"/>
            <w:hideMark/>
          </w:tcPr>
          <w:p w14:paraId="2A9576F9"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FFFFF"/>
            <w:noWrap/>
            <w:vAlign w:val="bottom"/>
          </w:tcPr>
          <w:p w14:paraId="4301E814" w14:textId="0454EE41"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27" w:type="dxa"/>
            <w:tcBorders>
              <w:top w:val="nil"/>
              <w:left w:val="nil"/>
              <w:bottom w:val="nil"/>
              <w:right w:val="nil"/>
            </w:tcBorders>
            <w:shd w:val="clear" w:color="000000" w:fill="FFFFFF"/>
            <w:noWrap/>
            <w:vAlign w:val="bottom"/>
          </w:tcPr>
          <w:p w14:paraId="3B3114E4" w14:textId="2B55D317"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269" w:type="dxa"/>
            <w:tcBorders>
              <w:top w:val="nil"/>
              <w:left w:val="nil"/>
              <w:bottom w:val="nil"/>
              <w:right w:val="nil"/>
            </w:tcBorders>
            <w:shd w:val="clear" w:color="000000" w:fill="FFFFFF"/>
            <w:noWrap/>
            <w:vAlign w:val="bottom"/>
            <w:hideMark/>
          </w:tcPr>
          <w:p w14:paraId="64FB4F8F"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nil"/>
              <w:right w:val="nil"/>
            </w:tcBorders>
            <w:shd w:val="clear" w:color="000000" w:fill="FFFFFF"/>
            <w:noWrap/>
            <w:vAlign w:val="bottom"/>
          </w:tcPr>
          <w:p w14:paraId="18280DE6" w14:textId="68C234ED"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728" w:type="dxa"/>
            <w:tcBorders>
              <w:top w:val="nil"/>
              <w:left w:val="nil"/>
              <w:bottom w:val="nil"/>
              <w:right w:val="nil"/>
            </w:tcBorders>
            <w:shd w:val="clear" w:color="000000" w:fill="FFFFFF"/>
            <w:noWrap/>
            <w:vAlign w:val="bottom"/>
          </w:tcPr>
          <w:p w14:paraId="53A9E813" w14:textId="38F44516" w:rsidR="008A2DB6" w:rsidRPr="0029167E" w:rsidRDefault="008A2DB6" w:rsidP="00750B6C">
            <w:pPr>
              <w:keepNext/>
              <w:spacing w:line="240" w:lineRule="auto"/>
              <w:jc w:val="right"/>
              <w:rPr>
                <w:rFonts w:eastAsia="Times New Roman" w:cs="Arial"/>
                <w:color w:val="000000"/>
                <w:sz w:val="16"/>
                <w:szCs w:val="16"/>
                <w:lang w:val="de-CH" w:eastAsia="de-CH"/>
              </w:rPr>
            </w:pPr>
          </w:p>
        </w:tc>
      </w:tr>
      <w:tr w:rsidR="008A2DB6" w:rsidRPr="0029167E" w14:paraId="49CB6E04" w14:textId="77777777" w:rsidTr="00C276FE">
        <w:trPr>
          <w:trHeight w:val="340"/>
        </w:trPr>
        <w:tc>
          <w:tcPr>
            <w:tcW w:w="3219" w:type="dxa"/>
            <w:tcBorders>
              <w:top w:val="nil"/>
              <w:left w:val="nil"/>
              <w:bottom w:val="nil"/>
              <w:right w:val="nil"/>
            </w:tcBorders>
            <w:shd w:val="clear" w:color="000000" w:fill="FFFFFF"/>
            <w:vAlign w:val="center"/>
            <w:hideMark/>
          </w:tcPr>
          <w:p w14:paraId="0064D541" w14:textId="1FE55C90" w:rsidR="008A2DB6" w:rsidRPr="0029167E" w:rsidRDefault="008A2DB6" w:rsidP="00750B6C">
            <w:pPr>
              <w:keepNext/>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    </w:t>
            </w:r>
            <w:proofErr w:type="gramStart"/>
            <w:r w:rsidR="00A05295" w:rsidRPr="0029167E">
              <w:rPr>
                <w:rFonts w:eastAsia="Times New Roman" w:cs="Arial"/>
                <w:color w:val="000000"/>
                <w:sz w:val="12"/>
                <w:szCs w:val="12"/>
                <w:lang w:val="fr-CH" w:eastAsia="de-CH"/>
              </w:rPr>
              <w:t>dont</w:t>
            </w:r>
            <w:proofErr w:type="gramEnd"/>
            <w:r w:rsidR="00A05295" w:rsidRPr="0029167E">
              <w:rPr>
                <w:rFonts w:eastAsia="Times New Roman" w:cs="Arial"/>
                <w:color w:val="000000"/>
                <w:sz w:val="12"/>
                <w:szCs w:val="12"/>
                <w:lang w:val="fr-CH" w:eastAsia="de-CH"/>
              </w:rPr>
              <w:t xml:space="preserve"> part des réassureurs dans les provisions techniques</w:t>
            </w:r>
          </w:p>
        </w:tc>
        <w:tc>
          <w:tcPr>
            <w:tcW w:w="227" w:type="dxa"/>
            <w:tcBorders>
              <w:top w:val="nil"/>
              <w:left w:val="nil"/>
              <w:bottom w:val="nil"/>
              <w:right w:val="nil"/>
            </w:tcBorders>
            <w:shd w:val="clear" w:color="000000" w:fill="FFFFFF"/>
            <w:noWrap/>
            <w:vAlign w:val="bottom"/>
            <w:hideMark/>
          </w:tcPr>
          <w:p w14:paraId="3755DAB5"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FFFFFF"/>
            <w:noWrap/>
            <w:vAlign w:val="bottom"/>
          </w:tcPr>
          <w:p w14:paraId="73B41F27" w14:textId="3DB4C0B0"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601C1BBE" w14:textId="5E9BF6E0"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hideMark/>
          </w:tcPr>
          <w:p w14:paraId="31613C8A"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FFFFF"/>
            <w:noWrap/>
            <w:vAlign w:val="bottom"/>
          </w:tcPr>
          <w:p w14:paraId="7A5C3EEA" w14:textId="4944EE48"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3FE68D78" w14:textId="168FE4A9"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hideMark/>
          </w:tcPr>
          <w:p w14:paraId="0ACE152E"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22" w:type="dxa"/>
            <w:tcBorders>
              <w:top w:val="nil"/>
              <w:left w:val="nil"/>
              <w:bottom w:val="nil"/>
              <w:right w:val="nil"/>
            </w:tcBorders>
            <w:shd w:val="clear" w:color="000000" w:fill="FFFFFF"/>
            <w:noWrap/>
            <w:vAlign w:val="bottom"/>
          </w:tcPr>
          <w:p w14:paraId="1F0F3E5C" w14:textId="7D754E72"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FFFFF"/>
            <w:noWrap/>
            <w:vAlign w:val="bottom"/>
          </w:tcPr>
          <w:p w14:paraId="26D80F30" w14:textId="0E0B25AD" w:rsidR="008A2DB6" w:rsidRPr="0029167E" w:rsidRDefault="008A2DB6" w:rsidP="00750B6C">
            <w:pPr>
              <w:keepNext/>
              <w:spacing w:line="240" w:lineRule="auto"/>
              <w:jc w:val="right"/>
              <w:rPr>
                <w:rFonts w:eastAsia="Times New Roman" w:cs="Arial"/>
                <w:color w:val="000000"/>
                <w:sz w:val="16"/>
                <w:szCs w:val="16"/>
                <w:lang w:val="fr-CH" w:eastAsia="de-CH"/>
              </w:rPr>
            </w:pPr>
          </w:p>
        </w:tc>
      </w:tr>
      <w:tr w:rsidR="008A2DB6" w:rsidRPr="0029167E" w14:paraId="6BECBAC3" w14:textId="77777777" w:rsidTr="00C276FE">
        <w:trPr>
          <w:trHeight w:val="263"/>
        </w:trPr>
        <w:tc>
          <w:tcPr>
            <w:tcW w:w="3219" w:type="dxa"/>
            <w:tcBorders>
              <w:top w:val="nil"/>
              <w:left w:val="nil"/>
              <w:bottom w:val="nil"/>
              <w:right w:val="nil"/>
            </w:tcBorders>
            <w:shd w:val="clear" w:color="000000" w:fill="F2F2F2"/>
            <w:noWrap/>
            <w:vAlign w:val="bottom"/>
            <w:hideMark/>
          </w:tcPr>
          <w:p w14:paraId="1C487788" w14:textId="797103B6"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fr-CH" w:eastAsia="de-CH"/>
              </w:rPr>
              <w:t xml:space="preserve"> </w:t>
            </w:r>
            <w:r w:rsidR="00C202E3" w:rsidRPr="0029167E">
              <w:rPr>
                <w:rFonts w:eastAsia="Times New Roman" w:cs="Arial"/>
                <w:color w:val="000000"/>
                <w:sz w:val="16"/>
                <w:szCs w:val="16"/>
                <w:lang w:val="de-CH" w:eastAsia="de-CH"/>
              </w:rPr>
              <w:t>Engagements</w:t>
            </w:r>
          </w:p>
        </w:tc>
        <w:tc>
          <w:tcPr>
            <w:tcW w:w="227" w:type="dxa"/>
            <w:tcBorders>
              <w:top w:val="nil"/>
              <w:left w:val="nil"/>
              <w:bottom w:val="nil"/>
              <w:right w:val="nil"/>
            </w:tcBorders>
            <w:shd w:val="clear" w:color="000000" w:fill="FFFFFF"/>
            <w:noWrap/>
            <w:vAlign w:val="bottom"/>
            <w:hideMark/>
          </w:tcPr>
          <w:p w14:paraId="231E5B59"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01" w:type="dxa"/>
            <w:tcBorders>
              <w:top w:val="nil"/>
              <w:left w:val="nil"/>
              <w:bottom w:val="nil"/>
              <w:right w:val="nil"/>
            </w:tcBorders>
            <w:shd w:val="clear" w:color="000000" w:fill="F2F2F2"/>
            <w:noWrap/>
            <w:vAlign w:val="bottom"/>
          </w:tcPr>
          <w:p w14:paraId="5EA32EFC" w14:textId="5A50FAD3"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06" w:type="dxa"/>
            <w:tcBorders>
              <w:top w:val="nil"/>
              <w:left w:val="nil"/>
              <w:bottom w:val="nil"/>
              <w:right w:val="nil"/>
            </w:tcBorders>
            <w:shd w:val="clear" w:color="000000" w:fill="FFFFFF"/>
            <w:noWrap/>
            <w:vAlign w:val="bottom"/>
          </w:tcPr>
          <w:p w14:paraId="354E6897" w14:textId="205AD548"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194" w:type="dxa"/>
            <w:tcBorders>
              <w:top w:val="nil"/>
              <w:left w:val="nil"/>
              <w:bottom w:val="nil"/>
              <w:right w:val="nil"/>
            </w:tcBorders>
            <w:shd w:val="clear" w:color="000000" w:fill="FFFFFF"/>
            <w:noWrap/>
            <w:vAlign w:val="bottom"/>
            <w:hideMark/>
          </w:tcPr>
          <w:p w14:paraId="1C0F4A0A"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2F2F2"/>
            <w:noWrap/>
            <w:vAlign w:val="bottom"/>
          </w:tcPr>
          <w:p w14:paraId="11982BAA" w14:textId="7476229C"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27" w:type="dxa"/>
            <w:tcBorders>
              <w:top w:val="nil"/>
              <w:left w:val="nil"/>
              <w:bottom w:val="nil"/>
              <w:right w:val="nil"/>
            </w:tcBorders>
            <w:shd w:val="clear" w:color="000000" w:fill="FFFFFF"/>
            <w:noWrap/>
            <w:vAlign w:val="bottom"/>
          </w:tcPr>
          <w:p w14:paraId="15CFDDEB" w14:textId="2943EFED"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269" w:type="dxa"/>
            <w:tcBorders>
              <w:top w:val="nil"/>
              <w:left w:val="nil"/>
              <w:bottom w:val="nil"/>
              <w:right w:val="nil"/>
            </w:tcBorders>
            <w:shd w:val="clear" w:color="000000" w:fill="FFFFFF"/>
            <w:noWrap/>
            <w:vAlign w:val="bottom"/>
            <w:hideMark/>
          </w:tcPr>
          <w:p w14:paraId="62814CF2"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nil"/>
              <w:right w:val="nil"/>
            </w:tcBorders>
            <w:shd w:val="clear" w:color="000000" w:fill="F2F2F2"/>
            <w:noWrap/>
            <w:vAlign w:val="bottom"/>
          </w:tcPr>
          <w:p w14:paraId="1571D22F" w14:textId="184F7044"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728" w:type="dxa"/>
            <w:tcBorders>
              <w:top w:val="nil"/>
              <w:left w:val="nil"/>
              <w:bottom w:val="nil"/>
              <w:right w:val="nil"/>
            </w:tcBorders>
            <w:shd w:val="clear" w:color="000000" w:fill="F2F2F2"/>
            <w:noWrap/>
            <w:vAlign w:val="bottom"/>
          </w:tcPr>
          <w:p w14:paraId="4A9908A0" w14:textId="5CB118AA" w:rsidR="008A2DB6" w:rsidRPr="0029167E" w:rsidRDefault="008A2DB6" w:rsidP="00750B6C">
            <w:pPr>
              <w:keepNext/>
              <w:spacing w:line="240" w:lineRule="auto"/>
              <w:jc w:val="right"/>
              <w:rPr>
                <w:rFonts w:eastAsia="Times New Roman" w:cs="Arial"/>
                <w:color w:val="000000"/>
                <w:sz w:val="16"/>
                <w:szCs w:val="16"/>
                <w:lang w:val="de-CH" w:eastAsia="de-CH"/>
              </w:rPr>
            </w:pPr>
          </w:p>
        </w:tc>
      </w:tr>
      <w:tr w:rsidR="008A2DB6" w:rsidRPr="0029167E" w14:paraId="0CDF4CBA" w14:textId="77777777" w:rsidTr="00C276FE">
        <w:trPr>
          <w:trHeight w:val="263"/>
        </w:trPr>
        <w:tc>
          <w:tcPr>
            <w:tcW w:w="3219" w:type="dxa"/>
            <w:tcBorders>
              <w:top w:val="nil"/>
              <w:left w:val="nil"/>
              <w:bottom w:val="nil"/>
              <w:right w:val="nil"/>
            </w:tcBorders>
            <w:shd w:val="clear" w:color="000000" w:fill="FFFFFF"/>
            <w:noWrap/>
            <w:vAlign w:val="center"/>
            <w:hideMark/>
          </w:tcPr>
          <w:p w14:paraId="73C5C678" w14:textId="77777777" w:rsidR="008A2DB6" w:rsidRPr="0029167E" w:rsidRDefault="008A2DB6" w:rsidP="00750B6C">
            <w:pPr>
              <w:keepNext/>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    Best </w:t>
            </w:r>
            <w:proofErr w:type="spellStart"/>
            <w:r w:rsidRPr="0029167E">
              <w:rPr>
                <w:rFonts w:eastAsia="Times New Roman" w:cs="Arial"/>
                <w:color w:val="000000"/>
                <w:sz w:val="12"/>
                <w:szCs w:val="12"/>
                <w:lang w:val="fr-CH" w:eastAsia="de-CH"/>
              </w:rPr>
              <w:t>estimate</w:t>
            </w:r>
            <w:proofErr w:type="spellEnd"/>
            <w:r w:rsidRPr="0029167E">
              <w:rPr>
                <w:rFonts w:eastAsia="Times New Roman" w:cs="Arial"/>
                <w:color w:val="000000"/>
                <w:sz w:val="12"/>
                <w:szCs w:val="12"/>
                <w:lang w:val="fr-CH" w:eastAsia="de-CH"/>
              </w:rPr>
              <w:t xml:space="preserve"> des engagements d'assurance</w:t>
            </w:r>
          </w:p>
        </w:tc>
        <w:tc>
          <w:tcPr>
            <w:tcW w:w="227" w:type="dxa"/>
            <w:tcBorders>
              <w:top w:val="nil"/>
              <w:left w:val="nil"/>
              <w:bottom w:val="nil"/>
              <w:right w:val="nil"/>
            </w:tcBorders>
            <w:shd w:val="clear" w:color="000000" w:fill="FFFFFF"/>
            <w:noWrap/>
            <w:vAlign w:val="bottom"/>
            <w:hideMark/>
          </w:tcPr>
          <w:p w14:paraId="055BDEB6"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FFFFFF"/>
            <w:noWrap/>
            <w:vAlign w:val="bottom"/>
          </w:tcPr>
          <w:p w14:paraId="307B9BFF" w14:textId="6FB35727"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111C621A" w14:textId="57B4DFD4"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hideMark/>
          </w:tcPr>
          <w:p w14:paraId="08EC3878"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FFFFF"/>
            <w:noWrap/>
            <w:vAlign w:val="bottom"/>
          </w:tcPr>
          <w:p w14:paraId="693F0FD5" w14:textId="731AAE6F"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334F6015" w14:textId="2E582A58"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hideMark/>
          </w:tcPr>
          <w:p w14:paraId="0725C938"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22" w:type="dxa"/>
            <w:tcBorders>
              <w:top w:val="nil"/>
              <w:left w:val="nil"/>
              <w:bottom w:val="nil"/>
              <w:right w:val="nil"/>
            </w:tcBorders>
            <w:shd w:val="clear" w:color="000000" w:fill="FFFFFF"/>
            <w:noWrap/>
            <w:vAlign w:val="bottom"/>
          </w:tcPr>
          <w:p w14:paraId="4FA516AD" w14:textId="3A929621"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FFFFF"/>
            <w:noWrap/>
            <w:vAlign w:val="bottom"/>
          </w:tcPr>
          <w:p w14:paraId="0B63C092" w14:textId="110C2227" w:rsidR="008A2DB6" w:rsidRPr="0029167E" w:rsidRDefault="008A2DB6" w:rsidP="00750B6C">
            <w:pPr>
              <w:keepNext/>
              <w:spacing w:line="240" w:lineRule="auto"/>
              <w:jc w:val="right"/>
              <w:rPr>
                <w:rFonts w:eastAsia="Times New Roman" w:cs="Arial"/>
                <w:color w:val="000000"/>
                <w:sz w:val="16"/>
                <w:szCs w:val="16"/>
                <w:lang w:val="fr-CH" w:eastAsia="de-CH"/>
              </w:rPr>
            </w:pPr>
          </w:p>
        </w:tc>
      </w:tr>
      <w:tr w:rsidR="00E8106C" w:rsidRPr="0029167E" w14:paraId="62DEC2BC" w14:textId="77777777" w:rsidTr="00C276FE">
        <w:trPr>
          <w:trHeight w:val="263"/>
        </w:trPr>
        <w:tc>
          <w:tcPr>
            <w:tcW w:w="3219" w:type="dxa"/>
            <w:tcBorders>
              <w:top w:val="nil"/>
              <w:left w:val="nil"/>
              <w:bottom w:val="nil"/>
              <w:right w:val="nil"/>
            </w:tcBorders>
            <w:shd w:val="clear" w:color="000000" w:fill="FFFFFF"/>
            <w:noWrap/>
            <w:vAlign w:val="center"/>
          </w:tcPr>
          <w:p w14:paraId="2B059433" w14:textId="39DEBFFB" w:rsidR="00E8106C" w:rsidRPr="0029167E" w:rsidRDefault="00874F37" w:rsidP="00750B6C">
            <w:pPr>
              <w:keepNext/>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    Montant minimum (MVM)</w:t>
            </w:r>
          </w:p>
        </w:tc>
        <w:tc>
          <w:tcPr>
            <w:tcW w:w="227" w:type="dxa"/>
            <w:tcBorders>
              <w:top w:val="nil"/>
              <w:left w:val="nil"/>
              <w:bottom w:val="nil"/>
              <w:right w:val="nil"/>
            </w:tcBorders>
            <w:shd w:val="clear" w:color="000000" w:fill="FFFFFF"/>
            <w:noWrap/>
            <w:vAlign w:val="bottom"/>
          </w:tcPr>
          <w:p w14:paraId="10133ACD" w14:textId="77777777" w:rsidR="00E8106C" w:rsidRPr="0029167E" w:rsidRDefault="00E8106C" w:rsidP="00750B6C">
            <w:pPr>
              <w:keepNext/>
              <w:spacing w:line="240" w:lineRule="auto"/>
              <w:rPr>
                <w:rFonts w:eastAsia="Times New Roman" w:cs="Arial"/>
                <w:color w:val="000000"/>
                <w:sz w:val="16"/>
                <w:szCs w:val="16"/>
                <w:lang w:val="fr-CH" w:eastAsia="de-CH"/>
              </w:rPr>
            </w:pPr>
          </w:p>
        </w:tc>
        <w:tc>
          <w:tcPr>
            <w:tcW w:w="901" w:type="dxa"/>
            <w:tcBorders>
              <w:top w:val="nil"/>
              <w:left w:val="nil"/>
              <w:bottom w:val="nil"/>
              <w:right w:val="nil"/>
            </w:tcBorders>
            <w:shd w:val="clear" w:color="000000" w:fill="FFFFFF"/>
            <w:noWrap/>
            <w:vAlign w:val="bottom"/>
          </w:tcPr>
          <w:p w14:paraId="4CC38EE2"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054D47BA"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tcPr>
          <w:p w14:paraId="00C552F6" w14:textId="77777777" w:rsidR="00E8106C" w:rsidRPr="0029167E" w:rsidRDefault="00E8106C" w:rsidP="00750B6C">
            <w:pPr>
              <w:keepNext/>
              <w:spacing w:line="240" w:lineRule="auto"/>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FFFFF"/>
            <w:noWrap/>
            <w:vAlign w:val="bottom"/>
          </w:tcPr>
          <w:p w14:paraId="2D0C572C"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4D79087A"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tcPr>
          <w:p w14:paraId="37471F54" w14:textId="77777777" w:rsidR="00E8106C" w:rsidRPr="0029167E" w:rsidRDefault="00E8106C" w:rsidP="00750B6C">
            <w:pPr>
              <w:keepNext/>
              <w:spacing w:line="240" w:lineRule="auto"/>
              <w:rPr>
                <w:rFonts w:eastAsia="Times New Roman" w:cs="Arial"/>
                <w:color w:val="000000"/>
                <w:sz w:val="16"/>
                <w:szCs w:val="16"/>
                <w:lang w:val="fr-CH" w:eastAsia="de-CH"/>
              </w:rPr>
            </w:pPr>
          </w:p>
        </w:tc>
        <w:tc>
          <w:tcPr>
            <w:tcW w:w="922" w:type="dxa"/>
            <w:tcBorders>
              <w:top w:val="nil"/>
              <w:left w:val="nil"/>
              <w:bottom w:val="nil"/>
              <w:right w:val="nil"/>
            </w:tcBorders>
            <w:shd w:val="clear" w:color="000000" w:fill="FFFFFF"/>
            <w:noWrap/>
            <w:vAlign w:val="bottom"/>
          </w:tcPr>
          <w:p w14:paraId="3E89A3FF"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FFFFF"/>
            <w:noWrap/>
            <w:vAlign w:val="bottom"/>
          </w:tcPr>
          <w:p w14:paraId="4165363E" w14:textId="77777777" w:rsidR="00E8106C" w:rsidRPr="0029167E" w:rsidRDefault="00E8106C" w:rsidP="00750B6C">
            <w:pPr>
              <w:keepNext/>
              <w:spacing w:line="240" w:lineRule="auto"/>
              <w:jc w:val="right"/>
              <w:rPr>
                <w:rFonts w:eastAsia="Times New Roman" w:cs="Arial"/>
                <w:color w:val="000000"/>
                <w:sz w:val="16"/>
                <w:szCs w:val="16"/>
                <w:lang w:val="fr-CH" w:eastAsia="de-CH"/>
              </w:rPr>
            </w:pPr>
          </w:p>
        </w:tc>
      </w:tr>
      <w:tr w:rsidR="008A2DB6" w:rsidRPr="0029167E" w14:paraId="02E0568C" w14:textId="77777777" w:rsidTr="00C276FE">
        <w:trPr>
          <w:trHeight w:val="263"/>
        </w:trPr>
        <w:tc>
          <w:tcPr>
            <w:tcW w:w="3219" w:type="dxa"/>
            <w:tcBorders>
              <w:top w:val="nil"/>
              <w:left w:val="nil"/>
              <w:bottom w:val="nil"/>
              <w:right w:val="nil"/>
            </w:tcBorders>
            <w:shd w:val="clear" w:color="000000" w:fill="FFFFFF"/>
            <w:noWrap/>
            <w:vAlign w:val="center"/>
            <w:hideMark/>
          </w:tcPr>
          <w:p w14:paraId="6D8F2B13" w14:textId="1B8705DD" w:rsidR="008A2DB6" w:rsidRPr="0029167E" w:rsidRDefault="008A2DB6" w:rsidP="00750B6C">
            <w:pPr>
              <w:keepNext/>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    Valeur </w:t>
            </w:r>
            <w:r w:rsidR="00874F37" w:rsidRPr="0029167E">
              <w:rPr>
                <w:rFonts w:eastAsia="Times New Roman" w:cs="Arial"/>
                <w:color w:val="000000"/>
                <w:sz w:val="12"/>
                <w:szCs w:val="12"/>
                <w:lang w:val="fr-CH" w:eastAsia="de-CH"/>
              </w:rPr>
              <w:t>conforme au</w:t>
            </w:r>
            <w:r w:rsidRPr="0029167E">
              <w:rPr>
                <w:rFonts w:eastAsia="Times New Roman" w:cs="Arial"/>
                <w:color w:val="000000"/>
                <w:sz w:val="12"/>
                <w:szCs w:val="12"/>
                <w:lang w:val="fr-CH" w:eastAsia="de-CH"/>
              </w:rPr>
              <w:t xml:space="preserve"> marché des autres engagements</w:t>
            </w:r>
          </w:p>
        </w:tc>
        <w:tc>
          <w:tcPr>
            <w:tcW w:w="227" w:type="dxa"/>
            <w:tcBorders>
              <w:top w:val="nil"/>
              <w:left w:val="nil"/>
              <w:bottom w:val="nil"/>
              <w:right w:val="nil"/>
            </w:tcBorders>
            <w:shd w:val="clear" w:color="000000" w:fill="FFFFFF"/>
            <w:noWrap/>
            <w:vAlign w:val="bottom"/>
            <w:hideMark/>
          </w:tcPr>
          <w:p w14:paraId="287457E3"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nil"/>
              <w:right w:val="nil"/>
            </w:tcBorders>
            <w:shd w:val="clear" w:color="000000" w:fill="FFFFFF"/>
            <w:noWrap/>
            <w:vAlign w:val="bottom"/>
          </w:tcPr>
          <w:p w14:paraId="125C6D2B" w14:textId="4E235F97"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nil"/>
              <w:right w:val="nil"/>
            </w:tcBorders>
            <w:shd w:val="clear" w:color="000000" w:fill="FFFFFF"/>
            <w:noWrap/>
            <w:vAlign w:val="bottom"/>
          </w:tcPr>
          <w:p w14:paraId="7ED4CBF4" w14:textId="50FBBC74"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nil"/>
              <w:right w:val="nil"/>
            </w:tcBorders>
            <w:shd w:val="clear" w:color="000000" w:fill="FFFFFF"/>
            <w:noWrap/>
            <w:vAlign w:val="bottom"/>
            <w:hideMark/>
          </w:tcPr>
          <w:p w14:paraId="44A15ED4"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nil"/>
              <w:right w:val="nil"/>
            </w:tcBorders>
            <w:shd w:val="clear" w:color="000000" w:fill="FFFFFF"/>
            <w:noWrap/>
            <w:vAlign w:val="bottom"/>
          </w:tcPr>
          <w:p w14:paraId="7DBFC959" w14:textId="61A2CA97"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nil"/>
              <w:right w:val="nil"/>
            </w:tcBorders>
            <w:shd w:val="clear" w:color="000000" w:fill="FFFFFF"/>
            <w:noWrap/>
            <w:vAlign w:val="bottom"/>
          </w:tcPr>
          <w:p w14:paraId="419C4F79" w14:textId="075D443E"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nil"/>
              <w:right w:val="nil"/>
            </w:tcBorders>
            <w:shd w:val="clear" w:color="000000" w:fill="FFFFFF"/>
            <w:noWrap/>
            <w:vAlign w:val="bottom"/>
            <w:hideMark/>
          </w:tcPr>
          <w:p w14:paraId="24A19D6A"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22" w:type="dxa"/>
            <w:tcBorders>
              <w:top w:val="nil"/>
              <w:left w:val="nil"/>
              <w:bottom w:val="nil"/>
              <w:right w:val="nil"/>
            </w:tcBorders>
            <w:shd w:val="clear" w:color="000000" w:fill="FFFFFF"/>
            <w:noWrap/>
            <w:vAlign w:val="bottom"/>
          </w:tcPr>
          <w:p w14:paraId="6720B7C8" w14:textId="24963706"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nil"/>
              <w:right w:val="nil"/>
            </w:tcBorders>
            <w:shd w:val="clear" w:color="000000" w:fill="FFFFFF"/>
            <w:noWrap/>
            <w:vAlign w:val="bottom"/>
          </w:tcPr>
          <w:p w14:paraId="6D377069" w14:textId="1986F754" w:rsidR="008A2DB6" w:rsidRPr="0029167E" w:rsidRDefault="008A2DB6" w:rsidP="00750B6C">
            <w:pPr>
              <w:keepNext/>
              <w:spacing w:line="240" w:lineRule="auto"/>
              <w:jc w:val="right"/>
              <w:rPr>
                <w:rFonts w:eastAsia="Times New Roman" w:cs="Arial"/>
                <w:color w:val="000000"/>
                <w:sz w:val="16"/>
                <w:szCs w:val="16"/>
                <w:lang w:val="fr-CH" w:eastAsia="de-CH"/>
              </w:rPr>
            </w:pPr>
          </w:p>
        </w:tc>
      </w:tr>
      <w:tr w:rsidR="008A2DB6" w:rsidRPr="0029167E" w14:paraId="21784948" w14:textId="77777777" w:rsidTr="00C276FE">
        <w:trPr>
          <w:trHeight w:val="263"/>
        </w:trPr>
        <w:tc>
          <w:tcPr>
            <w:tcW w:w="3219" w:type="dxa"/>
            <w:tcBorders>
              <w:top w:val="nil"/>
              <w:left w:val="nil"/>
              <w:bottom w:val="nil"/>
              <w:right w:val="nil"/>
            </w:tcBorders>
            <w:shd w:val="clear" w:color="000000" w:fill="F2F2F2"/>
            <w:noWrap/>
            <w:vAlign w:val="bottom"/>
            <w:hideMark/>
          </w:tcPr>
          <w:p w14:paraId="7364E9A3" w14:textId="77777777" w:rsidR="008A2DB6" w:rsidRPr="0029167E" w:rsidRDefault="008A2DB6" w:rsidP="00750B6C">
            <w:pPr>
              <w:keepNext/>
              <w:spacing w:line="240" w:lineRule="auto"/>
              <w:rPr>
                <w:rFonts w:eastAsia="Times New Roman" w:cs="Arial"/>
                <w:color w:val="000000"/>
                <w:sz w:val="16"/>
                <w:szCs w:val="16"/>
                <w:lang w:val="de-CH" w:eastAsia="de-CH"/>
              </w:rPr>
            </w:pPr>
            <w:proofErr w:type="spellStart"/>
            <w:r w:rsidRPr="0029167E">
              <w:rPr>
                <w:rFonts w:eastAsia="Times New Roman" w:cs="Arial"/>
                <w:color w:val="000000"/>
                <w:sz w:val="16"/>
                <w:szCs w:val="16"/>
                <w:lang w:val="de-CH" w:eastAsia="de-CH"/>
              </w:rPr>
              <w:t>Déductions</w:t>
            </w:r>
            <w:proofErr w:type="spellEnd"/>
          </w:p>
        </w:tc>
        <w:tc>
          <w:tcPr>
            <w:tcW w:w="227" w:type="dxa"/>
            <w:tcBorders>
              <w:top w:val="nil"/>
              <w:left w:val="nil"/>
              <w:bottom w:val="nil"/>
              <w:right w:val="nil"/>
            </w:tcBorders>
            <w:shd w:val="clear" w:color="000000" w:fill="FFFFFF"/>
            <w:noWrap/>
            <w:vAlign w:val="bottom"/>
            <w:hideMark/>
          </w:tcPr>
          <w:p w14:paraId="0163F594"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01" w:type="dxa"/>
            <w:tcBorders>
              <w:top w:val="nil"/>
              <w:left w:val="nil"/>
              <w:bottom w:val="nil"/>
              <w:right w:val="nil"/>
            </w:tcBorders>
            <w:shd w:val="clear" w:color="000000" w:fill="F2F2F2"/>
            <w:noWrap/>
            <w:vAlign w:val="bottom"/>
          </w:tcPr>
          <w:p w14:paraId="72D0CD69" w14:textId="3E16F767"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06" w:type="dxa"/>
            <w:tcBorders>
              <w:top w:val="nil"/>
              <w:left w:val="nil"/>
              <w:bottom w:val="nil"/>
              <w:right w:val="nil"/>
            </w:tcBorders>
            <w:shd w:val="clear" w:color="000000" w:fill="FFFFFF"/>
            <w:noWrap/>
            <w:vAlign w:val="bottom"/>
          </w:tcPr>
          <w:p w14:paraId="4F651A26" w14:textId="64799251" w:rsidR="008A2DB6" w:rsidRPr="0029167E" w:rsidRDefault="008A2DB6" w:rsidP="00750B6C">
            <w:pPr>
              <w:keepNext/>
              <w:spacing w:line="240" w:lineRule="auto"/>
              <w:rPr>
                <w:rFonts w:eastAsia="Times New Roman" w:cs="Arial"/>
                <w:color w:val="000000"/>
                <w:sz w:val="16"/>
                <w:szCs w:val="16"/>
                <w:lang w:val="de-CH" w:eastAsia="de-CH"/>
              </w:rPr>
            </w:pPr>
          </w:p>
        </w:tc>
        <w:tc>
          <w:tcPr>
            <w:tcW w:w="194" w:type="dxa"/>
            <w:tcBorders>
              <w:top w:val="nil"/>
              <w:left w:val="nil"/>
              <w:bottom w:val="nil"/>
              <w:right w:val="nil"/>
            </w:tcBorders>
            <w:shd w:val="clear" w:color="000000" w:fill="FFFFFF"/>
            <w:noWrap/>
            <w:vAlign w:val="bottom"/>
            <w:hideMark/>
          </w:tcPr>
          <w:p w14:paraId="74A9037C"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728" w:type="dxa"/>
            <w:tcBorders>
              <w:top w:val="nil"/>
              <w:left w:val="nil"/>
              <w:bottom w:val="nil"/>
              <w:right w:val="nil"/>
            </w:tcBorders>
            <w:shd w:val="clear" w:color="000000" w:fill="F2F2F2"/>
            <w:noWrap/>
            <w:vAlign w:val="bottom"/>
          </w:tcPr>
          <w:p w14:paraId="12F7AA87" w14:textId="3D42DCD8"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627" w:type="dxa"/>
            <w:tcBorders>
              <w:top w:val="nil"/>
              <w:left w:val="nil"/>
              <w:bottom w:val="nil"/>
              <w:right w:val="nil"/>
            </w:tcBorders>
            <w:shd w:val="clear" w:color="000000" w:fill="FFFFFF"/>
            <w:noWrap/>
            <w:vAlign w:val="bottom"/>
          </w:tcPr>
          <w:p w14:paraId="4255C7E6" w14:textId="200FC2EF" w:rsidR="008A2DB6" w:rsidRPr="0029167E" w:rsidRDefault="008A2DB6" w:rsidP="00750B6C">
            <w:pPr>
              <w:keepNext/>
              <w:spacing w:line="240" w:lineRule="auto"/>
              <w:rPr>
                <w:rFonts w:eastAsia="Times New Roman" w:cs="Arial"/>
                <w:color w:val="000000"/>
                <w:sz w:val="16"/>
                <w:szCs w:val="16"/>
                <w:lang w:val="de-CH" w:eastAsia="de-CH"/>
              </w:rPr>
            </w:pPr>
          </w:p>
        </w:tc>
        <w:tc>
          <w:tcPr>
            <w:tcW w:w="269" w:type="dxa"/>
            <w:tcBorders>
              <w:top w:val="nil"/>
              <w:left w:val="nil"/>
              <w:bottom w:val="nil"/>
              <w:right w:val="nil"/>
            </w:tcBorders>
            <w:shd w:val="clear" w:color="000000" w:fill="FFFFFF"/>
            <w:noWrap/>
            <w:vAlign w:val="bottom"/>
            <w:hideMark/>
          </w:tcPr>
          <w:p w14:paraId="6FE287A3" w14:textId="77777777" w:rsidR="008A2DB6" w:rsidRPr="0029167E" w:rsidRDefault="008A2DB6"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22" w:type="dxa"/>
            <w:tcBorders>
              <w:top w:val="nil"/>
              <w:left w:val="nil"/>
              <w:bottom w:val="nil"/>
              <w:right w:val="nil"/>
            </w:tcBorders>
            <w:shd w:val="clear" w:color="000000" w:fill="F2F2F2"/>
            <w:noWrap/>
            <w:vAlign w:val="bottom"/>
          </w:tcPr>
          <w:p w14:paraId="607A642F" w14:textId="31C99C26" w:rsidR="008A2DB6" w:rsidRPr="0029167E" w:rsidRDefault="008A2DB6" w:rsidP="00750B6C">
            <w:pPr>
              <w:keepNext/>
              <w:spacing w:line="240" w:lineRule="auto"/>
              <w:jc w:val="right"/>
              <w:rPr>
                <w:rFonts w:eastAsia="Times New Roman" w:cs="Arial"/>
                <w:color w:val="000000"/>
                <w:sz w:val="16"/>
                <w:szCs w:val="16"/>
                <w:lang w:val="de-CH" w:eastAsia="de-CH"/>
              </w:rPr>
            </w:pPr>
          </w:p>
        </w:tc>
        <w:tc>
          <w:tcPr>
            <w:tcW w:w="728" w:type="dxa"/>
            <w:tcBorders>
              <w:top w:val="nil"/>
              <w:left w:val="nil"/>
              <w:bottom w:val="nil"/>
              <w:right w:val="nil"/>
            </w:tcBorders>
            <w:shd w:val="clear" w:color="000000" w:fill="F2F2F2"/>
            <w:noWrap/>
            <w:vAlign w:val="bottom"/>
          </w:tcPr>
          <w:p w14:paraId="52625589" w14:textId="69CB1E17" w:rsidR="008A2DB6" w:rsidRPr="0029167E" w:rsidRDefault="008A2DB6" w:rsidP="00750B6C">
            <w:pPr>
              <w:keepNext/>
              <w:spacing w:line="240" w:lineRule="auto"/>
              <w:jc w:val="right"/>
              <w:rPr>
                <w:rFonts w:eastAsia="Times New Roman" w:cs="Arial"/>
                <w:color w:val="000000"/>
                <w:sz w:val="16"/>
                <w:szCs w:val="16"/>
                <w:lang w:val="de-CH" w:eastAsia="de-CH"/>
              </w:rPr>
            </w:pPr>
          </w:p>
        </w:tc>
      </w:tr>
      <w:tr w:rsidR="008A2DB6" w:rsidRPr="0029167E" w14:paraId="4B337A0F" w14:textId="77777777" w:rsidTr="00C276FE">
        <w:trPr>
          <w:trHeight w:val="263"/>
        </w:trPr>
        <w:tc>
          <w:tcPr>
            <w:tcW w:w="3219" w:type="dxa"/>
            <w:tcBorders>
              <w:top w:val="nil"/>
              <w:left w:val="nil"/>
              <w:bottom w:val="single" w:sz="4" w:space="0" w:color="auto"/>
              <w:right w:val="nil"/>
            </w:tcBorders>
            <w:shd w:val="clear" w:color="000000" w:fill="F2F2F2"/>
            <w:noWrap/>
            <w:vAlign w:val="bottom"/>
            <w:hideMark/>
          </w:tcPr>
          <w:p w14:paraId="1EA000D6" w14:textId="231C2BF6" w:rsidR="008A2DB6" w:rsidRPr="0029167E" w:rsidRDefault="008F6763"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RAK</w:t>
            </w:r>
            <w:r w:rsidR="004B3746" w:rsidRPr="0029167E">
              <w:rPr>
                <w:rStyle w:val="FootnoteReference"/>
                <w:rFonts w:eastAsia="Times New Roman" w:cs="Arial"/>
                <w:color w:val="000000"/>
                <w:sz w:val="16"/>
                <w:szCs w:val="16"/>
                <w:lang w:val="fr-CH" w:eastAsia="de-CH"/>
              </w:rPr>
              <w:footnoteReference w:id="1"/>
            </w:r>
            <w:r w:rsidR="004B3746" w:rsidRPr="0029167E">
              <w:rPr>
                <w:rFonts w:eastAsia="Times New Roman" w:cs="Arial"/>
                <w:color w:val="000000"/>
                <w:sz w:val="16"/>
                <w:szCs w:val="16"/>
                <w:lang w:val="fr-CH" w:eastAsia="de-CH"/>
              </w:rPr>
              <w:t xml:space="preserve"> (imputé au CPR)</w:t>
            </w:r>
          </w:p>
        </w:tc>
        <w:tc>
          <w:tcPr>
            <w:tcW w:w="227" w:type="dxa"/>
            <w:tcBorders>
              <w:top w:val="nil"/>
              <w:left w:val="nil"/>
              <w:bottom w:val="single" w:sz="4" w:space="0" w:color="auto"/>
              <w:right w:val="nil"/>
            </w:tcBorders>
            <w:shd w:val="clear" w:color="000000" w:fill="FFFFFF"/>
            <w:noWrap/>
            <w:vAlign w:val="bottom"/>
            <w:hideMark/>
          </w:tcPr>
          <w:p w14:paraId="7B4CD5A0"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01" w:type="dxa"/>
            <w:tcBorders>
              <w:top w:val="nil"/>
              <w:left w:val="nil"/>
              <w:bottom w:val="single" w:sz="4" w:space="0" w:color="auto"/>
              <w:right w:val="nil"/>
            </w:tcBorders>
            <w:shd w:val="clear" w:color="000000" w:fill="F2F2F2"/>
            <w:noWrap/>
            <w:vAlign w:val="bottom"/>
          </w:tcPr>
          <w:p w14:paraId="4DAC4AB1" w14:textId="121DF234"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06" w:type="dxa"/>
            <w:tcBorders>
              <w:top w:val="nil"/>
              <w:left w:val="nil"/>
              <w:bottom w:val="single" w:sz="4" w:space="0" w:color="auto"/>
              <w:right w:val="nil"/>
            </w:tcBorders>
            <w:shd w:val="clear" w:color="000000" w:fill="FFFFFF"/>
            <w:noWrap/>
            <w:vAlign w:val="bottom"/>
          </w:tcPr>
          <w:p w14:paraId="65BA53F9" w14:textId="26EF2803"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194" w:type="dxa"/>
            <w:tcBorders>
              <w:top w:val="nil"/>
              <w:left w:val="nil"/>
              <w:bottom w:val="single" w:sz="4" w:space="0" w:color="auto"/>
              <w:right w:val="nil"/>
            </w:tcBorders>
            <w:shd w:val="clear" w:color="000000" w:fill="FFFFFF"/>
            <w:noWrap/>
            <w:vAlign w:val="bottom"/>
            <w:hideMark/>
          </w:tcPr>
          <w:p w14:paraId="383451F9"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728" w:type="dxa"/>
            <w:tcBorders>
              <w:top w:val="nil"/>
              <w:left w:val="nil"/>
              <w:bottom w:val="single" w:sz="4" w:space="0" w:color="auto"/>
              <w:right w:val="nil"/>
            </w:tcBorders>
            <w:shd w:val="clear" w:color="000000" w:fill="F2F2F2"/>
            <w:noWrap/>
            <w:vAlign w:val="bottom"/>
          </w:tcPr>
          <w:p w14:paraId="4A39811E" w14:textId="491F2A14"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627" w:type="dxa"/>
            <w:tcBorders>
              <w:top w:val="nil"/>
              <w:left w:val="nil"/>
              <w:bottom w:val="single" w:sz="4" w:space="0" w:color="auto"/>
              <w:right w:val="nil"/>
            </w:tcBorders>
            <w:shd w:val="clear" w:color="000000" w:fill="FFFFFF"/>
            <w:noWrap/>
            <w:vAlign w:val="bottom"/>
          </w:tcPr>
          <w:p w14:paraId="1B1B3690" w14:textId="17B61E72"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269" w:type="dxa"/>
            <w:tcBorders>
              <w:top w:val="nil"/>
              <w:left w:val="nil"/>
              <w:bottom w:val="single" w:sz="4" w:space="0" w:color="auto"/>
              <w:right w:val="nil"/>
            </w:tcBorders>
            <w:shd w:val="clear" w:color="000000" w:fill="FFFFFF"/>
            <w:noWrap/>
            <w:vAlign w:val="bottom"/>
            <w:hideMark/>
          </w:tcPr>
          <w:p w14:paraId="7E0903E8" w14:textId="77777777" w:rsidR="008A2DB6" w:rsidRPr="0029167E" w:rsidRDefault="008A2DB6"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22" w:type="dxa"/>
            <w:tcBorders>
              <w:top w:val="nil"/>
              <w:left w:val="nil"/>
              <w:bottom w:val="single" w:sz="4" w:space="0" w:color="auto"/>
              <w:right w:val="nil"/>
            </w:tcBorders>
            <w:shd w:val="clear" w:color="000000" w:fill="F2F2F2"/>
            <w:noWrap/>
            <w:vAlign w:val="bottom"/>
          </w:tcPr>
          <w:p w14:paraId="3AE7D411" w14:textId="1E7835C6" w:rsidR="008A2DB6" w:rsidRPr="0029167E" w:rsidRDefault="008A2DB6" w:rsidP="00750B6C">
            <w:pPr>
              <w:keepNext/>
              <w:spacing w:line="240" w:lineRule="auto"/>
              <w:jc w:val="right"/>
              <w:rPr>
                <w:rFonts w:eastAsia="Times New Roman" w:cs="Arial"/>
                <w:color w:val="000000"/>
                <w:sz w:val="16"/>
                <w:szCs w:val="16"/>
                <w:lang w:val="fr-CH" w:eastAsia="de-CH"/>
              </w:rPr>
            </w:pPr>
          </w:p>
        </w:tc>
        <w:tc>
          <w:tcPr>
            <w:tcW w:w="728" w:type="dxa"/>
            <w:tcBorders>
              <w:top w:val="nil"/>
              <w:left w:val="nil"/>
              <w:bottom w:val="single" w:sz="4" w:space="0" w:color="auto"/>
              <w:right w:val="nil"/>
            </w:tcBorders>
            <w:shd w:val="clear" w:color="000000" w:fill="F2F2F2"/>
            <w:noWrap/>
            <w:vAlign w:val="bottom"/>
          </w:tcPr>
          <w:p w14:paraId="6ABF6285" w14:textId="304E4A9F" w:rsidR="008A2DB6" w:rsidRPr="0029167E" w:rsidRDefault="008A2DB6" w:rsidP="00750B6C">
            <w:pPr>
              <w:keepNext/>
              <w:spacing w:line="240" w:lineRule="auto"/>
              <w:jc w:val="right"/>
              <w:rPr>
                <w:rFonts w:eastAsia="Times New Roman" w:cs="Arial"/>
                <w:color w:val="000000"/>
                <w:sz w:val="16"/>
                <w:szCs w:val="16"/>
                <w:lang w:val="fr-CH" w:eastAsia="de-CH"/>
              </w:rPr>
            </w:pPr>
          </w:p>
        </w:tc>
      </w:tr>
    </w:tbl>
    <w:p w14:paraId="3AA2E538" w14:textId="71F1BBA9" w:rsidR="008A2DB6" w:rsidRPr="0029167E" w:rsidRDefault="008A2DB6" w:rsidP="00750B6C">
      <w:pPr>
        <w:pStyle w:val="FINMAStandardAbsatz"/>
        <w:keepNext/>
        <w:spacing w:before="100" w:beforeAutospacing="1" w:after="100" w:afterAutospacing="1" w:line="240" w:lineRule="auto"/>
      </w:pPr>
    </w:p>
    <w:p w14:paraId="77DC3F73" w14:textId="421A0AC6" w:rsidR="008A2DB6" w:rsidRPr="0029167E" w:rsidRDefault="008A2DB6" w:rsidP="00D60D73">
      <w:pPr>
        <w:pStyle w:val="FINMAStandardAbsatz"/>
        <w:spacing w:before="100" w:beforeAutospacing="1" w:after="100" w:afterAutospacing="1" w:line="240" w:lineRule="auto"/>
      </w:pPr>
    </w:p>
    <w:p w14:paraId="7A1B5BDA" w14:textId="6742512D" w:rsidR="00D41EB0" w:rsidRPr="0029167E" w:rsidRDefault="00D41EB0" w:rsidP="00D60D73">
      <w:pPr>
        <w:pStyle w:val="Heading2"/>
      </w:pPr>
      <w:bookmarkStart w:id="35" w:name="_Toc148955339"/>
      <w:bookmarkStart w:id="36" w:name="_Toc534297740"/>
      <w:r w:rsidRPr="0029167E">
        <w:t>Actifs</w:t>
      </w:r>
      <w:bookmarkEnd w:id="35"/>
      <w:r w:rsidRPr="0029167E">
        <w:t xml:space="preserve"> </w:t>
      </w:r>
      <w:bookmarkEnd w:id="36"/>
    </w:p>
    <w:p w14:paraId="06C713DA" w14:textId="2314071A" w:rsidR="00D41EB0" w:rsidRPr="0029167E" w:rsidRDefault="00D41EB0" w:rsidP="00D60D73">
      <w:pPr>
        <w:pStyle w:val="FINMAStandardAbsatz"/>
      </w:pPr>
      <w:r w:rsidRPr="0029167E">
        <w:t>Chiffres marginaux 155 à 157 et 164, 165 et 169</w:t>
      </w:r>
    </w:p>
    <w:p w14:paraId="2E638789" w14:textId="30B4C45E" w:rsidR="003F0431" w:rsidRPr="0029167E" w:rsidRDefault="003F0431" w:rsidP="00D60D73">
      <w:pPr>
        <w:pStyle w:val="FINMAStandardAbsatz"/>
        <w:rPr>
          <w:noProof/>
        </w:rPr>
      </w:pPr>
      <w:r w:rsidRPr="0029167E">
        <w:t xml:space="preserve">Présentation des actifs du bilan SST au jour de référence et ceux de l’année précédente sous forme de texte. Cela comprend </w:t>
      </w:r>
      <w:proofErr w:type="gramStart"/>
      <w:r w:rsidRPr="0029167E">
        <w:t>notamment:</w:t>
      </w:r>
      <w:proofErr w:type="gramEnd"/>
    </w:p>
    <w:p w14:paraId="194BFBAC" w14:textId="4C0CC34C" w:rsidR="00535142" w:rsidRPr="0029167E" w:rsidRDefault="00BF7F85" w:rsidP="00D60D73">
      <w:pPr>
        <w:pStyle w:val="FINMAAufzhlungEbene2"/>
        <w:rPr>
          <w:noProof/>
        </w:rPr>
      </w:pPr>
      <w:r w:rsidRPr="0029167E">
        <w:t>Brève</w:t>
      </w:r>
      <w:r w:rsidR="00535142" w:rsidRPr="0029167E">
        <w:t xml:space="preserve"> description des différentes composantes </w:t>
      </w:r>
    </w:p>
    <w:p w14:paraId="3B535B73" w14:textId="3B1E9948" w:rsidR="003F0431" w:rsidRPr="0029167E" w:rsidRDefault="003F0431" w:rsidP="00D60D73">
      <w:pPr>
        <w:pStyle w:val="FINMAAufzhlungEbene2"/>
        <w:rPr>
          <w:noProof/>
        </w:rPr>
      </w:pPr>
      <w:r w:rsidRPr="0029167E">
        <w:t xml:space="preserve">Approches méthodologiques et modèles utilisés pour l’évaluation </w:t>
      </w:r>
      <w:r w:rsidR="00AC1F3C" w:rsidRPr="0029167E">
        <w:t>conforme au</w:t>
      </w:r>
      <w:r w:rsidRPr="0029167E">
        <w:t xml:space="preserve"> marché</w:t>
      </w:r>
    </w:p>
    <w:p w14:paraId="07E82BF7" w14:textId="77777777" w:rsidR="003F0431" w:rsidRPr="0029167E" w:rsidRDefault="003F0431" w:rsidP="00D60D73">
      <w:pPr>
        <w:pStyle w:val="FINMAAufzhlungEbene2"/>
        <w:rPr>
          <w:noProof/>
        </w:rPr>
      </w:pPr>
      <w:r w:rsidRPr="0029167E">
        <w:t>Description quantitative et qualitative des positions principales du bilan SST au jour de référence</w:t>
      </w:r>
    </w:p>
    <w:p w14:paraId="33C216A2" w14:textId="22A9F45B" w:rsidR="003F0431" w:rsidRPr="0029167E" w:rsidRDefault="003F0431" w:rsidP="00D60D73">
      <w:pPr>
        <w:pStyle w:val="FINMAAufzhlungEbene2"/>
        <w:rPr>
          <w:noProof/>
        </w:rPr>
      </w:pPr>
      <w:r w:rsidRPr="0029167E">
        <w:t>Explications des effets principaux ou notables de certaines positions du bilan sur la situation en matière de risque, notamment l’impact d’éventuelles concentrations des risques</w:t>
      </w:r>
    </w:p>
    <w:p w14:paraId="77B9984B" w14:textId="61FBE782" w:rsidR="00760F2E" w:rsidRPr="0029167E" w:rsidRDefault="00760F2E" w:rsidP="00D60D73">
      <w:pPr>
        <w:pStyle w:val="FINMAAufzhlungEbene2"/>
        <w:rPr>
          <w:noProof/>
        </w:rPr>
      </w:pPr>
      <w:r w:rsidRPr="0029167E">
        <w:t xml:space="preserve">Explications sur la réassurance </w:t>
      </w:r>
      <w:r w:rsidR="003314C9" w:rsidRPr="0029167E">
        <w:t>sortante</w:t>
      </w:r>
    </w:p>
    <w:p w14:paraId="01440994" w14:textId="26783851" w:rsidR="00CF1B91" w:rsidRPr="0029167E" w:rsidRDefault="00FA04F3" w:rsidP="00D60D73">
      <w:pPr>
        <w:pStyle w:val="Heading2"/>
      </w:pPr>
      <w:bookmarkStart w:id="37" w:name="_Toc148955340"/>
      <w:r w:rsidRPr="0029167E">
        <w:t>Passifs</w:t>
      </w:r>
      <w:bookmarkEnd w:id="37"/>
    </w:p>
    <w:p w14:paraId="52B84850" w14:textId="52614830" w:rsidR="00CF1B91" w:rsidRPr="0029167E" w:rsidRDefault="00CF1B91" w:rsidP="00D60D73">
      <w:pPr>
        <w:pStyle w:val="FINMAStandardAbsatz"/>
      </w:pPr>
      <w:r w:rsidRPr="0029167E">
        <w:t>Chiffres marginaux 155 à 157, 164 et 165</w:t>
      </w:r>
    </w:p>
    <w:p w14:paraId="02BB17B5" w14:textId="4D77AE29" w:rsidR="00CF1B91" w:rsidRPr="0029167E" w:rsidRDefault="00C836F8" w:rsidP="00D60D73">
      <w:pPr>
        <w:pStyle w:val="Heading3"/>
      </w:pPr>
      <w:bookmarkStart w:id="38" w:name="_Toc534297742"/>
      <w:bookmarkStart w:id="39" w:name="_Toc148955341"/>
      <w:r w:rsidRPr="0029167E">
        <w:lastRenderedPageBreak/>
        <w:t>Portefeuille d’assurance</w:t>
      </w:r>
      <w:bookmarkEnd w:id="38"/>
      <w:bookmarkEnd w:id="39"/>
    </w:p>
    <w:p w14:paraId="4380E952" w14:textId="6DF53E93" w:rsidR="00C836F8" w:rsidRPr="0029167E" w:rsidRDefault="00C836F8" w:rsidP="00D60D73">
      <w:pPr>
        <w:pStyle w:val="FINMAStandardAbsatz"/>
      </w:pPr>
      <w:r w:rsidRPr="0029167E">
        <w:t>Brève description qualitative du portefeuille d’assurance, y compris une appréciation sous forme de texte des modifications frappantes par rapport à l’année précédente</w:t>
      </w:r>
    </w:p>
    <w:p w14:paraId="5E892AC8" w14:textId="73BFD118" w:rsidR="00CF1B91" w:rsidRPr="0029167E" w:rsidRDefault="00CF1B91" w:rsidP="00D60D73">
      <w:pPr>
        <w:pStyle w:val="FINMAStandardAbsatz"/>
      </w:pPr>
      <w:r w:rsidRPr="0029167E">
        <w:rPr>
          <w:b/>
        </w:rPr>
        <w:t>Tableaux appropriés</w:t>
      </w:r>
      <w:r w:rsidRPr="0029167E">
        <w:t xml:space="preserve"> comportant les </w:t>
      </w:r>
      <w:proofErr w:type="spellStart"/>
      <w:r w:rsidRPr="0029167E">
        <w:t>LoB</w:t>
      </w:r>
      <w:proofErr w:type="spellEnd"/>
      <w:r w:rsidRPr="0029167E">
        <w:t xml:space="preserve"> / lignes de produits les plus importantes et des mesures de volume/ chiffres clés </w:t>
      </w:r>
      <w:r w:rsidR="001855A5" w:rsidRPr="0029167E">
        <w:t>appropriés (</w:t>
      </w:r>
      <w:r w:rsidRPr="0029167E">
        <w:t>par exemple primes acquises, tail</w:t>
      </w:r>
      <w:r w:rsidR="001855A5" w:rsidRPr="0029167E">
        <w:t>le du portefeuille, provisions [</w:t>
      </w:r>
      <w:r w:rsidR="00AC1F3C" w:rsidRPr="0029167E">
        <w:t>conformes au</w:t>
      </w:r>
      <w:r w:rsidR="001855A5" w:rsidRPr="0029167E">
        <w:t xml:space="preserve"> marché], taux de sinistre, ...)</w:t>
      </w:r>
      <w:r w:rsidRPr="0029167E">
        <w:t xml:space="preserve">, au moins pour les </w:t>
      </w:r>
      <w:r w:rsidRPr="0029167E">
        <w:rPr>
          <w:b/>
        </w:rPr>
        <w:t>deux dernières années</w:t>
      </w:r>
      <w:r w:rsidRPr="0029167E">
        <w:t xml:space="preserve">. </w:t>
      </w:r>
    </w:p>
    <w:p w14:paraId="4F3B250E" w14:textId="406F0658" w:rsidR="00CF1B91" w:rsidRPr="0029167E" w:rsidRDefault="00CF1B91" w:rsidP="00D60D73">
      <w:pPr>
        <w:pStyle w:val="FINMAStandardAbsatz"/>
        <w:rPr>
          <w:i/>
        </w:rPr>
      </w:pPr>
      <w:r w:rsidRPr="0029167E">
        <w:rPr>
          <w:i/>
          <w:iCs/>
        </w:rPr>
        <w:t xml:space="preserve">&lt;Il est essentiel d’avoir une </w:t>
      </w:r>
      <w:r w:rsidRPr="0029167E">
        <w:rPr>
          <w:b/>
          <w:i/>
          <w:iCs/>
        </w:rPr>
        <w:t>concordance sans équivoque entre les tableaux et la structure</w:t>
      </w:r>
      <w:r w:rsidRPr="0029167E">
        <w:rPr>
          <w:i/>
          <w:iCs/>
        </w:rPr>
        <w:t xml:space="preserve"> des modèles standard concernés de la FINMA : par exemple, la structure dans le domaine de l’assurance-maladie devrait correspondre clairement aux groupes de produits dans le modèle standard assurance-maladie, la structure dans le domaine de l’assurance dommage devrait correspondre clairement à la structure des </w:t>
      </w:r>
      <w:proofErr w:type="spellStart"/>
      <w:r w:rsidRPr="0029167E">
        <w:rPr>
          <w:i/>
          <w:iCs/>
        </w:rPr>
        <w:t>LoBs</w:t>
      </w:r>
      <w:proofErr w:type="spellEnd"/>
      <w:r w:rsidRPr="0029167E">
        <w:rPr>
          <w:i/>
          <w:iCs/>
        </w:rPr>
        <w:t xml:space="preserve"> du modèle standard pour l’assurance dommage.&gt;</w:t>
      </w:r>
    </w:p>
    <w:p w14:paraId="438F6E13" w14:textId="54277FB7" w:rsidR="00F350E5" w:rsidRPr="0029167E" w:rsidRDefault="00F350E5" w:rsidP="00D60D73">
      <w:pPr>
        <w:pStyle w:val="Heading3"/>
      </w:pPr>
      <w:bookmarkStart w:id="40" w:name="_Toc534297743"/>
      <w:bookmarkStart w:id="41" w:name="_Toc148955342"/>
      <w:r w:rsidRPr="0029167E">
        <w:t>Meilleure estimation possible des engagements d’assurance</w:t>
      </w:r>
      <w:bookmarkEnd w:id="40"/>
      <w:r w:rsidRPr="0029167E">
        <w:t xml:space="preserve"> et autres engagements</w:t>
      </w:r>
      <w:bookmarkEnd w:id="41"/>
    </w:p>
    <w:p w14:paraId="1202AB03" w14:textId="791B3ED0" w:rsidR="003F0431" w:rsidRPr="0029167E" w:rsidRDefault="003F0431" w:rsidP="00D60D73">
      <w:pPr>
        <w:pStyle w:val="FINMAStandardAbsatz"/>
        <w:rPr>
          <w:noProof/>
        </w:rPr>
      </w:pPr>
      <w:r w:rsidRPr="0029167E">
        <w:t>Chiffres marginaux 164 et 169</w:t>
      </w:r>
    </w:p>
    <w:p w14:paraId="56233F4D" w14:textId="31D85B80" w:rsidR="00DC2BE9" w:rsidRPr="0029167E" w:rsidRDefault="00DC2BE9" w:rsidP="00D60D73">
      <w:pPr>
        <w:pStyle w:val="FINMAStandardAbsatz"/>
        <w:rPr>
          <w:noProof/>
        </w:rPr>
      </w:pPr>
      <w:r w:rsidRPr="0029167E">
        <w:t xml:space="preserve">Présentation des </w:t>
      </w:r>
      <w:r w:rsidR="001855A5" w:rsidRPr="0029167E">
        <w:t xml:space="preserve">passifs </w:t>
      </w:r>
      <w:r w:rsidRPr="0029167E">
        <w:t xml:space="preserve">du bilan SST au jour de référence et ceux de l’année précédente sous forme de texte. Cela comprend </w:t>
      </w:r>
      <w:proofErr w:type="gramStart"/>
      <w:r w:rsidRPr="0029167E">
        <w:t>notamment:</w:t>
      </w:r>
      <w:proofErr w:type="gramEnd"/>
    </w:p>
    <w:p w14:paraId="21405277" w14:textId="113122A1" w:rsidR="00DC2BE9" w:rsidRPr="0029167E" w:rsidRDefault="00BF7F85" w:rsidP="00BF7F85">
      <w:pPr>
        <w:pStyle w:val="FINMAAufzhlungEbene2"/>
        <w:numPr>
          <w:ilvl w:val="0"/>
          <w:numId w:val="3"/>
        </w:numPr>
        <w:ind w:left="765" w:hanging="357"/>
        <w:rPr>
          <w:noProof/>
        </w:rPr>
      </w:pPr>
      <w:r w:rsidRPr="0029167E">
        <w:t>Brève</w:t>
      </w:r>
      <w:r w:rsidR="00DC2BE9" w:rsidRPr="0029167E">
        <w:t xml:space="preserve"> description des différentes composantes, notamment</w:t>
      </w:r>
    </w:p>
    <w:p w14:paraId="4F01B7F2" w14:textId="141C1808" w:rsidR="00DC2BE9" w:rsidRPr="0029167E" w:rsidRDefault="00DC2BE9" w:rsidP="00D60D73">
      <w:pPr>
        <w:pStyle w:val="FINMAAufzhlungEbene3"/>
        <w:rPr>
          <w:noProof/>
        </w:rPr>
      </w:pPr>
      <w:r w:rsidRPr="0029167E">
        <w:t xml:space="preserve">Meilleure estimation possible des engagements d’assurance </w:t>
      </w:r>
      <w:r w:rsidR="00E1324C" w:rsidRPr="0029167E">
        <w:t>(y compris hypothèses concernant l'inflation et matérialité de celle-ci)</w:t>
      </w:r>
    </w:p>
    <w:p w14:paraId="7779F7F6" w14:textId="307BD426" w:rsidR="00DC2BE9" w:rsidRPr="0029167E" w:rsidRDefault="00DC2BE9" w:rsidP="00D60D73">
      <w:pPr>
        <w:pStyle w:val="FINMAAufzhlungEbene3"/>
        <w:rPr>
          <w:noProof/>
        </w:rPr>
      </w:pPr>
      <w:r w:rsidRPr="0029167E">
        <w:t xml:space="preserve">Valeur </w:t>
      </w:r>
      <w:r w:rsidR="00E1324C" w:rsidRPr="0029167E">
        <w:t>conforme au</w:t>
      </w:r>
      <w:r w:rsidRPr="0029167E">
        <w:t xml:space="preserve"> marché des autres engagements</w:t>
      </w:r>
    </w:p>
    <w:p w14:paraId="3BA8672A" w14:textId="77777777" w:rsidR="00DC2BE9" w:rsidRPr="0029167E" w:rsidRDefault="00DC2BE9" w:rsidP="00BF7F85">
      <w:pPr>
        <w:pStyle w:val="FINMAAufzhlungEbene2"/>
        <w:numPr>
          <w:ilvl w:val="0"/>
          <w:numId w:val="3"/>
        </w:numPr>
        <w:ind w:left="765" w:hanging="357"/>
        <w:rPr>
          <w:noProof/>
        </w:rPr>
      </w:pPr>
      <w:r w:rsidRPr="0029167E">
        <w:t>Approches méthodologiques et modèles utilisés pour l’évaluation proche du marché</w:t>
      </w:r>
    </w:p>
    <w:p w14:paraId="468A781F" w14:textId="77777777" w:rsidR="00DC2BE9" w:rsidRPr="0029167E" w:rsidRDefault="00DC2BE9" w:rsidP="00BF7F85">
      <w:pPr>
        <w:pStyle w:val="FINMAAufzhlungEbene2"/>
        <w:numPr>
          <w:ilvl w:val="0"/>
          <w:numId w:val="3"/>
        </w:numPr>
        <w:ind w:left="765" w:hanging="357"/>
        <w:rPr>
          <w:noProof/>
        </w:rPr>
      </w:pPr>
      <w:r w:rsidRPr="0029167E">
        <w:t>Description quantitative et qualitative des positions principales du bilan SST au jour de référence</w:t>
      </w:r>
    </w:p>
    <w:p w14:paraId="492F0A23" w14:textId="7D6A5C81" w:rsidR="00DC2BE9" w:rsidRPr="0029167E" w:rsidRDefault="00DC2BE9" w:rsidP="00BF7F85">
      <w:pPr>
        <w:pStyle w:val="FINMAAufzhlungEbene2"/>
        <w:numPr>
          <w:ilvl w:val="0"/>
          <w:numId w:val="3"/>
        </w:numPr>
        <w:ind w:left="765" w:hanging="357"/>
        <w:rPr>
          <w:noProof/>
        </w:rPr>
      </w:pPr>
      <w:r w:rsidRPr="0029167E">
        <w:t>Explications des effets principaux ou notables de certaines positions du bilan sur la situation en matière de risque, notamment l’impact d’éventuelles concentrations des risques</w:t>
      </w:r>
      <w:r w:rsidR="000A1FE7" w:rsidRPr="0029167E">
        <w:t>.</w:t>
      </w:r>
    </w:p>
    <w:p w14:paraId="746BBD9E" w14:textId="2411AA7F" w:rsidR="000F4DE8" w:rsidRPr="0029167E" w:rsidRDefault="000F4DE8" w:rsidP="000F4DE8">
      <w:pPr>
        <w:pStyle w:val="FINMAAufzhlungEbene2"/>
        <w:numPr>
          <w:ilvl w:val="0"/>
          <w:numId w:val="0"/>
        </w:numPr>
      </w:pPr>
    </w:p>
    <w:p w14:paraId="130403D4" w14:textId="141A687F" w:rsidR="000F4DE8" w:rsidRPr="0029167E" w:rsidRDefault="000F4DE8" w:rsidP="000F4DE8">
      <w:pPr>
        <w:pStyle w:val="Heading3"/>
      </w:pPr>
      <w:bookmarkStart w:id="42" w:name="_Toc148955343"/>
      <w:r w:rsidRPr="0029167E">
        <w:t>Montant minimum</w:t>
      </w:r>
      <w:bookmarkEnd w:id="42"/>
    </w:p>
    <w:p w14:paraId="0A41E09C" w14:textId="3ACE2F94" w:rsidR="000F4DE8" w:rsidRPr="0029167E" w:rsidRDefault="000F4DE8" w:rsidP="000F4DE8">
      <w:pPr>
        <w:pStyle w:val="FINMAStandardAbsatz"/>
      </w:pPr>
      <w:r w:rsidRPr="0029167E">
        <w:t xml:space="preserve">Commentaires sur le calcul du montant minimum et sur les résultats en tenant compte du passé récent. </w:t>
      </w:r>
    </w:p>
    <w:p w14:paraId="1C528143" w14:textId="77777777" w:rsidR="000F4DE8" w:rsidRPr="0029167E" w:rsidRDefault="000F4DE8" w:rsidP="000F4DE8">
      <w:pPr>
        <w:pStyle w:val="FINMAStandardAbsatz"/>
      </w:pPr>
      <w:r w:rsidRPr="0029167E">
        <w:t>Appréciations des changements sous forme de texte.</w:t>
      </w:r>
    </w:p>
    <w:p w14:paraId="5C038932" w14:textId="77777777" w:rsidR="000F4DE8" w:rsidRPr="0029167E" w:rsidRDefault="000F4DE8" w:rsidP="000F4DE8">
      <w:pPr>
        <w:pStyle w:val="FINMAAufzhlungEbene2"/>
        <w:numPr>
          <w:ilvl w:val="0"/>
          <w:numId w:val="0"/>
        </w:numPr>
        <w:rPr>
          <w:noProof/>
        </w:rPr>
      </w:pPr>
    </w:p>
    <w:p w14:paraId="027DA823" w14:textId="1D897AE9" w:rsidR="009D719C" w:rsidRPr="0029167E" w:rsidRDefault="00482E72" w:rsidP="00D60D73">
      <w:pPr>
        <w:pStyle w:val="Heading2"/>
      </w:pPr>
      <w:bookmarkStart w:id="43" w:name="_Toc148955344"/>
      <w:bookmarkStart w:id="44" w:name="_Toc534297745"/>
      <w:r w:rsidRPr="0029167E">
        <w:t>Transition depuis le</w:t>
      </w:r>
      <w:r w:rsidR="009D719C" w:rsidRPr="0029167E">
        <w:t xml:space="preserve"> bilan audité</w:t>
      </w:r>
      <w:bookmarkEnd w:id="43"/>
    </w:p>
    <w:p w14:paraId="1314066E" w14:textId="7C5FEDC7" w:rsidR="009D719C" w:rsidRPr="0029167E" w:rsidRDefault="009D719C" w:rsidP="00D60D73">
      <w:pPr>
        <w:pStyle w:val="FINMAStandardAbsatz"/>
        <w:rPr>
          <w:noProof/>
        </w:rPr>
      </w:pPr>
      <w:r w:rsidRPr="0029167E">
        <w:t>Chiffres marginaux 164 et 169</w:t>
      </w:r>
    </w:p>
    <w:p w14:paraId="658918A7" w14:textId="420FE75B" w:rsidR="009D719C" w:rsidRPr="0029167E" w:rsidRDefault="009D719C" w:rsidP="00D60D73">
      <w:pPr>
        <w:pStyle w:val="FINMAStandardAbsatz"/>
        <w:rPr>
          <w:noProof/>
        </w:rPr>
      </w:pPr>
      <w:r w:rsidRPr="0029167E">
        <w:rPr>
          <w:b/>
        </w:rPr>
        <w:lastRenderedPageBreak/>
        <w:t>Tableau comparatif</w:t>
      </w:r>
      <w:r w:rsidRPr="0029167E">
        <w:t xml:space="preserve"> des positions de l’année en cours du bilan SST, d’un côté, et du bilan audité des comptes annuels, de l’autre, </w:t>
      </w:r>
    </w:p>
    <w:p w14:paraId="5783A432" w14:textId="6BD12DB5" w:rsidR="009D719C" w:rsidRPr="0029167E" w:rsidRDefault="00BF7F85" w:rsidP="00BF7F85">
      <w:pPr>
        <w:pStyle w:val="FINMAAufzhlungEbene2"/>
        <w:numPr>
          <w:ilvl w:val="0"/>
          <w:numId w:val="3"/>
        </w:numPr>
        <w:ind w:left="765" w:hanging="357"/>
        <w:rPr>
          <w:noProof/>
        </w:rPr>
      </w:pPr>
      <w:proofErr w:type="gramStart"/>
      <w:r w:rsidRPr="0029167E">
        <w:t>indiquant</w:t>
      </w:r>
      <w:proofErr w:type="gramEnd"/>
      <w:r w:rsidRPr="0029167E">
        <w:t xml:space="preserve"> clairement comment on passe </w:t>
      </w:r>
      <w:r w:rsidR="009D719C" w:rsidRPr="0029167E">
        <w:t>du bilan audité au bilan SST et</w:t>
      </w:r>
    </w:p>
    <w:p w14:paraId="703EF0B9" w14:textId="65632E51" w:rsidR="009D719C" w:rsidRPr="0029167E" w:rsidRDefault="009D719C" w:rsidP="00BF7F85">
      <w:pPr>
        <w:pStyle w:val="FINMAAufzhlungEbene2"/>
        <w:numPr>
          <w:ilvl w:val="0"/>
          <w:numId w:val="3"/>
        </w:numPr>
        <w:ind w:left="765" w:hanging="357"/>
        <w:rPr>
          <w:noProof/>
        </w:rPr>
      </w:pPr>
      <w:proofErr w:type="gramStart"/>
      <w:r w:rsidRPr="0029167E">
        <w:t>signalant</w:t>
      </w:r>
      <w:proofErr w:type="gramEnd"/>
      <w:r w:rsidRPr="0029167E">
        <w:t xml:space="preserve"> les positions hors bilan du bilan audité</w:t>
      </w:r>
    </w:p>
    <w:p w14:paraId="39A5CBE3" w14:textId="77777777" w:rsidR="009D719C" w:rsidRPr="0029167E" w:rsidRDefault="009D719C" w:rsidP="00D60D73">
      <w:pPr>
        <w:pStyle w:val="FINMAStandardAbsatz"/>
        <w:rPr>
          <w:i/>
        </w:rPr>
      </w:pPr>
      <w:r w:rsidRPr="0029167E">
        <w:rPr>
          <w:i/>
        </w:rPr>
        <w:t xml:space="preserve">&lt;Il est important que les tableaux </w:t>
      </w:r>
      <w:r w:rsidRPr="0029167E">
        <w:rPr>
          <w:b/>
          <w:i/>
        </w:rPr>
        <w:t>concordent clairement avec la structure</w:t>
      </w:r>
      <w:r w:rsidRPr="0029167E">
        <w:rPr>
          <w:i/>
        </w:rPr>
        <w:t xml:space="preserve"> des modèles standard concernés de la FINMA : par exemple, la structure devrait pouvoir permettre une attribution sans ambiguïté à la FDS ou au bilan SST. Une granularité plus fine est possible, le cadre de référence concernant le FDS ou le bilan SST doit ressortir clairement et sans équivoque des tableaux livrés.&gt;</w:t>
      </w:r>
    </w:p>
    <w:p w14:paraId="10663C45" w14:textId="4A75285B" w:rsidR="009D719C" w:rsidRPr="0029167E" w:rsidRDefault="009D719C" w:rsidP="00D60D73">
      <w:pPr>
        <w:pStyle w:val="FINMAStandardAbsatz"/>
        <w:rPr>
          <w:i/>
        </w:rPr>
      </w:pPr>
      <w:r w:rsidRPr="0029167E">
        <w:rPr>
          <w:i/>
        </w:rPr>
        <w:t xml:space="preserve">&lt;N’hésitez pas à renvoyer à d’éventuelles investigations approfondies de certaines classes d’actifs, à des examens des réserves et aux résultats correspondants. Veuillez ne remettre de rapports correspondants que sur demande explicite de la FINMA ou s'il s'agit d'une exigence de </w:t>
      </w:r>
      <w:proofErr w:type="spellStart"/>
      <w:r w:rsidRPr="0029167E">
        <w:rPr>
          <w:i/>
        </w:rPr>
        <w:t>reporting</w:t>
      </w:r>
      <w:proofErr w:type="spellEnd"/>
      <w:r w:rsidRPr="0029167E">
        <w:rPr>
          <w:i/>
        </w:rPr>
        <w:t xml:space="preserve"> du modèle standard utilisé.&gt;</w:t>
      </w:r>
    </w:p>
    <w:p w14:paraId="3D22CCA7" w14:textId="5075D0D6" w:rsidR="009D719C" w:rsidRPr="0029167E" w:rsidRDefault="009D719C" w:rsidP="00D60D73">
      <w:pPr>
        <w:pStyle w:val="FINMAStandardAbsatz"/>
        <w:rPr>
          <w:i/>
        </w:rPr>
      </w:pPr>
      <w:r w:rsidRPr="0029167E">
        <w:rPr>
          <w:i/>
        </w:rPr>
        <w:t>&lt;Veuillez mentionner la documentation qui s’y rapporte dans la liste des renvois à d’autres documents, dans l’annexe.&gt;</w:t>
      </w:r>
    </w:p>
    <w:p w14:paraId="50F4328D" w14:textId="0A5B766F" w:rsidR="006501B6" w:rsidRPr="0029167E" w:rsidRDefault="006501B6" w:rsidP="00D60D73">
      <w:pPr>
        <w:pStyle w:val="Heading2"/>
      </w:pPr>
      <w:bookmarkStart w:id="45" w:name="_Toc148955345"/>
      <w:r w:rsidRPr="0029167E">
        <w:t>Déductions</w:t>
      </w:r>
      <w:bookmarkEnd w:id="44"/>
      <w:bookmarkEnd w:id="45"/>
    </w:p>
    <w:p w14:paraId="7774BAF7" w14:textId="6859A2CB" w:rsidR="00602BC6" w:rsidRPr="0029167E" w:rsidRDefault="00602BC6" w:rsidP="00D60D73">
      <w:pPr>
        <w:pStyle w:val="FINMAStandardAbsatz"/>
      </w:pPr>
      <w:r w:rsidRPr="0029167E">
        <w:t>Chiffres marginaux 155 à 157,164 et 165</w:t>
      </w:r>
    </w:p>
    <w:p w14:paraId="2558FB07" w14:textId="1644B7EF" w:rsidR="002324F7" w:rsidRPr="0029167E" w:rsidRDefault="002324F7" w:rsidP="00D60D73">
      <w:pPr>
        <w:pStyle w:val="FINMAStandardAbsatz"/>
        <w:rPr>
          <w:b/>
        </w:rPr>
      </w:pPr>
      <w:r w:rsidRPr="0029167E">
        <w:t>Description des déductions, y compris une appréciation sous forme de texte des changements notables</w:t>
      </w:r>
    </w:p>
    <w:p w14:paraId="011FCA67" w14:textId="4F9D7959" w:rsidR="00DD33CB" w:rsidRPr="0029167E" w:rsidRDefault="00C836F8" w:rsidP="00D60D73">
      <w:pPr>
        <w:pStyle w:val="FINMAStandardAbsatz"/>
      </w:pPr>
      <w:r w:rsidRPr="0029167E">
        <w:rPr>
          <w:b/>
        </w:rPr>
        <w:t>Tableaux appropriés</w:t>
      </w:r>
      <w:r w:rsidRPr="0029167E">
        <w:t xml:space="preserve"> comportant les postes des déductions, au moins pour le SST actuel et l’année précédente.</w:t>
      </w:r>
    </w:p>
    <w:p w14:paraId="6745392D" w14:textId="5EC39A41" w:rsidR="003F0431" w:rsidRPr="0029167E" w:rsidRDefault="003F0431" w:rsidP="00D60D73">
      <w:pPr>
        <w:pStyle w:val="FINMAStandardAbsatz"/>
        <w:spacing w:before="100" w:beforeAutospacing="1" w:after="100" w:afterAutospacing="1" w:line="240" w:lineRule="auto"/>
      </w:pPr>
      <w:r w:rsidRPr="0029167E">
        <w:t xml:space="preserve">Explication des approches méthodologiques et des modèles pour l’évaluation </w:t>
      </w:r>
      <w:r w:rsidR="000F4DE8" w:rsidRPr="0029167E">
        <w:t>conforme au</w:t>
      </w:r>
      <w:r w:rsidRPr="0029167E">
        <w:t xml:space="preserve"> marché.</w:t>
      </w:r>
    </w:p>
    <w:p w14:paraId="48A4845B" w14:textId="24E2CC0A" w:rsidR="00707538" w:rsidRPr="0029167E" w:rsidRDefault="00947A8D" w:rsidP="00D60D73">
      <w:pPr>
        <w:pStyle w:val="Heading2"/>
      </w:pPr>
      <w:bookmarkStart w:id="46" w:name="_Toc148955346"/>
      <w:r w:rsidRPr="0029167E">
        <w:t>Instruments de ca</w:t>
      </w:r>
      <w:r w:rsidR="000C3E5E" w:rsidRPr="0029167E">
        <w:t>pital amortisseurs de risque (RAK)</w:t>
      </w:r>
      <w:bookmarkEnd w:id="46"/>
    </w:p>
    <w:p w14:paraId="6772014D" w14:textId="71FAD2AD" w:rsidR="00602BC6" w:rsidRPr="0029167E" w:rsidRDefault="00602BC6" w:rsidP="00D60D73">
      <w:pPr>
        <w:pStyle w:val="FINMAStandardAbsatz"/>
      </w:pPr>
      <w:r w:rsidRPr="0029167E">
        <w:t xml:space="preserve">Chiffres marginaux 66 et 68, et </w:t>
      </w:r>
      <w:r w:rsidR="00BF0AA2" w:rsidRPr="0029167E">
        <w:t>177</w:t>
      </w:r>
    </w:p>
    <w:p w14:paraId="24C1A05C" w14:textId="0D63F0AE" w:rsidR="00917210" w:rsidRPr="0029167E" w:rsidRDefault="00917210" w:rsidP="00D60D73">
      <w:pPr>
        <w:pStyle w:val="FINMAStandardAbsatz"/>
      </w:pPr>
      <w:r w:rsidRPr="0029167E">
        <w:t xml:space="preserve">En l’absence </w:t>
      </w:r>
      <w:r w:rsidRPr="0029167E">
        <w:rPr>
          <w:i/>
        </w:rPr>
        <w:t>d’instruments de capital amortisseur</w:t>
      </w:r>
      <w:r w:rsidR="00E8096B" w:rsidRPr="0029167E">
        <w:rPr>
          <w:i/>
        </w:rPr>
        <w:t>s</w:t>
      </w:r>
      <w:r w:rsidRPr="0029167E">
        <w:rPr>
          <w:i/>
        </w:rPr>
        <w:t xml:space="preserve"> de risque</w:t>
      </w:r>
      <w:r w:rsidRPr="0029167E">
        <w:t xml:space="preserve"> au sens de l’art. </w:t>
      </w:r>
      <w:r w:rsidR="00E8096B" w:rsidRPr="0029167E">
        <w:t>37</w:t>
      </w:r>
      <w:r w:rsidRPr="0029167E">
        <w:t xml:space="preserve"> OS veuillez, pour la bonne forme, le </w:t>
      </w:r>
      <w:proofErr w:type="gramStart"/>
      <w:r w:rsidRPr="0029167E">
        <w:t>confirmer:</w:t>
      </w:r>
      <w:proofErr w:type="gramEnd"/>
    </w:p>
    <w:p w14:paraId="02AE50D0" w14:textId="6FC0CA5E" w:rsidR="00FB1AB2" w:rsidRPr="00AE524F" w:rsidRDefault="0099416E" w:rsidP="00D60D73">
      <w:pPr>
        <w:pStyle w:val="FINMAStandardAbsatz"/>
        <w:rPr>
          <w:i/>
        </w:rPr>
      </w:pPr>
      <w:r w:rsidRPr="0029167E">
        <w:t xml:space="preserve">« Il n’y a pas d’instruments de capital amortisseurs de risque au sens de l’art. </w:t>
      </w:r>
      <w:r w:rsidR="00E8096B" w:rsidRPr="0029167E">
        <w:t>37 OS</w:t>
      </w:r>
      <w:r w:rsidRPr="0029167E">
        <w:t xml:space="preserve"> » </w:t>
      </w:r>
    </w:p>
    <w:p w14:paraId="4CFC5E7B" w14:textId="67835B3B" w:rsidR="000B07B4" w:rsidRPr="0029167E" w:rsidRDefault="000B07B4" w:rsidP="00D60D73">
      <w:pPr>
        <w:pStyle w:val="FINMAStandardAbsatz"/>
      </w:pPr>
      <w:r w:rsidRPr="0029167E">
        <w:t xml:space="preserve">En présence d'instruments de capital amortisseurs de </w:t>
      </w:r>
      <w:proofErr w:type="gramStart"/>
      <w:r w:rsidRPr="0029167E">
        <w:t>risque:</w:t>
      </w:r>
      <w:proofErr w:type="gramEnd"/>
      <w:r w:rsidRPr="0029167E">
        <w:t xml:space="preserve"> Liste des instruments avec mention claire de ceux qui sont qui sont imputés au capital de base, de ceux qui sont imputés au capital complémentaire, de ceux qui sont pris en compte au capital cible et enfin de ceux qui ne sont ni imputés ni pris en compte. Dans chaque cas, confirmer et prouver quantitativement que les limites d'imputa</w:t>
      </w:r>
      <w:r w:rsidR="00BD0CE4" w:rsidRPr="0029167E">
        <w:t>bilité</w:t>
      </w:r>
      <w:r w:rsidRPr="0029167E">
        <w:t xml:space="preserve"> au sens </w:t>
      </w:r>
      <w:proofErr w:type="spellStart"/>
      <w:r w:rsidRPr="0029167E">
        <w:t>des</w:t>
      </w:r>
      <w:proofErr w:type="spellEnd"/>
      <w:r w:rsidRPr="0029167E">
        <w:t xml:space="preserve"> l'art. 34 et 37 OS sont respectées. Décrire brièvement chacun des instruments et s</w:t>
      </w:r>
      <w:r w:rsidR="00BD0CE4" w:rsidRPr="0029167E">
        <w:t>on évaluation. Expliquer d'éventuelles modifications par rapport à l'exercice précédent avec une table appropriée.</w:t>
      </w:r>
    </w:p>
    <w:p w14:paraId="0273F243" w14:textId="344EE309" w:rsidR="00D57712" w:rsidRPr="0029167E" w:rsidRDefault="00794567" w:rsidP="00D60D73">
      <w:pPr>
        <w:pStyle w:val="FINMAStandardAbsatz"/>
        <w:spacing w:before="100" w:beforeAutospacing="1" w:after="100" w:afterAutospacing="1" w:line="240" w:lineRule="auto"/>
      </w:pPr>
      <w:r w:rsidRPr="0029167E">
        <w:rPr>
          <w:i/>
        </w:rPr>
        <w:lastRenderedPageBreak/>
        <w:t xml:space="preserve">&lt;Veuillez indiquer la ou les demande(s) d’approbation pour </w:t>
      </w:r>
      <w:r w:rsidR="00601C5D" w:rsidRPr="0029167E">
        <w:rPr>
          <w:i/>
        </w:rPr>
        <w:t>l'imputation</w:t>
      </w:r>
      <w:r w:rsidRPr="0029167E">
        <w:rPr>
          <w:i/>
        </w:rPr>
        <w:t xml:space="preserve"> des instruments de capital amortisseurs de risque qui a/ont été remise/s à la FINMA. Veuillez décrire le procédé dans le SST actuel si une demande a été remise mais pas encore approuvée.&gt;</w:t>
      </w:r>
    </w:p>
    <w:p w14:paraId="78FF00FF" w14:textId="34547A96" w:rsidR="003D1B5D" w:rsidRPr="0029167E" w:rsidRDefault="00F818E5" w:rsidP="00750B6C">
      <w:pPr>
        <w:pStyle w:val="StyleHeading1"/>
      </w:pPr>
      <w:bookmarkStart w:id="47" w:name="_Toc534297747"/>
      <w:bookmarkStart w:id="48" w:name="_Toc534297756"/>
      <w:bookmarkStart w:id="49" w:name="_Toc148955347"/>
      <w:bookmarkEnd w:id="47"/>
      <w:r w:rsidRPr="0029167E">
        <w:t>Le capital cible et ses catégories de risques</w:t>
      </w:r>
      <w:bookmarkEnd w:id="48"/>
      <w:bookmarkEnd w:id="49"/>
    </w:p>
    <w:p w14:paraId="39C1464C" w14:textId="157DF8CB" w:rsidR="0032524A" w:rsidRPr="0029167E" w:rsidRDefault="0032524A" w:rsidP="00750B6C">
      <w:pPr>
        <w:pStyle w:val="Heading2"/>
      </w:pPr>
      <w:bookmarkStart w:id="50" w:name="_Toc148955348"/>
      <w:r w:rsidRPr="0029167E">
        <w:t>Vue d’ensemble</w:t>
      </w:r>
      <w:bookmarkEnd w:id="50"/>
    </w:p>
    <w:tbl>
      <w:tblPr>
        <w:tblW w:w="8089" w:type="dxa"/>
        <w:tblCellMar>
          <w:left w:w="70" w:type="dxa"/>
          <w:right w:w="70" w:type="dxa"/>
        </w:tblCellMar>
        <w:tblLook w:val="04A0" w:firstRow="1" w:lastRow="0" w:firstColumn="1" w:lastColumn="0" w:noHBand="0" w:noVBand="1"/>
      </w:tblPr>
      <w:tblGrid>
        <w:gridCol w:w="2976"/>
        <w:gridCol w:w="216"/>
        <w:gridCol w:w="916"/>
        <w:gridCol w:w="576"/>
        <w:gridCol w:w="185"/>
        <w:gridCol w:w="556"/>
        <w:gridCol w:w="576"/>
        <w:gridCol w:w="256"/>
        <w:gridCol w:w="916"/>
        <w:gridCol w:w="916"/>
      </w:tblGrid>
      <w:tr w:rsidR="00C8081C" w:rsidRPr="0029167E" w14:paraId="49C7E7B0" w14:textId="77777777" w:rsidTr="00CE132B">
        <w:trPr>
          <w:trHeight w:val="255"/>
        </w:trPr>
        <w:tc>
          <w:tcPr>
            <w:tcW w:w="2976" w:type="dxa"/>
            <w:tcBorders>
              <w:top w:val="nil"/>
              <w:left w:val="nil"/>
              <w:bottom w:val="nil"/>
              <w:right w:val="nil"/>
            </w:tcBorders>
            <w:shd w:val="clear" w:color="000000" w:fill="FFFFFF"/>
            <w:noWrap/>
            <w:vAlign w:val="bottom"/>
            <w:hideMark/>
          </w:tcPr>
          <w:p w14:paraId="7353C146" w14:textId="77777777" w:rsidR="00C8081C" w:rsidRPr="0029167E" w:rsidRDefault="00C8081C"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w:t>
            </w:r>
          </w:p>
        </w:tc>
        <w:tc>
          <w:tcPr>
            <w:tcW w:w="216" w:type="dxa"/>
            <w:tcBorders>
              <w:top w:val="nil"/>
              <w:left w:val="nil"/>
              <w:bottom w:val="nil"/>
              <w:right w:val="nil"/>
            </w:tcBorders>
            <w:shd w:val="clear" w:color="000000" w:fill="FFFFFF"/>
            <w:noWrap/>
            <w:vAlign w:val="bottom"/>
            <w:hideMark/>
          </w:tcPr>
          <w:p w14:paraId="6F2A943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hideMark/>
          </w:tcPr>
          <w:p w14:paraId="4F83D5B8" w14:textId="52ECE7D2" w:rsidR="00C8081C" w:rsidRPr="0029167E" w:rsidRDefault="00C8081C" w:rsidP="00750B6C">
            <w:pPr>
              <w:keepNext/>
              <w:spacing w:line="240" w:lineRule="auto"/>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DF507F" w:rsidRPr="0029167E">
              <w:rPr>
                <w:rFonts w:eastAsia="Times New Roman" w:cs="Arial"/>
                <w:b/>
                <w:bCs/>
                <w:color w:val="000000"/>
                <w:sz w:val="16"/>
                <w:szCs w:val="16"/>
                <w:lang w:val="de-CH" w:eastAsia="de-CH"/>
              </w:rPr>
              <w:t>4</w:t>
            </w:r>
          </w:p>
        </w:tc>
        <w:tc>
          <w:tcPr>
            <w:tcW w:w="576" w:type="dxa"/>
            <w:tcBorders>
              <w:top w:val="nil"/>
              <w:left w:val="nil"/>
              <w:bottom w:val="nil"/>
              <w:right w:val="nil"/>
            </w:tcBorders>
            <w:shd w:val="clear" w:color="000000" w:fill="D9D9D9"/>
            <w:noWrap/>
            <w:vAlign w:val="bottom"/>
            <w:hideMark/>
          </w:tcPr>
          <w:p w14:paraId="0FAADD6C"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D9D9D9"/>
            <w:noWrap/>
            <w:vAlign w:val="bottom"/>
            <w:hideMark/>
          </w:tcPr>
          <w:p w14:paraId="28FD2917"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000000" w:fill="D9D9D9"/>
            <w:noWrap/>
            <w:vAlign w:val="bottom"/>
            <w:hideMark/>
          </w:tcPr>
          <w:p w14:paraId="131E1B52"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76" w:type="dxa"/>
            <w:tcBorders>
              <w:top w:val="nil"/>
              <w:left w:val="nil"/>
              <w:bottom w:val="nil"/>
              <w:right w:val="nil"/>
            </w:tcBorders>
            <w:shd w:val="clear" w:color="000000" w:fill="D9D9D9"/>
            <w:noWrap/>
            <w:vAlign w:val="bottom"/>
            <w:hideMark/>
          </w:tcPr>
          <w:p w14:paraId="050AC29A"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256" w:type="dxa"/>
            <w:tcBorders>
              <w:top w:val="nil"/>
              <w:left w:val="nil"/>
              <w:bottom w:val="nil"/>
              <w:right w:val="nil"/>
            </w:tcBorders>
            <w:shd w:val="clear" w:color="000000" w:fill="FFFFFF"/>
            <w:noWrap/>
            <w:vAlign w:val="bottom"/>
            <w:hideMark/>
          </w:tcPr>
          <w:p w14:paraId="08D84F1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hideMark/>
          </w:tcPr>
          <w:p w14:paraId="6D5DC65E" w14:textId="4101AC0C" w:rsidR="00C8081C" w:rsidRPr="0029167E" w:rsidRDefault="00C8081C" w:rsidP="00D22F94">
            <w:pPr>
              <w:keepNext/>
              <w:spacing w:line="240" w:lineRule="auto"/>
              <w:ind w:right="-130"/>
              <w:rPr>
                <w:rFonts w:eastAsia="Times New Roman" w:cs="Arial"/>
                <w:b/>
                <w:bCs/>
                <w:color w:val="000000"/>
                <w:sz w:val="16"/>
                <w:szCs w:val="16"/>
                <w:lang w:val="de-CH" w:eastAsia="de-CH"/>
              </w:rPr>
            </w:pPr>
            <w:r w:rsidRPr="0029167E">
              <w:rPr>
                <w:rFonts w:eastAsia="Times New Roman" w:cs="Arial"/>
                <w:b/>
                <w:bCs/>
                <w:color w:val="000000"/>
                <w:sz w:val="16"/>
                <w:szCs w:val="16"/>
                <w:lang w:val="de-CH" w:eastAsia="de-CH"/>
              </w:rPr>
              <w:t xml:space="preserve">SST </w:t>
            </w:r>
            <w:r w:rsidR="00BF0AA2" w:rsidRPr="0029167E">
              <w:rPr>
                <w:rFonts w:eastAsia="Times New Roman" w:cs="Arial"/>
                <w:b/>
                <w:bCs/>
                <w:color w:val="000000"/>
                <w:sz w:val="16"/>
                <w:szCs w:val="16"/>
                <w:lang w:val="de-CH" w:eastAsia="de-CH"/>
              </w:rPr>
              <w:t>202</w:t>
            </w:r>
            <w:r w:rsidR="00DF507F" w:rsidRPr="0029167E">
              <w:rPr>
                <w:rFonts w:eastAsia="Times New Roman" w:cs="Arial"/>
                <w:b/>
                <w:bCs/>
                <w:color w:val="000000"/>
                <w:sz w:val="16"/>
                <w:szCs w:val="16"/>
                <w:lang w:val="de-CH" w:eastAsia="de-CH"/>
              </w:rPr>
              <w:t>3</w:t>
            </w:r>
            <w:r w:rsidR="00D22F94" w:rsidRPr="0029167E">
              <w:rPr>
                <w:rFonts w:eastAsia="Times New Roman" w:cs="Arial"/>
                <w:b/>
                <w:bCs/>
                <w:color w:val="000000"/>
                <w:sz w:val="16"/>
                <w:szCs w:val="16"/>
                <w:lang w:val="de-CH" w:eastAsia="de-CH"/>
              </w:rPr>
              <w:t xml:space="preserve"> (</w:t>
            </w:r>
            <w:proofErr w:type="spellStart"/>
            <w:r w:rsidR="00D22F94" w:rsidRPr="0029167E">
              <w:rPr>
                <w:rFonts w:eastAsia="Times New Roman" w:cs="Arial"/>
                <w:b/>
                <w:bCs/>
                <w:color w:val="000000"/>
                <w:sz w:val="16"/>
                <w:szCs w:val="16"/>
                <w:lang w:val="de-CH" w:eastAsia="de-CH"/>
              </w:rPr>
              <w:t>recalculé</w:t>
            </w:r>
            <w:proofErr w:type="spellEnd"/>
            <w:r w:rsidR="00D22F94" w:rsidRPr="0029167E">
              <w:rPr>
                <w:rFonts w:eastAsia="Times New Roman" w:cs="Arial"/>
                <w:b/>
                <w:bCs/>
                <w:color w:val="000000"/>
                <w:sz w:val="16"/>
                <w:szCs w:val="16"/>
                <w:lang w:val="de-CH" w:eastAsia="de-CH"/>
              </w:rPr>
              <w:t>)</w:t>
            </w:r>
          </w:p>
        </w:tc>
        <w:tc>
          <w:tcPr>
            <w:tcW w:w="916" w:type="dxa"/>
            <w:tcBorders>
              <w:top w:val="nil"/>
              <w:left w:val="nil"/>
              <w:bottom w:val="nil"/>
              <w:right w:val="nil"/>
            </w:tcBorders>
            <w:shd w:val="clear" w:color="000000" w:fill="D9D9D9"/>
            <w:noWrap/>
            <w:vAlign w:val="bottom"/>
            <w:hideMark/>
          </w:tcPr>
          <w:p w14:paraId="418FEEC6"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C8081C" w:rsidRPr="0029167E" w14:paraId="44A4AE8F" w14:textId="77777777" w:rsidTr="00CE132B">
        <w:trPr>
          <w:trHeight w:val="675"/>
        </w:trPr>
        <w:tc>
          <w:tcPr>
            <w:tcW w:w="2976" w:type="dxa"/>
            <w:tcBorders>
              <w:top w:val="nil"/>
              <w:left w:val="nil"/>
              <w:bottom w:val="single" w:sz="4" w:space="0" w:color="auto"/>
              <w:right w:val="nil"/>
            </w:tcBorders>
            <w:shd w:val="clear" w:color="000000" w:fill="FFFFFF"/>
            <w:vAlign w:val="bottom"/>
            <w:hideMark/>
          </w:tcPr>
          <w:p w14:paraId="151028E7" w14:textId="2422BCC0" w:rsidR="00C8081C" w:rsidRPr="0029167E" w:rsidRDefault="00C8081C" w:rsidP="00750B6C">
            <w:pPr>
              <w:keepNext/>
              <w:spacing w:line="240" w:lineRule="auto"/>
              <w:rPr>
                <w:rFonts w:eastAsia="Times New Roman" w:cs="Arial"/>
                <w:color w:val="000000"/>
                <w:sz w:val="12"/>
                <w:szCs w:val="12"/>
                <w:lang w:val="fr-CH" w:eastAsia="de-CH"/>
              </w:rPr>
            </w:pPr>
            <w:r w:rsidRPr="0029167E">
              <w:rPr>
                <w:rFonts w:eastAsia="Times New Roman" w:cs="Arial"/>
                <w:color w:val="000000"/>
                <w:sz w:val="12"/>
                <w:szCs w:val="12"/>
                <w:lang w:val="fr-CH" w:eastAsia="de-CH"/>
              </w:rPr>
              <w:t xml:space="preserve">Convention de </w:t>
            </w:r>
            <w:proofErr w:type="gramStart"/>
            <w:r w:rsidRPr="0029167E">
              <w:rPr>
                <w:rFonts w:eastAsia="Times New Roman" w:cs="Arial"/>
                <w:color w:val="000000"/>
                <w:sz w:val="12"/>
                <w:szCs w:val="12"/>
                <w:lang w:val="fr-CH" w:eastAsia="de-CH"/>
              </w:rPr>
              <w:t>signes:</w:t>
            </w:r>
            <w:proofErr w:type="gramEnd"/>
            <w:r w:rsidRPr="0029167E">
              <w:rPr>
                <w:rFonts w:eastAsia="Times New Roman" w:cs="Arial"/>
                <w:color w:val="000000"/>
                <w:sz w:val="12"/>
                <w:szCs w:val="12"/>
                <w:lang w:val="fr-CH" w:eastAsia="de-CH"/>
              </w:rPr>
              <w:t xml:space="preserve"> </w:t>
            </w:r>
            <w:r w:rsidRPr="0029167E">
              <w:rPr>
                <w:rFonts w:eastAsia="Times New Roman" w:cs="Arial"/>
                <w:color w:val="000000"/>
                <w:sz w:val="12"/>
                <w:szCs w:val="12"/>
                <w:lang w:val="fr-CH" w:eastAsia="de-CH"/>
              </w:rPr>
              <w:br/>
              <w:t>CC = somme des composantes</w:t>
            </w:r>
          </w:p>
        </w:tc>
        <w:tc>
          <w:tcPr>
            <w:tcW w:w="216" w:type="dxa"/>
            <w:tcBorders>
              <w:top w:val="nil"/>
              <w:left w:val="nil"/>
              <w:bottom w:val="single" w:sz="4" w:space="0" w:color="auto"/>
              <w:right w:val="nil"/>
            </w:tcBorders>
            <w:shd w:val="clear" w:color="000000" w:fill="FFFFFF"/>
            <w:vAlign w:val="bottom"/>
            <w:hideMark/>
          </w:tcPr>
          <w:p w14:paraId="27FDD0DB" w14:textId="77777777" w:rsidR="00C8081C" w:rsidRPr="0029167E" w:rsidRDefault="00C8081C"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16" w:type="dxa"/>
            <w:tcBorders>
              <w:top w:val="nil"/>
              <w:left w:val="nil"/>
              <w:bottom w:val="single" w:sz="4" w:space="0" w:color="auto"/>
              <w:right w:val="nil"/>
            </w:tcBorders>
            <w:shd w:val="clear" w:color="000000" w:fill="F2F2F2"/>
            <w:vAlign w:val="bottom"/>
            <w:hideMark/>
          </w:tcPr>
          <w:p w14:paraId="4F42181B" w14:textId="250C49A0" w:rsidR="00C8081C" w:rsidRPr="0029167E" w:rsidRDefault="00C8081C"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millions de &lt;monnaie du SST&gt;</w:t>
            </w:r>
          </w:p>
        </w:tc>
        <w:tc>
          <w:tcPr>
            <w:tcW w:w="576" w:type="dxa"/>
            <w:tcBorders>
              <w:top w:val="nil"/>
              <w:left w:val="nil"/>
              <w:bottom w:val="single" w:sz="4" w:space="0" w:color="auto"/>
              <w:right w:val="nil"/>
            </w:tcBorders>
            <w:shd w:val="clear" w:color="000000" w:fill="FFFFFF"/>
            <w:vAlign w:val="bottom"/>
            <w:hideMark/>
          </w:tcPr>
          <w:p w14:paraId="35A3A6A4" w14:textId="77777777" w:rsidR="00C8081C" w:rsidRPr="0029167E" w:rsidRDefault="00C8081C" w:rsidP="00750B6C">
            <w:pPr>
              <w:keepNext/>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Diff rel. </w:t>
            </w:r>
            <w:proofErr w:type="spellStart"/>
            <w:r w:rsidRPr="0029167E">
              <w:rPr>
                <w:rFonts w:eastAsia="Times New Roman" w:cs="Arial"/>
                <w:color w:val="000000"/>
                <w:sz w:val="12"/>
                <w:szCs w:val="12"/>
                <w:lang w:val="de-CH" w:eastAsia="de-CH"/>
              </w:rPr>
              <w:t>année</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préc</w:t>
            </w:r>
            <w:proofErr w:type="spellEnd"/>
            <w:r w:rsidRPr="0029167E">
              <w:rPr>
                <w:rFonts w:eastAsia="Times New Roman" w:cs="Arial"/>
                <w:color w:val="000000"/>
                <w:sz w:val="12"/>
                <w:szCs w:val="12"/>
                <w:lang w:val="de-CH" w:eastAsia="de-CH"/>
              </w:rPr>
              <w:t>.</w:t>
            </w:r>
          </w:p>
        </w:tc>
        <w:tc>
          <w:tcPr>
            <w:tcW w:w="185" w:type="dxa"/>
            <w:tcBorders>
              <w:top w:val="nil"/>
              <w:left w:val="nil"/>
              <w:bottom w:val="single" w:sz="4" w:space="0" w:color="auto"/>
              <w:right w:val="nil"/>
            </w:tcBorders>
            <w:shd w:val="clear" w:color="000000" w:fill="FFFFFF"/>
            <w:vAlign w:val="bottom"/>
            <w:hideMark/>
          </w:tcPr>
          <w:p w14:paraId="623CAB75"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single" w:sz="4" w:space="0" w:color="auto"/>
              <w:right w:val="nil"/>
            </w:tcBorders>
            <w:shd w:val="clear" w:color="000000" w:fill="F2F2F2"/>
            <w:vAlign w:val="bottom"/>
            <w:hideMark/>
          </w:tcPr>
          <w:p w14:paraId="4C8A8517"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 SCR</w:t>
            </w:r>
          </w:p>
        </w:tc>
        <w:tc>
          <w:tcPr>
            <w:tcW w:w="576" w:type="dxa"/>
            <w:tcBorders>
              <w:top w:val="nil"/>
              <w:left w:val="nil"/>
              <w:bottom w:val="single" w:sz="4" w:space="0" w:color="auto"/>
              <w:right w:val="nil"/>
            </w:tcBorders>
            <w:shd w:val="clear" w:color="000000" w:fill="FFFFFF"/>
            <w:vAlign w:val="bottom"/>
            <w:hideMark/>
          </w:tcPr>
          <w:p w14:paraId="7920982C" w14:textId="77777777" w:rsidR="00C8081C" w:rsidRPr="0029167E" w:rsidRDefault="00C8081C" w:rsidP="00750B6C">
            <w:pPr>
              <w:keepNext/>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xml:space="preserve">Diff rel. </w:t>
            </w:r>
            <w:proofErr w:type="spellStart"/>
            <w:r w:rsidRPr="0029167E">
              <w:rPr>
                <w:rFonts w:eastAsia="Times New Roman" w:cs="Arial"/>
                <w:color w:val="000000"/>
                <w:sz w:val="12"/>
                <w:szCs w:val="12"/>
                <w:lang w:val="de-CH" w:eastAsia="de-CH"/>
              </w:rPr>
              <w:t>année</w:t>
            </w:r>
            <w:proofErr w:type="spellEnd"/>
            <w:r w:rsidRPr="0029167E">
              <w:rPr>
                <w:rFonts w:eastAsia="Times New Roman" w:cs="Arial"/>
                <w:color w:val="000000"/>
                <w:sz w:val="12"/>
                <w:szCs w:val="12"/>
                <w:lang w:val="de-CH" w:eastAsia="de-CH"/>
              </w:rPr>
              <w:t xml:space="preserve"> </w:t>
            </w:r>
            <w:proofErr w:type="spellStart"/>
            <w:r w:rsidRPr="0029167E">
              <w:rPr>
                <w:rFonts w:eastAsia="Times New Roman" w:cs="Arial"/>
                <w:color w:val="000000"/>
                <w:sz w:val="12"/>
                <w:szCs w:val="12"/>
                <w:lang w:val="de-CH" w:eastAsia="de-CH"/>
              </w:rPr>
              <w:t>préc</w:t>
            </w:r>
            <w:proofErr w:type="spellEnd"/>
            <w:r w:rsidRPr="0029167E">
              <w:rPr>
                <w:rFonts w:eastAsia="Times New Roman" w:cs="Arial"/>
                <w:color w:val="000000"/>
                <w:sz w:val="12"/>
                <w:szCs w:val="12"/>
                <w:lang w:val="de-CH" w:eastAsia="de-CH"/>
              </w:rPr>
              <w:t>.</w:t>
            </w:r>
          </w:p>
        </w:tc>
        <w:tc>
          <w:tcPr>
            <w:tcW w:w="256" w:type="dxa"/>
            <w:tcBorders>
              <w:top w:val="nil"/>
              <w:left w:val="nil"/>
              <w:bottom w:val="single" w:sz="4" w:space="0" w:color="auto"/>
              <w:right w:val="nil"/>
            </w:tcBorders>
            <w:shd w:val="clear" w:color="000000" w:fill="FFFFFF"/>
            <w:noWrap/>
            <w:vAlign w:val="bottom"/>
            <w:hideMark/>
          </w:tcPr>
          <w:p w14:paraId="727AC17F"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single" w:sz="4" w:space="0" w:color="auto"/>
              <w:right w:val="nil"/>
            </w:tcBorders>
            <w:shd w:val="clear" w:color="000000" w:fill="F2F2F2"/>
            <w:vAlign w:val="bottom"/>
            <w:hideMark/>
          </w:tcPr>
          <w:p w14:paraId="6A5E2C88" w14:textId="54241CF8" w:rsidR="00C8081C" w:rsidRPr="0029167E" w:rsidRDefault="00C8081C" w:rsidP="00750B6C">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En millions de &lt;monnaie du SST&gt;</w:t>
            </w:r>
          </w:p>
        </w:tc>
        <w:tc>
          <w:tcPr>
            <w:tcW w:w="916" w:type="dxa"/>
            <w:tcBorders>
              <w:top w:val="nil"/>
              <w:left w:val="nil"/>
              <w:bottom w:val="single" w:sz="4" w:space="0" w:color="auto"/>
              <w:right w:val="nil"/>
            </w:tcBorders>
            <w:shd w:val="clear" w:color="000000" w:fill="F2F2F2"/>
            <w:vAlign w:val="bottom"/>
            <w:hideMark/>
          </w:tcPr>
          <w:p w14:paraId="39DF3FF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Part SCR</w:t>
            </w:r>
          </w:p>
        </w:tc>
      </w:tr>
      <w:tr w:rsidR="00C8081C" w:rsidRPr="0029167E" w14:paraId="55147D33" w14:textId="77777777" w:rsidTr="00CE132B">
        <w:trPr>
          <w:trHeight w:val="255"/>
        </w:trPr>
        <w:tc>
          <w:tcPr>
            <w:tcW w:w="2976" w:type="dxa"/>
            <w:tcBorders>
              <w:top w:val="nil"/>
              <w:left w:val="nil"/>
              <w:bottom w:val="nil"/>
              <w:right w:val="nil"/>
            </w:tcBorders>
            <w:shd w:val="clear" w:color="000000" w:fill="FFFFFF"/>
            <w:noWrap/>
            <w:vAlign w:val="bottom"/>
            <w:hideMark/>
          </w:tcPr>
          <w:p w14:paraId="7CC96BA7"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216" w:type="dxa"/>
            <w:tcBorders>
              <w:top w:val="nil"/>
              <w:left w:val="nil"/>
              <w:bottom w:val="nil"/>
              <w:right w:val="nil"/>
            </w:tcBorders>
            <w:shd w:val="clear" w:color="000000" w:fill="FFFFFF"/>
            <w:noWrap/>
            <w:vAlign w:val="bottom"/>
            <w:hideMark/>
          </w:tcPr>
          <w:p w14:paraId="5633DF5A"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FFFFF"/>
            <w:noWrap/>
            <w:vAlign w:val="bottom"/>
            <w:hideMark/>
          </w:tcPr>
          <w:p w14:paraId="1F0C58F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76" w:type="dxa"/>
            <w:tcBorders>
              <w:top w:val="nil"/>
              <w:left w:val="nil"/>
              <w:bottom w:val="nil"/>
              <w:right w:val="nil"/>
            </w:tcBorders>
            <w:shd w:val="clear" w:color="000000" w:fill="FFFFFF"/>
            <w:noWrap/>
            <w:vAlign w:val="bottom"/>
            <w:hideMark/>
          </w:tcPr>
          <w:p w14:paraId="37BCAF7A" w14:textId="77777777" w:rsidR="00C8081C" w:rsidRPr="0029167E" w:rsidRDefault="00C8081C" w:rsidP="00750B6C">
            <w:pPr>
              <w:keepNext/>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w:t>
            </w:r>
          </w:p>
        </w:tc>
        <w:tc>
          <w:tcPr>
            <w:tcW w:w="185" w:type="dxa"/>
            <w:tcBorders>
              <w:top w:val="nil"/>
              <w:left w:val="nil"/>
              <w:bottom w:val="nil"/>
              <w:right w:val="nil"/>
            </w:tcBorders>
            <w:shd w:val="clear" w:color="000000" w:fill="FFFFFF"/>
            <w:noWrap/>
            <w:vAlign w:val="bottom"/>
            <w:hideMark/>
          </w:tcPr>
          <w:p w14:paraId="5CA4AF5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000000" w:fill="FFFFFF"/>
            <w:noWrap/>
            <w:vAlign w:val="bottom"/>
            <w:hideMark/>
          </w:tcPr>
          <w:p w14:paraId="34E681A8"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76" w:type="dxa"/>
            <w:tcBorders>
              <w:top w:val="nil"/>
              <w:left w:val="nil"/>
              <w:bottom w:val="nil"/>
              <w:right w:val="nil"/>
            </w:tcBorders>
            <w:shd w:val="clear" w:color="000000" w:fill="FFFFFF"/>
            <w:noWrap/>
            <w:vAlign w:val="bottom"/>
            <w:hideMark/>
          </w:tcPr>
          <w:p w14:paraId="0A08CB99" w14:textId="77777777" w:rsidR="00C8081C" w:rsidRPr="0029167E" w:rsidRDefault="00C8081C" w:rsidP="00750B6C">
            <w:pPr>
              <w:keepNext/>
              <w:spacing w:line="240" w:lineRule="auto"/>
              <w:rPr>
                <w:rFonts w:eastAsia="Times New Roman" w:cs="Arial"/>
                <w:color w:val="000000"/>
                <w:sz w:val="12"/>
                <w:szCs w:val="12"/>
                <w:lang w:val="de-CH" w:eastAsia="de-CH"/>
              </w:rPr>
            </w:pPr>
            <w:r w:rsidRPr="0029167E">
              <w:rPr>
                <w:rFonts w:eastAsia="Times New Roman" w:cs="Arial"/>
                <w:color w:val="000000"/>
                <w:sz w:val="12"/>
                <w:szCs w:val="12"/>
                <w:lang w:val="de-CH" w:eastAsia="de-CH"/>
              </w:rPr>
              <w:t> </w:t>
            </w:r>
          </w:p>
        </w:tc>
        <w:tc>
          <w:tcPr>
            <w:tcW w:w="256" w:type="dxa"/>
            <w:tcBorders>
              <w:top w:val="nil"/>
              <w:left w:val="nil"/>
              <w:bottom w:val="nil"/>
              <w:right w:val="nil"/>
            </w:tcBorders>
            <w:shd w:val="clear" w:color="000000" w:fill="FFFFFF"/>
            <w:noWrap/>
            <w:vAlign w:val="bottom"/>
            <w:hideMark/>
          </w:tcPr>
          <w:p w14:paraId="0E775D97"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FFFFF"/>
            <w:noWrap/>
            <w:vAlign w:val="bottom"/>
            <w:hideMark/>
          </w:tcPr>
          <w:p w14:paraId="144E1564"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FFFFF"/>
            <w:noWrap/>
            <w:vAlign w:val="bottom"/>
            <w:hideMark/>
          </w:tcPr>
          <w:p w14:paraId="12976543"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r>
      <w:tr w:rsidR="006C575E" w:rsidRPr="0029167E" w14:paraId="56A97A10" w14:textId="77777777" w:rsidTr="00CE132B">
        <w:trPr>
          <w:trHeight w:val="255"/>
        </w:trPr>
        <w:tc>
          <w:tcPr>
            <w:tcW w:w="2976" w:type="dxa"/>
            <w:tcBorders>
              <w:top w:val="nil"/>
              <w:left w:val="nil"/>
              <w:bottom w:val="nil"/>
              <w:right w:val="nil"/>
            </w:tcBorders>
            <w:shd w:val="clear" w:color="000000" w:fill="D9D9D9"/>
            <w:noWrap/>
            <w:vAlign w:val="bottom"/>
            <w:hideMark/>
          </w:tcPr>
          <w:p w14:paraId="5E19C80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Capital </w:t>
            </w:r>
            <w:proofErr w:type="spellStart"/>
            <w:r w:rsidRPr="0029167E">
              <w:rPr>
                <w:rFonts w:eastAsia="Times New Roman" w:cs="Arial"/>
                <w:color w:val="000000"/>
                <w:sz w:val="16"/>
                <w:szCs w:val="16"/>
                <w:lang w:val="de-CH" w:eastAsia="de-CH"/>
              </w:rPr>
              <w:t>cible</w:t>
            </w:r>
            <w:proofErr w:type="spellEnd"/>
            <w:r w:rsidRPr="0029167E">
              <w:rPr>
                <w:rFonts w:eastAsia="Times New Roman" w:cs="Arial"/>
                <w:color w:val="000000"/>
                <w:sz w:val="16"/>
                <w:szCs w:val="16"/>
                <w:lang w:val="de-CH" w:eastAsia="de-CH"/>
              </w:rPr>
              <w:t xml:space="preserve"> (CC)</w:t>
            </w:r>
          </w:p>
        </w:tc>
        <w:tc>
          <w:tcPr>
            <w:tcW w:w="216" w:type="dxa"/>
            <w:tcBorders>
              <w:top w:val="nil"/>
              <w:left w:val="nil"/>
              <w:bottom w:val="nil"/>
              <w:right w:val="nil"/>
            </w:tcBorders>
            <w:shd w:val="clear" w:color="000000" w:fill="FFFFFF"/>
            <w:noWrap/>
            <w:vAlign w:val="bottom"/>
            <w:hideMark/>
          </w:tcPr>
          <w:p w14:paraId="1E1A7DA5"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tcPr>
          <w:p w14:paraId="7952EE04" w14:textId="1D9F9786"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7D820FCD" w14:textId="451A50EE"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01A53186"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000000" w:fill="D9D9D9"/>
            <w:noWrap/>
            <w:vAlign w:val="bottom"/>
          </w:tcPr>
          <w:p w14:paraId="39699382" w14:textId="62AE2376"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224CB40D" w14:textId="13F96BED"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73A42326"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tcPr>
          <w:p w14:paraId="7AE54D21" w14:textId="19D21517"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nil"/>
              <w:right w:val="nil"/>
            </w:tcBorders>
            <w:shd w:val="clear" w:color="000000" w:fill="D9D9D9"/>
            <w:noWrap/>
            <w:vAlign w:val="bottom"/>
          </w:tcPr>
          <w:p w14:paraId="49CCF395" w14:textId="5B279D80"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6C575E" w:rsidRPr="0029167E" w14:paraId="51A23CC5" w14:textId="77777777" w:rsidTr="00CE132B">
        <w:trPr>
          <w:trHeight w:val="255"/>
        </w:trPr>
        <w:tc>
          <w:tcPr>
            <w:tcW w:w="2976" w:type="dxa"/>
            <w:tcBorders>
              <w:top w:val="nil"/>
              <w:left w:val="nil"/>
              <w:bottom w:val="nil"/>
              <w:right w:val="nil"/>
            </w:tcBorders>
            <w:shd w:val="clear" w:color="000000" w:fill="F2F2F2"/>
            <w:noWrap/>
            <w:vAlign w:val="bottom"/>
            <w:hideMark/>
          </w:tcPr>
          <w:p w14:paraId="3EBC96F9"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Risques</w:t>
            </w:r>
            <w:proofErr w:type="spellEnd"/>
            <w:r w:rsidRPr="0029167E">
              <w:rPr>
                <w:rFonts w:eastAsia="Times New Roman" w:cs="Arial"/>
                <w:color w:val="000000"/>
                <w:sz w:val="16"/>
                <w:szCs w:val="16"/>
                <w:lang w:val="de-CH" w:eastAsia="de-CH"/>
              </w:rPr>
              <w:t xml:space="preserve"> de </w:t>
            </w:r>
            <w:proofErr w:type="spellStart"/>
            <w:r w:rsidRPr="0029167E">
              <w:rPr>
                <w:rFonts w:eastAsia="Times New Roman" w:cs="Arial"/>
                <w:color w:val="000000"/>
                <w:sz w:val="16"/>
                <w:szCs w:val="16"/>
                <w:lang w:val="de-CH" w:eastAsia="de-CH"/>
              </w:rPr>
              <w:t>marché</w:t>
            </w:r>
            <w:proofErr w:type="spellEnd"/>
          </w:p>
        </w:tc>
        <w:tc>
          <w:tcPr>
            <w:tcW w:w="216" w:type="dxa"/>
            <w:tcBorders>
              <w:top w:val="nil"/>
              <w:left w:val="nil"/>
              <w:bottom w:val="nil"/>
              <w:right w:val="nil"/>
            </w:tcBorders>
            <w:shd w:val="clear" w:color="000000" w:fill="FFFFFF"/>
            <w:noWrap/>
            <w:vAlign w:val="bottom"/>
            <w:hideMark/>
          </w:tcPr>
          <w:p w14:paraId="63F89C28"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538B923B" w14:textId="14E39FA2"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2C75CA43" w14:textId="0E84BA16"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3DDD243D"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000000" w:fill="F2F2F2"/>
            <w:noWrap/>
            <w:vAlign w:val="bottom"/>
          </w:tcPr>
          <w:p w14:paraId="67C3FEF7" w14:textId="252AF27D"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65193C85" w14:textId="4D9340D4"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14339EA6"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1B5A021A" w14:textId="5F3B13B7"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nil"/>
              <w:right w:val="nil"/>
            </w:tcBorders>
            <w:shd w:val="clear" w:color="000000" w:fill="F2F2F2"/>
            <w:noWrap/>
            <w:vAlign w:val="bottom"/>
          </w:tcPr>
          <w:p w14:paraId="670F50F9" w14:textId="2B7FC1D0"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C8081C" w:rsidRPr="0029167E" w14:paraId="446A22B6" w14:textId="77777777" w:rsidTr="00CE132B">
        <w:trPr>
          <w:trHeight w:val="255"/>
        </w:trPr>
        <w:tc>
          <w:tcPr>
            <w:tcW w:w="2976" w:type="dxa"/>
            <w:tcBorders>
              <w:top w:val="nil"/>
              <w:left w:val="nil"/>
              <w:bottom w:val="nil"/>
              <w:right w:val="nil"/>
            </w:tcBorders>
            <w:shd w:val="clear" w:color="000000" w:fill="FFFFFF"/>
            <w:noWrap/>
            <w:vAlign w:val="bottom"/>
            <w:hideMark/>
          </w:tcPr>
          <w:p w14:paraId="58022303"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Risques</w:t>
            </w:r>
            <w:proofErr w:type="spellEnd"/>
            <w:r w:rsidRPr="0029167E">
              <w:rPr>
                <w:rFonts w:eastAsia="Times New Roman" w:cs="Arial"/>
                <w:color w:val="000000"/>
                <w:sz w:val="16"/>
                <w:szCs w:val="16"/>
                <w:lang w:val="de-CH" w:eastAsia="de-CH"/>
              </w:rPr>
              <w:t xml:space="preserve"> de </w:t>
            </w:r>
            <w:proofErr w:type="spellStart"/>
            <w:r w:rsidRPr="0029167E">
              <w:rPr>
                <w:rFonts w:eastAsia="Times New Roman" w:cs="Arial"/>
                <w:color w:val="000000"/>
                <w:sz w:val="16"/>
                <w:szCs w:val="16"/>
                <w:lang w:val="de-CH" w:eastAsia="de-CH"/>
              </w:rPr>
              <w:t>crédit</w:t>
            </w:r>
            <w:proofErr w:type="spellEnd"/>
          </w:p>
        </w:tc>
        <w:tc>
          <w:tcPr>
            <w:tcW w:w="216" w:type="dxa"/>
            <w:tcBorders>
              <w:top w:val="nil"/>
              <w:left w:val="nil"/>
              <w:bottom w:val="nil"/>
              <w:right w:val="nil"/>
            </w:tcBorders>
            <w:shd w:val="clear" w:color="000000" w:fill="FFFFFF"/>
            <w:noWrap/>
            <w:vAlign w:val="bottom"/>
            <w:hideMark/>
          </w:tcPr>
          <w:p w14:paraId="650614F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355E15C7" w14:textId="096B896E"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75763DEB" w14:textId="7B6FC1D2"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54325D47"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auto" w:fill="auto"/>
            <w:noWrap/>
            <w:vAlign w:val="bottom"/>
          </w:tcPr>
          <w:p w14:paraId="2B313ED7" w14:textId="137A952E"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B4493FA" w14:textId="7BA56758"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30ED9771"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25D797AE" w14:textId="0398882E"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nil"/>
              <w:right w:val="nil"/>
            </w:tcBorders>
            <w:shd w:val="clear" w:color="auto" w:fill="auto"/>
            <w:noWrap/>
            <w:vAlign w:val="bottom"/>
          </w:tcPr>
          <w:p w14:paraId="5AE2A894" w14:textId="7870346F"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6C575E" w:rsidRPr="0029167E" w14:paraId="33A405D6" w14:textId="77777777" w:rsidTr="00CE132B">
        <w:trPr>
          <w:trHeight w:val="255"/>
        </w:trPr>
        <w:tc>
          <w:tcPr>
            <w:tcW w:w="2976" w:type="dxa"/>
            <w:tcBorders>
              <w:top w:val="nil"/>
              <w:left w:val="nil"/>
              <w:bottom w:val="nil"/>
              <w:right w:val="nil"/>
            </w:tcBorders>
            <w:shd w:val="clear" w:color="000000" w:fill="F2F2F2"/>
            <w:noWrap/>
            <w:vAlign w:val="bottom"/>
            <w:hideMark/>
          </w:tcPr>
          <w:p w14:paraId="36C27E01"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Risques</w:t>
            </w:r>
            <w:proofErr w:type="spellEnd"/>
            <w:r w:rsidRPr="0029167E">
              <w:rPr>
                <w:rFonts w:eastAsia="Times New Roman" w:cs="Arial"/>
                <w:color w:val="000000"/>
                <w:sz w:val="16"/>
                <w:szCs w:val="16"/>
                <w:lang w:val="de-CH" w:eastAsia="de-CH"/>
              </w:rPr>
              <w:t xml:space="preserve"> </w:t>
            </w:r>
            <w:proofErr w:type="spellStart"/>
            <w:r w:rsidRPr="0029167E">
              <w:rPr>
                <w:rFonts w:eastAsia="Times New Roman" w:cs="Arial"/>
                <w:color w:val="000000"/>
                <w:sz w:val="16"/>
                <w:szCs w:val="16"/>
                <w:lang w:val="de-CH" w:eastAsia="de-CH"/>
              </w:rPr>
              <w:t>d’assurance</w:t>
            </w:r>
            <w:proofErr w:type="spellEnd"/>
          </w:p>
        </w:tc>
        <w:tc>
          <w:tcPr>
            <w:tcW w:w="216" w:type="dxa"/>
            <w:tcBorders>
              <w:top w:val="nil"/>
              <w:left w:val="nil"/>
              <w:bottom w:val="nil"/>
              <w:right w:val="nil"/>
            </w:tcBorders>
            <w:shd w:val="clear" w:color="000000" w:fill="FFFFFF"/>
            <w:noWrap/>
            <w:vAlign w:val="bottom"/>
            <w:hideMark/>
          </w:tcPr>
          <w:p w14:paraId="5E68B6B1"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72358555" w14:textId="4D6A1A26"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0A48F057" w14:textId="7D84096A"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2B38E0CB"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000000" w:fill="F2F2F2"/>
            <w:noWrap/>
            <w:vAlign w:val="bottom"/>
          </w:tcPr>
          <w:p w14:paraId="4014A583" w14:textId="517DA70A"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731E5D4A" w14:textId="60B9C313"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6EEDE3C1"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37475754" w14:textId="3FB0D156"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nil"/>
              <w:right w:val="nil"/>
            </w:tcBorders>
            <w:shd w:val="clear" w:color="000000" w:fill="F2F2F2"/>
            <w:noWrap/>
            <w:vAlign w:val="bottom"/>
          </w:tcPr>
          <w:p w14:paraId="46EE00DD" w14:textId="0DACF7F3"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C8081C" w:rsidRPr="0029167E" w14:paraId="0AB8F10A" w14:textId="77777777" w:rsidTr="00CE132B">
        <w:trPr>
          <w:trHeight w:val="255"/>
        </w:trPr>
        <w:tc>
          <w:tcPr>
            <w:tcW w:w="2976" w:type="dxa"/>
            <w:tcBorders>
              <w:top w:val="nil"/>
              <w:left w:val="nil"/>
              <w:bottom w:val="nil"/>
              <w:right w:val="nil"/>
            </w:tcBorders>
            <w:shd w:val="clear" w:color="000000" w:fill="FFFFFF"/>
            <w:noWrap/>
            <w:vAlign w:val="bottom"/>
            <w:hideMark/>
          </w:tcPr>
          <w:p w14:paraId="3680BDA2"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Effet de </w:t>
            </w:r>
            <w:proofErr w:type="spellStart"/>
            <w:r w:rsidRPr="0029167E">
              <w:rPr>
                <w:rFonts w:eastAsia="Times New Roman" w:cs="Arial"/>
                <w:color w:val="000000"/>
                <w:sz w:val="16"/>
                <w:szCs w:val="16"/>
                <w:lang w:val="de-CH" w:eastAsia="de-CH"/>
              </w:rPr>
              <w:t>diversification</w:t>
            </w:r>
            <w:proofErr w:type="spellEnd"/>
          </w:p>
        </w:tc>
        <w:tc>
          <w:tcPr>
            <w:tcW w:w="216" w:type="dxa"/>
            <w:tcBorders>
              <w:top w:val="nil"/>
              <w:left w:val="nil"/>
              <w:bottom w:val="nil"/>
              <w:right w:val="nil"/>
            </w:tcBorders>
            <w:shd w:val="clear" w:color="000000" w:fill="FFFFFF"/>
            <w:noWrap/>
            <w:vAlign w:val="bottom"/>
            <w:hideMark/>
          </w:tcPr>
          <w:p w14:paraId="03F7AFFF"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50276955" w14:textId="3485FA4E"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300B55A" w14:textId="7A79FA58"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1D39FE83"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nil"/>
              <w:right w:val="nil"/>
            </w:tcBorders>
            <w:shd w:val="clear" w:color="auto" w:fill="auto"/>
            <w:noWrap/>
            <w:vAlign w:val="bottom"/>
          </w:tcPr>
          <w:p w14:paraId="54E59FA3" w14:textId="6864B44D"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082A04F6" w14:textId="5C7DFD21"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4F0D158D"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4400A74D" w14:textId="3F79463C"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nil"/>
              <w:right w:val="nil"/>
            </w:tcBorders>
            <w:shd w:val="clear" w:color="auto" w:fill="auto"/>
            <w:noWrap/>
            <w:vAlign w:val="bottom"/>
          </w:tcPr>
          <w:p w14:paraId="681F1015" w14:textId="7D5BA296"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CE132B" w:rsidRPr="0029167E" w14:paraId="642A6BA0" w14:textId="77777777" w:rsidTr="00CE132B">
        <w:trPr>
          <w:trHeight w:val="255"/>
        </w:trPr>
        <w:tc>
          <w:tcPr>
            <w:tcW w:w="2976" w:type="dxa"/>
            <w:tcBorders>
              <w:top w:val="nil"/>
              <w:left w:val="nil"/>
              <w:bottom w:val="nil"/>
              <w:right w:val="nil"/>
            </w:tcBorders>
            <w:shd w:val="clear" w:color="000000" w:fill="F2F2F2"/>
            <w:noWrap/>
            <w:vAlign w:val="bottom"/>
            <w:hideMark/>
          </w:tcPr>
          <w:p w14:paraId="77F605CD" w14:textId="77777777" w:rsidR="00CE132B" w:rsidRPr="0029167E" w:rsidRDefault="00CE132B" w:rsidP="00CE132B">
            <w:pPr>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Négatif du </w:t>
            </w:r>
          </w:p>
          <w:p w14:paraId="7403C653" w14:textId="344993F1"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w:t>
            </w:r>
            <w:proofErr w:type="gramStart"/>
            <w:r w:rsidRPr="0029167E">
              <w:rPr>
                <w:rFonts w:eastAsia="Times New Roman" w:cs="Arial"/>
                <w:color w:val="000000"/>
                <w:sz w:val="16"/>
                <w:szCs w:val="16"/>
                <w:lang w:val="fr-CH" w:eastAsia="de-CH"/>
              </w:rPr>
              <w:t>résultat</w:t>
            </w:r>
            <w:proofErr w:type="gramEnd"/>
            <w:r w:rsidRPr="0029167E">
              <w:rPr>
                <w:rFonts w:eastAsia="Times New Roman" w:cs="Arial"/>
                <w:color w:val="000000"/>
                <w:sz w:val="16"/>
                <w:szCs w:val="16"/>
                <w:lang w:val="fr-CH" w:eastAsia="de-CH"/>
              </w:rPr>
              <w:t xml:space="preserve"> financier attendu </w:t>
            </w:r>
          </w:p>
        </w:tc>
        <w:tc>
          <w:tcPr>
            <w:tcW w:w="216" w:type="dxa"/>
            <w:tcBorders>
              <w:top w:val="nil"/>
              <w:left w:val="nil"/>
              <w:bottom w:val="nil"/>
              <w:right w:val="nil"/>
            </w:tcBorders>
            <w:shd w:val="clear" w:color="000000" w:fill="FFFFFF"/>
            <w:noWrap/>
            <w:vAlign w:val="bottom"/>
            <w:hideMark/>
          </w:tcPr>
          <w:p w14:paraId="4FDC591C"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16" w:type="dxa"/>
            <w:tcBorders>
              <w:top w:val="nil"/>
              <w:left w:val="nil"/>
              <w:bottom w:val="nil"/>
              <w:right w:val="nil"/>
            </w:tcBorders>
            <w:shd w:val="clear" w:color="000000" w:fill="F2F2F2"/>
            <w:noWrap/>
            <w:vAlign w:val="bottom"/>
          </w:tcPr>
          <w:p w14:paraId="535363DB" w14:textId="429F0EA5"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576" w:type="dxa"/>
            <w:tcBorders>
              <w:top w:val="nil"/>
              <w:left w:val="nil"/>
              <w:bottom w:val="nil"/>
              <w:right w:val="nil"/>
            </w:tcBorders>
            <w:shd w:val="clear" w:color="000000" w:fill="FFFFFF"/>
            <w:noWrap/>
            <w:vAlign w:val="bottom"/>
          </w:tcPr>
          <w:p w14:paraId="412ABCD9" w14:textId="12E05163" w:rsidR="00CE132B" w:rsidRPr="0029167E" w:rsidRDefault="00CE132B" w:rsidP="00CE132B">
            <w:pPr>
              <w:keepNext/>
              <w:spacing w:line="240" w:lineRule="auto"/>
              <w:jc w:val="right"/>
              <w:rPr>
                <w:rFonts w:eastAsia="Times New Roman" w:cs="Arial"/>
                <w:color w:val="000000"/>
                <w:sz w:val="12"/>
                <w:szCs w:val="12"/>
                <w:lang w:val="fr-CH" w:eastAsia="de-CH"/>
              </w:rPr>
            </w:pPr>
          </w:p>
        </w:tc>
        <w:tc>
          <w:tcPr>
            <w:tcW w:w="185" w:type="dxa"/>
            <w:tcBorders>
              <w:top w:val="nil"/>
              <w:left w:val="nil"/>
              <w:bottom w:val="nil"/>
              <w:right w:val="nil"/>
            </w:tcBorders>
            <w:shd w:val="clear" w:color="000000" w:fill="FFFFFF"/>
            <w:noWrap/>
            <w:vAlign w:val="bottom"/>
            <w:hideMark/>
          </w:tcPr>
          <w:p w14:paraId="1F9BA714"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556" w:type="dxa"/>
            <w:tcBorders>
              <w:top w:val="nil"/>
              <w:left w:val="nil"/>
              <w:bottom w:val="nil"/>
              <w:right w:val="nil"/>
            </w:tcBorders>
            <w:shd w:val="clear" w:color="000000" w:fill="F2F2F2"/>
            <w:noWrap/>
            <w:vAlign w:val="bottom"/>
          </w:tcPr>
          <w:p w14:paraId="3165605D" w14:textId="30A62618"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576" w:type="dxa"/>
            <w:tcBorders>
              <w:top w:val="nil"/>
              <w:left w:val="nil"/>
              <w:bottom w:val="nil"/>
              <w:right w:val="nil"/>
            </w:tcBorders>
            <w:shd w:val="clear" w:color="000000" w:fill="FFFFFF"/>
            <w:noWrap/>
            <w:vAlign w:val="bottom"/>
          </w:tcPr>
          <w:p w14:paraId="192EAF2C" w14:textId="7A65DB97" w:rsidR="00CE132B" w:rsidRPr="0029167E" w:rsidRDefault="00CE132B" w:rsidP="00CE132B">
            <w:pPr>
              <w:keepNext/>
              <w:spacing w:line="240" w:lineRule="auto"/>
              <w:jc w:val="right"/>
              <w:rPr>
                <w:rFonts w:eastAsia="Times New Roman" w:cs="Arial"/>
                <w:color w:val="000000"/>
                <w:sz w:val="12"/>
                <w:szCs w:val="12"/>
                <w:lang w:val="fr-CH" w:eastAsia="de-CH"/>
              </w:rPr>
            </w:pPr>
          </w:p>
        </w:tc>
        <w:tc>
          <w:tcPr>
            <w:tcW w:w="256" w:type="dxa"/>
            <w:tcBorders>
              <w:top w:val="nil"/>
              <w:left w:val="nil"/>
              <w:bottom w:val="nil"/>
              <w:right w:val="nil"/>
            </w:tcBorders>
            <w:shd w:val="clear" w:color="000000" w:fill="FFFFFF"/>
            <w:noWrap/>
            <w:vAlign w:val="bottom"/>
            <w:hideMark/>
          </w:tcPr>
          <w:p w14:paraId="2F02E73A"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16" w:type="dxa"/>
            <w:tcBorders>
              <w:top w:val="nil"/>
              <w:left w:val="nil"/>
              <w:bottom w:val="nil"/>
              <w:right w:val="nil"/>
            </w:tcBorders>
            <w:shd w:val="clear" w:color="000000" w:fill="F2F2F2"/>
            <w:noWrap/>
            <w:vAlign w:val="bottom"/>
          </w:tcPr>
          <w:p w14:paraId="1D6D7769" w14:textId="475D617A"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916" w:type="dxa"/>
            <w:tcBorders>
              <w:top w:val="nil"/>
              <w:left w:val="nil"/>
              <w:bottom w:val="nil"/>
              <w:right w:val="nil"/>
            </w:tcBorders>
            <w:shd w:val="clear" w:color="000000" w:fill="F2F2F2"/>
            <w:noWrap/>
            <w:vAlign w:val="bottom"/>
          </w:tcPr>
          <w:p w14:paraId="0B8ABABC" w14:textId="2A883B73" w:rsidR="00CE132B" w:rsidRPr="0029167E" w:rsidRDefault="00CE132B" w:rsidP="00CE132B">
            <w:pPr>
              <w:keepNext/>
              <w:spacing w:line="240" w:lineRule="auto"/>
              <w:jc w:val="right"/>
              <w:rPr>
                <w:rFonts w:eastAsia="Times New Roman" w:cs="Arial"/>
                <w:color w:val="000000"/>
                <w:sz w:val="16"/>
                <w:szCs w:val="16"/>
                <w:lang w:val="fr-CH" w:eastAsia="de-CH"/>
              </w:rPr>
            </w:pPr>
          </w:p>
        </w:tc>
      </w:tr>
      <w:tr w:rsidR="00CE132B" w:rsidRPr="0029167E" w14:paraId="34BDAAFA" w14:textId="77777777" w:rsidTr="00CE132B">
        <w:trPr>
          <w:trHeight w:val="255"/>
        </w:trPr>
        <w:tc>
          <w:tcPr>
            <w:tcW w:w="2976" w:type="dxa"/>
            <w:tcBorders>
              <w:top w:val="nil"/>
              <w:left w:val="nil"/>
              <w:bottom w:val="nil"/>
              <w:right w:val="nil"/>
            </w:tcBorders>
            <w:shd w:val="clear" w:color="auto" w:fill="auto"/>
            <w:noWrap/>
            <w:vAlign w:val="bottom"/>
            <w:hideMark/>
          </w:tcPr>
          <w:p w14:paraId="4A6FD535" w14:textId="4AF809BA"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xml:space="preserve"> Négatif du</w:t>
            </w:r>
            <w:r w:rsidRPr="0029167E">
              <w:rPr>
                <w:rFonts w:eastAsia="Times New Roman" w:cs="Arial"/>
                <w:color w:val="000000"/>
                <w:sz w:val="16"/>
                <w:szCs w:val="16"/>
                <w:lang w:val="fr-CH" w:eastAsia="de-CH"/>
              </w:rPr>
              <w:br/>
              <w:t xml:space="preserve">  résultat d’assurance attendu</w:t>
            </w:r>
          </w:p>
        </w:tc>
        <w:tc>
          <w:tcPr>
            <w:tcW w:w="216" w:type="dxa"/>
            <w:tcBorders>
              <w:top w:val="nil"/>
              <w:left w:val="nil"/>
              <w:bottom w:val="nil"/>
              <w:right w:val="nil"/>
            </w:tcBorders>
            <w:shd w:val="clear" w:color="000000" w:fill="FFFFFF"/>
            <w:noWrap/>
            <w:vAlign w:val="bottom"/>
            <w:hideMark/>
          </w:tcPr>
          <w:p w14:paraId="3F53244D"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16" w:type="dxa"/>
            <w:tcBorders>
              <w:top w:val="nil"/>
              <w:left w:val="nil"/>
              <w:bottom w:val="nil"/>
              <w:right w:val="nil"/>
            </w:tcBorders>
            <w:shd w:val="clear" w:color="auto" w:fill="auto"/>
            <w:noWrap/>
            <w:vAlign w:val="bottom"/>
          </w:tcPr>
          <w:p w14:paraId="73A473D6" w14:textId="36BC1348"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576" w:type="dxa"/>
            <w:tcBorders>
              <w:top w:val="nil"/>
              <w:left w:val="nil"/>
              <w:bottom w:val="nil"/>
              <w:right w:val="nil"/>
            </w:tcBorders>
            <w:shd w:val="clear" w:color="000000" w:fill="FFFFFF"/>
            <w:noWrap/>
            <w:vAlign w:val="bottom"/>
          </w:tcPr>
          <w:p w14:paraId="06FCDF18" w14:textId="6B0194F3" w:rsidR="00CE132B" w:rsidRPr="0029167E" w:rsidRDefault="00CE132B" w:rsidP="00CE132B">
            <w:pPr>
              <w:keepNext/>
              <w:spacing w:line="240" w:lineRule="auto"/>
              <w:jc w:val="right"/>
              <w:rPr>
                <w:rFonts w:eastAsia="Times New Roman" w:cs="Arial"/>
                <w:color w:val="000000"/>
                <w:sz w:val="12"/>
                <w:szCs w:val="12"/>
                <w:lang w:val="fr-CH" w:eastAsia="de-CH"/>
              </w:rPr>
            </w:pPr>
          </w:p>
        </w:tc>
        <w:tc>
          <w:tcPr>
            <w:tcW w:w="185" w:type="dxa"/>
            <w:tcBorders>
              <w:top w:val="nil"/>
              <w:left w:val="nil"/>
              <w:bottom w:val="nil"/>
              <w:right w:val="nil"/>
            </w:tcBorders>
            <w:shd w:val="clear" w:color="000000" w:fill="FFFFFF"/>
            <w:noWrap/>
            <w:vAlign w:val="bottom"/>
            <w:hideMark/>
          </w:tcPr>
          <w:p w14:paraId="2E07430F"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556" w:type="dxa"/>
            <w:tcBorders>
              <w:top w:val="nil"/>
              <w:left w:val="nil"/>
              <w:bottom w:val="nil"/>
              <w:right w:val="nil"/>
            </w:tcBorders>
            <w:shd w:val="clear" w:color="auto" w:fill="auto"/>
            <w:noWrap/>
            <w:vAlign w:val="bottom"/>
          </w:tcPr>
          <w:p w14:paraId="67A457C9" w14:textId="156D17F0"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576" w:type="dxa"/>
            <w:tcBorders>
              <w:top w:val="nil"/>
              <w:left w:val="nil"/>
              <w:bottom w:val="nil"/>
              <w:right w:val="nil"/>
            </w:tcBorders>
            <w:shd w:val="clear" w:color="000000" w:fill="FFFFFF"/>
            <w:noWrap/>
            <w:vAlign w:val="bottom"/>
          </w:tcPr>
          <w:p w14:paraId="26C8A2D9" w14:textId="71103278" w:rsidR="00CE132B" w:rsidRPr="0029167E" w:rsidRDefault="00CE132B" w:rsidP="00CE132B">
            <w:pPr>
              <w:keepNext/>
              <w:spacing w:line="240" w:lineRule="auto"/>
              <w:jc w:val="right"/>
              <w:rPr>
                <w:rFonts w:eastAsia="Times New Roman" w:cs="Arial"/>
                <w:color w:val="000000"/>
                <w:sz w:val="12"/>
                <w:szCs w:val="12"/>
                <w:lang w:val="fr-CH" w:eastAsia="de-CH"/>
              </w:rPr>
            </w:pPr>
          </w:p>
        </w:tc>
        <w:tc>
          <w:tcPr>
            <w:tcW w:w="256" w:type="dxa"/>
            <w:tcBorders>
              <w:top w:val="nil"/>
              <w:left w:val="nil"/>
              <w:bottom w:val="nil"/>
              <w:right w:val="nil"/>
            </w:tcBorders>
            <w:shd w:val="clear" w:color="000000" w:fill="FFFFFF"/>
            <w:noWrap/>
            <w:vAlign w:val="bottom"/>
            <w:hideMark/>
          </w:tcPr>
          <w:p w14:paraId="7A1C16BA" w14:textId="77777777" w:rsidR="00CE132B" w:rsidRPr="0029167E" w:rsidRDefault="00CE132B" w:rsidP="00CE132B">
            <w:pPr>
              <w:keepNext/>
              <w:spacing w:line="240" w:lineRule="auto"/>
              <w:rPr>
                <w:rFonts w:eastAsia="Times New Roman" w:cs="Arial"/>
                <w:color w:val="000000"/>
                <w:sz w:val="16"/>
                <w:szCs w:val="16"/>
                <w:lang w:val="fr-CH" w:eastAsia="de-CH"/>
              </w:rPr>
            </w:pPr>
            <w:r w:rsidRPr="0029167E">
              <w:rPr>
                <w:rFonts w:eastAsia="Times New Roman" w:cs="Arial"/>
                <w:color w:val="000000"/>
                <w:sz w:val="16"/>
                <w:szCs w:val="16"/>
                <w:lang w:val="fr-CH" w:eastAsia="de-CH"/>
              </w:rPr>
              <w:t> </w:t>
            </w:r>
          </w:p>
        </w:tc>
        <w:tc>
          <w:tcPr>
            <w:tcW w:w="916" w:type="dxa"/>
            <w:tcBorders>
              <w:top w:val="nil"/>
              <w:left w:val="nil"/>
              <w:bottom w:val="nil"/>
              <w:right w:val="nil"/>
            </w:tcBorders>
            <w:shd w:val="clear" w:color="auto" w:fill="auto"/>
            <w:noWrap/>
            <w:vAlign w:val="bottom"/>
          </w:tcPr>
          <w:p w14:paraId="22A0CABE" w14:textId="6A0C5435" w:rsidR="00CE132B" w:rsidRPr="0029167E" w:rsidRDefault="00CE132B" w:rsidP="00CE132B">
            <w:pPr>
              <w:keepNext/>
              <w:spacing w:line="240" w:lineRule="auto"/>
              <w:jc w:val="right"/>
              <w:rPr>
                <w:rFonts w:eastAsia="Times New Roman" w:cs="Arial"/>
                <w:color w:val="000000"/>
                <w:sz w:val="16"/>
                <w:szCs w:val="16"/>
                <w:lang w:val="fr-CH" w:eastAsia="de-CH"/>
              </w:rPr>
            </w:pPr>
          </w:p>
        </w:tc>
        <w:tc>
          <w:tcPr>
            <w:tcW w:w="916" w:type="dxa"/>
            <w:tcBorders>
              <w:top w:val="nil"/>
              <w:left w:val="nil"/>
              <w:bottom w:val="nil"/>
              <w:right w:val="nil"/>
            </w:tcBorders>
            <w:shd w:val="clear" w:color="auto" w:fill="auto"/>
            <w:noWrap/>
            <w:vAlign w:val="bottom"/>
          </w:tcPr>
          <w:p w14:paraId="0D8EA787" w14:textId="64714FB9" w:rsidR="00CE132B" w:rsidRPr="0029167E" w:rsidRDefault="00CE132B" w:rsidP="00CE132B">
            <w:pPr>
              <w:keepNext/>
              <w:spacing w:line="240" w:lineRule="auto"/>
              <w:jc w:val="right"/>
              <w:rPr>
                <w:rFonts w:eastAsia="Times New Roman" w:cs="Arial"/>
                <w:color w:val="000000"/>
                <w:sz w:val="16"/>
                <w:szCs w:val="16"/>
                <w:lang w:val="fr-CH" w:eastAsia="de-CH"/>
              </w:rPr>
            </w:pPr>
          </w:p>
        </w:tc>
      </w:tr>
      <w:tr w:rsidR="006C575E" w:rsidRPr="0029167E" w14:paraId="12F1E414" w14:textId="77777777" w:rsidTr="00DF507F">
        <w:trPr>
          <w:trHeight w:val="255"/>
        </w:trPr>
        <w:tc>
          <w:tcPr>
            <w:tcW w:w="2976" w:type="dxa"/>
            <w:tcBorders>
              <w:top w:val="nil"/>
              <w:left w:val="nil"/>
              <w:right w:val="nil"/>
            </w:tcBorders>
            <w:shd w:val="clear" w:color="000000" w:fill="F2F2F2"/>
            <w:noWrap/>
            <w:vAlign w:val="bottom"/>
            <w:hideMark/>
          </w:tcPr>
          <w:p w14:paraId="6B5516DA"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fr-CH" w:eastAsia="de-CH"/>
              </w:rPr>
              <w:t xml:space="preserve"> </w:t>
            </w:r>
            <w:r w:rsidRPr="0029167E">
              <w:rPr>
                <w:rFonts w:eastAsia="Times New Roman" w:cs="Arial"/>
                <w:color w:val="000000"/>
                <w:sz w:val="16"/>
                <w:szCs w:val="16"/>
                <w:lang w:val="de-CH" w:eastAsia="de-CH"/>
              </w:rPr>
              <w:t xml:space="preserve">Effet des </w:t>
            </w:r>
            <w:proofErr w:type="spellStart"/>
            <w:r w:rsidRPr="0029167E">
              <w:rPr>
                <w:rFonts w:eastAsia="Times New Roman" w:cs="Arial"/>
                <w:color w:val="000000"/>
                <w:sz w:val="16"/>
                <w:szCs w:val="16"/>
                <w:lang w:val="de-CH" w:eastAsia="de-CH"/>
              </w:rPr>
              <w:t>scénarios</w:t>
            </w:r>
            <w:proofErr w:type="spellEnd"/>
          </w:p>
        </w:tc>
        <w:tc>
          <w:tcPr>
            <w:tcW w:w="216" w:type="dxa"/>
            <w:tcBorders>
              <w:top w:val="nil"/>
              <w:left w:val="nil"/>
              <w:right w:val="nil"/>
            </w:tcBorders>
            <w:shd w:val="clear" w:color="000000" w:fill="FFFFFF"/>
            <w:noWrap/>
            <w:vAlign w:val="bottom"/>
            <w:hideMark/>
          </w:tcPr>
          <w:p w14:paraId="3A5AA7D3"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right w:val="nil"/>
            </w:tcBorders>
            <w:shd w:val="clear" w:color="000000" w:fill="F2F2F2"/>
            <w:noWrap/>
            <w:vAlign w:val="bottom"/>
          </w:tcPr>
          <w:p w14:paraId="42E52298" w14:textId="74D2B422"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right w:val="nil"/>
            </w:tcBorders>
            <w:shd w:val="clear" w:color="000000" w:fill="FFFFFF"/>
            <w:noWrap/>
            <w:vAlign w:val="bottom"/>
          </w:tcPr>
          <w:p w14:paraId="6B6CEBFF" w14:textId="683C854C"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185" w:type="dxa"/>
            <w:tcBorders>
              <w:top w:val="nil"/>
              <w:left w:val="nil"/>
              <w:right w:val="nil"/>
            </w:tcBorders>
            <w:shd w:val="clear" w:color="000000" w:fill="FFFFFF"/>
            <w:noWrap/>
            <w:vAlign w:val="bottom"/>
            <w:hideMark/>
          </w:tcPr>
          <w:p w14:paraId="4CA67A1D"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right w:val="nil"/>
            </w:tcBorders>
            <w:shd w:val="clear" w:color="000000" w:fill="F2F2F2"/>
            <w:noWrap/>
            <w:vAlign w:val="bottom"/>
          </w:tcPr>
          <w:p w14:paraId="29A79AB4" w14:textId="3BC61004"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right w:val="nil"/>
            </w:tcBorders>
            <w:shd w:val="clear" w:color="000000" w:fill="FFFFFF"/>
            <w:noWrap/>
            <w:vAlign w:val="bottom"/>
          </w:tcPr>
          <w:p w14:paraId="1DE6C203" w14:textId="153C0CDC" w:rsidR="00C8081C" w:rsidRPr="0029167E" w:rsidRDefault="00C8081C" w:rsidP="00750B6C">
            <w:pPr>
              <w:keepNext/>
              <w:spacing w:line="240" w:lineRule="auto"/>
              <w:jc w:val="right"/>
              <w:rPr>
                <w:rFonts w:eastAsia="Times New Roman" w:cs="Arial"/>
                <w:color w:val="000000"/>
                <w:sz w:val="12"/>
                <w:szCs w:val="12"/>
                <w:lang w:val="de-CH" w:eastAsia="de-CH"/>
              </w:rPr>
            </w:pPr>
          </w:p>
        </w:tc>
        <w:tc>
          <w:tcPr>
            <w:tcW w:w="256" w:type="dxa"/>
            <w:tcBorders>
              <w:top w:val="nil"/>
              <w:left w:val="nil"/>
              <w:right w:val="nil"/>
            </w:tcBorders>
            <w:shd w:val="clear" w:color="000000" w:fill="FFFFFF"/>
            <w:noWrap/>
            <w:vAlign w:val="bottom"/>
            <w:hideMark/>
          </w:tcPr>
          <w:p w14:paraId="38AD9FAB"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right w:val="nil"/>
            </w:tcBorders>
            <w:shd w:val="clear" w:color="000000" w:fill="F2F2F2"/>
            <w:noWrap/>
            <w:vAlign w:val="bottom"/>
          </w:tcPr>
          <w:p w14:paraId="77D32DE5" w14:textId="121E95A2"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right w:val="nil"/>
            </w:tcBorders>
            <w:shd w:val="clear" w:color="000000" w:fill="F2F2F2"/>
            <w:noWrap/>
            <w:vAlign w:val="bottom"/>
          </w:tcPr>
          <w:p w14:paraId="7B94B508" w14:textId="76075396" w:rsidR="00C8081C" w:rsidRPr="0029167E" w:rsidRDefault="00C8081C" w:rsidP="00750B6C">
            <w:pPr>
              <w:keepNext/>
              <w:spacing w:line="240" w:lineRule="auto"/>
              <w:jc w:val="right"/>
              <w:rPr>
                <w:rFonts w:eastAsia="Times New Roman" w:cs="Arial"/>
                <w:color w:val="000000"/>
                <w:sz w:val="16"/>
                <w:szCs w:val="16"/>
                <w:lang w:val="de-CH" w:eastAsia="de-CH"/>
              </w:rPr>
            </w:pPr>
          </w:p>
        </w:tc>
      </w:tr>
      <w:tr w:rsidR="00C8081C" w:rsidRPr="0029167E" w14:paraId="71ECCED1" w14:textId="77777777" w:rsidTr="00DF507F">
        <w:trPr>
          <w:trHeight w:val="255"/>
        </w:trPr>
        <w:tc>
          <w:tcPr>
            <w:tcW w:w="2976" w:type="dxa"/>
            <w:tcBorders>
              <w:top w:val="nil"/>
              <w:left w:val="nil"/>
              <w:bottom w:val="single" w:sz="4" w:space="0" w:color="auto"/>
              <w:right w:val="nil"/>
            </w:tcBorders>
            <w:shd w:val="clear" w:color="auto" w:fill="auto"/>
            <w:noWrap/>
            <w:vAlign w:val="bottom"/>
            <w:hideMark/>
          </w:tcPr>
          <w:p w14:paraId="64C78398"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xml:space="preserve"> Effets </w:t>
            </w:r>
            <w:proofErr w:type="spellStart"/>
            <w:r w:rsidRPr="0029167E">
              <w:rPr>
                <w:rFonts w:eastAsia="Times New Roman" w:cs="Arial"/>
                <w:color w:val="000000"/>
                <w:sz w:val="16"/>
                <w:szCs w:val="16"/>
                <w:lang w:val="de-CH" w:eastAsia="de-CH"/>
              </w:rPr>
              <w:t>supplémentaires</w:t>
            </w:r>
            <w:proofErr w:type="spellEnd"/>
          </w:p>
        </w:tc>
        <w:tc>
          <w:tcPr>
            <w:tcW w:w="216" w:type="dxa"/>
            <w:tcBorders>
              <w:top w:val="nil"/>
              <w:left w:val="nil"/>
              <w:bottom w:val="single" w:sz="4" w:space="0" w:color="auto"/>
              <w:right w:val="nil"/>
            </w:tcBorders>
            <w:shd w:val="clear" w:color="000000" w:fill="FFFFFF"/>
            <w:noWrap/>
            <w:vAlign w:val="bottom"/>
            <w:hideMark/>
          </w:tcPr>
          <w:p w14:paraId="55103E20"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single" w:sz="4" w:space="0" w:color="auto"/>
              <w:right w:val="nil"/>
            </w:tcBorders>
            <w:shd w:val="clear" w:color="auto" w:fill="auto"/>
            <w:noWrap/>
            <w:vAlign w:val="bottom"/>
          </w:tcPr>
          <w:p w14:paraId="6B2C3EA5" w14:textId="35785B3F"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single" w:sz="4" w:space="0" w:color="auto"/>
              <w:right w:val="nil"/>
            </w:tcBorders>
            <w:shd w:val="clear" w:color="000000" w:fill="FFFFFF"/>
            <w:noWrap/>
            <w:vAlign w:val="bottom"/>
          </w:tcPr>
          <w:p w14:paraId="1B6C24CC" w14:textId="52558266" w:rsidR="00C8081C" w:rsidRPr="0029167E" w:rsidRDefault="00C8081C" w:rsidP="00750B6C">
            <w:pPr>
              <w:keepNext/>
              <w:spacing w:line="240" w:lineRule="auto"/>
              <w:rPr>
                <w:rFonts w:eastAsia="Times New Roman" w:cs="Arial"/>
                <w:color w:val="000000"/>
                <w:sz w:val="12"/>
                <w:szCs w:val="12"/>
                <w:lang w:val="de-CH" w:eastAsia="de-CH"/>
              </w:rPr>
            </w:pPr>
          </w:p>
        </w:tc>
        <w:tc>
          <w:tcPr>
            <w:tcW w:w="185" w:type="dxa"/>
            <w:tcBorders>
              <w:top w:val="nil"/>
              <w:left w:val="nil"/>
              <w:bottom w:val="single" w:sz="4" w:space="0" w:color="auto"/>
              <w:right w:val="nil"/>
            </w:tcBorders>
            <w:shd w:val="clear" w:color="000000" w:fill="FFFFFF"/>
            <w:noWrap/>
            <w:vAlign w:val="bottom"/>
            <w:hideMark/>
          </w:tcPr>
          <w:p w14:paraId="1ECC6C78"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556" w:type="dxa"/>
            <w:tcBorders>
              <w:top w:val="nil"/>
              <w:left w:val="nil"/>
              <w:bottom w:val="single" w:sz="4" w:space="0" w:color="auto"/>
              <w:right w:val="nil"/>
            </w:tcBorders>
            <w:shd w:val="clear" w:color="auto" w:fill="auto"/>
            <w:noWrap/>
            <w:vAlign w:val="bottom"/>
          </w:tcPr>
          <w:p w14:paraId="236A0093" w14:textId="04823B64"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576" w:type="dxa"/>
            <w:tcBorders>
              <w:top w:val="nil"/>
              <w:left w:val="nil"/>
              <w:bottom w:val="single" w:sz="4" w:space="0" w:color="auto"/>
              <w:right w:val="nil"/>
            </w:tcBorders>
            <w:shd w:val="clear" w:color="000000" w:fill="FFFFFF"/>
            <w:noWrap/>
            <w:vAlign w:val="bottom"/>
          </w:tcPr>
          <w:p w14:paraId="34A4DE18" w14:textId="386136DB" w:rsidR="00C8081C" w:rsidRPr="0029167E" w:rsidRDefault="00C8081C" w:rsidP="00750B6C">
            <w:pPr>
              <w:keepNext/>
              <w:spacing w:line="240" w:lineRule="auto"/>
              <w:rPr>
                <w:rFonts w:eastAsia="Times New Roman" w:cs="Arial"/>
                <w:color w:val="000000"/>
                <w:sz w:val="12"/>
                <w:szCs w:val="12"/>
                <w:lang w:val="de-CH" w:eastAsia="de-CH"/>
              </w:rPr>
            </w:pPr>
          </w:p>
        </w:tc>
        <w:tc>
          <w:tcPr>
            <w:tcW w:w="256" w:type="dxa"/>
            <w:tcBorders>
              <w:top w:val="nil"/>
              <w:left w:val="nil"/>
              <w:bottom w:val="single" w:sz="4" w:space="0" w:color="auto"/>
              <w:right w:val="nil"/>
            </w:tcBorders>
            <w:shd w:val="clear" w:color="000000" w:fill="FFFFFF"/>
            <w:noWrap/>
            <w:vAlign w:val="bottom"/>
            <w:hideMark/>
          </w:tcPr>
          <w:p w14:paraId="33E91EA1" w14:textId="77777777" w:rsidR="00C8081C" w:rsidRPr="0029167E" w:rsidRDefault="00C8081C" w:rsidP="00750B6C">
            <w:pPr>
              <w:keepNext/>
              <w:spacing w:line="240" w:lineRule="auto"/>
              <w:rPr>
                <w:rFonts w:eastAsia="Times New Roman" w:cs="Arial"/>
                <w:color w:val="000000"/>
                <w:sz w:val="16"/>
                <w:szCs w:val="16"/>
                <w:lang w:val="de-CH" w:eastAsia="de-CH"/>
              </w:rPr>
            </w:pPr>
            <w:r w:rsidRPr="0029167E">
              <w:rPr>
                <w:rFonts w:eastAsia="Times New Roman" w:cs="Arial"/>
                <w:color w:val="000000"/>
                <w:sz w:val="16"/>
                <w:szCs w:val="16"/>
                <w:lang w:val="de-CH" w:eastAsia="de-CH"/>
              </w:rPr>
              <w:t> </w:t>
            </w:r>
          </w:p>
        </w:tc>
        <w:tc>
          <w:tcPr>
            <w:tcW w:w="916" w:type="dxa"/>
            <w:tcBorders>
              <w:top w:val="nil"/>
              <w:left w:val="nil"/>
              <w:bottom w:val="single" w:sz="4" w:space="0" w:color="auto"/>
              <w:right w:val="nil"/>
            </w:tcBorders>
            <w:shd w:val="clear" w:color="auto" w:fill="auto"/>
            <w:noWrap/>
            <w:vAlign w:val="bottom"/>
          </w:tcPr>
          <w:p w14:paraId="1148CD26" w14:textId="70CD12F9" w:rsidR="00C8081C" w:rsidRPr="0029167E" w:rsidRDefault="00C8081C" w:rsidP="00750B6C">
            <w:pPr>
              <w:keepNext/>
              <w:spacing w:line="240" w:lineRule="auto"/>
              <w:jc w:val="right"/>
              <w:rPr>
                <w:rFonts w:eastAsia="Times New Roman" w:cs="Arial"/>
                <w:color w:val="000000"/>
                <w:sz w:val="16"/>
                <w:szCs w:val="16"/>
                <w:lang w:val="de-CH" w:eastAsia="de-CH"/>
              </w:rPr>
            </w:pPr>
          </w:p>
        </w:tc>
        <w:tc>
          <w:tcPr>
            <w:tcW w:w="916" w:type="dxa"/>
            <w:tcBorders>
              <w:top w:val="nil"/>
              <w:left w:val="nil"/>
              <w:bottom w:val="single" w:sz="4" w:space="0" w:color="auto"/>
              <w:right w:val="nil"/>
            </w:tcBorders>
            <w:shd w:val="clear" w:color="auto" w:fill="auto"/>
            <w:noWrap/>
            <w:vAlign w:val="bottom"/>
          </w:tcPr>
          <w:p w14:paraId="30F2E94C" w14:textId="3A5F304F" w:rsidR="00C8081C" w:rsidRPr="0029167E" w:rsidRDefault="00C8081C" w:rsidP="00750B6C">
            <w:pPr>
              <w:keepNext/>
              <w:spacing w:line="240" w:lineRule="auto"/>
              <w:jc w:val="right"/>
              <w:rPr>
                <w:rFonts w:eastAsia="Times New Roman" w:cs="Arial"/>
                <w:color w:val="000000"/>
                <w:sz w:val="16"/>
                <w:szCs w:val="16"/>
                <w:lang w:val="de-CH" w:eastAsia="de-CH"/>
              </w:rPr>
            </w:pPr>
          </w:p>
        </w:tc>
      </w:tr>
    </w:tbl>
    <w:p w14:paraId="1CBE3ABF" w14:textId="77777777" w:rsidR="00C8081C" w:rsidRPr="0029167E" w:rsidRDefault="00C8081C" w:rsidP="00750B6C">
      <w:pPr>
        <w:pStyle w:val="FINMAStandardAbsatz"/>
        <w:keepNext/>
      </w:pPr>
    </w:p>
    <w:p w14:paraId="682DD2CF" w14:textId="0EFE27E8" w:rsidR="00B0082B" w:rsidRPr="0029167E" w:rsidRDefault="00B0082B" w:rsidP="00D60D73">
      <w:pPr>
        <w:pStyle w:val="Heading2"/>
      </w:pPr>
      <w:bookmarkStart w:id="51" w:name="_Toc534297757"/>
      <w:bookmarkStart w:id="52" w:name="_Toc148955349"/>
      <w:r w:rsidRPr="0029167E">
        <w:t>Risque</w:t>
      </w:r>
      <w:r w:rsidR="00482E72" w:rsidRPr="0029167E">
        <w:t>s</w:t>
      </w:r>
      <w:r w:rsidRPr="0029167E">
        <w:t xml:space="preserve"> de marché</w:t>
      </w:r>
      <w:bookmarkEnd w:id="51"/>
      <w:bookmarkEnd w:id="52"/>
    </w:p>
    <w:p w14:paraId="35DF65BE" w14:textId="60F22DBB" w:rsidR="00351D81" w:rsidRPr="0029167E" w:rsidRDefault="00345C8A" w:rsidP="00D60D73">
      <w:pPr>
        <w:pStyle w:val="FINMAStandardAbsatz"/>
      </w:pPr>
      <w:r w:rsidRPr="0029167E">
        <w:rPr>
          <w:i/>
        </w:rPr>
        <w:t>&lt;</w:t>
      </w:r>
      <w:r w:rsidR="006C4C79" w:rsidRPr="0029167E">
        <w:rPr>
          <w:i/>
        </w:rPr>
        <w:t>En général représenté</w:t>
      </w:r>
      <w:r w:rsidR="00482E72" w:rsidRPr="0029167E">
        <w:rPr>
          <w:i/>
        </w:rPr>
        <w:t>s</w:t>
      </w:r>
      <w:r w:rsidR="006C4C79" w:rsidRPr="0029167E">
        <w:rPr>
          <w:i/>
        </w:rPr>
        <w:t xml:space="preserve"> </w:t>
      </w:r>
      <w:r w:rsidR="00482E72" w:rsidRPr="0029167E">
        <w:rPr>
          <w:i/>
        </w:rPr>
        <w:t xml:space="preserve">par le </w:t>
      </w:r>
      <w:r w:rsidRPr="0029167E">
        <w:rPr>
          <w:i/>
        </w:rPr>
        <w:t>modèle standard</w:t>
      </w:r>
      <w:r w:rsidR="005B3E3F" w:rsidRPr="0029167E">
        <w:rPr>
          <w:i/>
        </w:rPr>
        <w:t xml:space="preserve"> pour le</w:t>
      </w:r>
      <w:r w:rsidR="00482E72" w:rsidRPr="0029167E">
        <w:rPr>
          <w:i/>
        </w:rPr>
        <w:t>s</w:t>
      </w:r>
      <w:r w:rsidR="005B3E3F" w:rsidRPr="0029167E">
        <w:rPr>
          <w:i/>
        </w:rPr>
        <w:t xml:space="preserve"> risque</w:t>
      </w:r>
      <w:r w:rsidR="00482E72" w:rsidRPr="0029167E">
        <w:rPr>
          <w:i/>
        </w:rPr>
        <w:t>s</w:t>
      </w:r>
      <w:r w:rsidR="005B3E3F" w:rsidRPr="0029167E">
        <w:rPr>
          <w:i/>
        </w:rPr>
        <w:t xml:space="preserve"> de marché</w:t>
      </w:r>
      <w:r w:rsidRPr="0029167E">
        <w:rPr>
          <w:i/>
        </w:rPr>
        <w:t>&gt;</w:t>
      </w:r>
      <w:r w:rsidRPr="0029167E">
        <w:t xml:space="preserve"> </w:t>
      </w:r>
    </w:p>
    <w:p w14:paraId="0B77BD85" w14:textId="543B1577" w:rsidR="00B0082B" w:rsidRPr="0029167E" w:rsidRDefault="00B0082B" w:rsidP="00D60D73">
      <w:pPr>
        <w:pStyle w:val="FINMAStandardAbsatz"/>
      </w:pPr>
      <w:r w:rsidRPr="0029167E">
        <w:t>Description des principaux changements de la structure des risques et présentation d'éventuelles concentrations de risques</w:t>
      </w:r>
      <w:r w:rsidR="00716CBB" w:rsidRPr="0029167E">
        <w:t>.</w:t>
      </w:r>
      <w:r w:rsidRPr="0029167E">
        <w:t xml:space="preserve"> Description de la dépendance du risque de marché </w:t>
      </w:r>
      <w:r w:rsidR="00137CEE" w:rsidRPr="0029167E">
        <w:t>aux</w:t>
      </w:r>
      <w:r w:rsidRPr="0029167E">
        <w:t xml:space="preserve"> générateurs de risque de marché, présentation des générateurs les plus importants</w:t>
      </w:r>
      <w:r w:rsidR="00716CBB" w:rsidRPr="0029167E">
        <w:t>.</w:t>
      </w:r>
    </w:p>
    <w:p w14:paraId="66483B12" w14:textId="12C55281" w:rsidR="005F2842" w:rsidRPr="0029167E" w:rsidRDefault="005F2842" w:rsidP="00D60D73">
      <w:pPr>
        <w:pStyle w:val="Heading2"/>
      </w:pPr>
      <w:bookmarkStart w:id="53" w:name="_Toc534297758"/>
      <w:bookmarkStart w:id="54" w:name="_Toc148955350"/>
      <w:r w:rsidRPr="0029167E">
        <w:t>Risque</w:t>
      </w:r>
      <w:r w:rsidR="00482E72" w:rsidRPr="0029167E">
        <w:t>s</w:t>
      </w:r>
      <w:r w:rsidRPr="0029167E">
        <w:t xml:space="preserve"> de crédit</w:t>
      </w:r>
      <w:bookmarkEnd w:id="53"/>
      <w:bookmarkEnd w:id="54"/>
    </w:p>
    <w:p w14:paraId="330F06C2" w14:textId="119CCEF4" w:rsidR="00351D81" w:rsidRPr="0029167E" w:rsidRDefault="00345C8A" w:rsidP="00D60D73">
      <w:pPr>
        <w:pStyle w:val="FINMAStandardAbsatz"/>
      </w:pPr>
      <w:r w:rsidRPr="0029167E">
        <w:rPr>
          <w:i/>
        </w:rPr>
        <w:t>&lt;</w:t>
      </w:r>
      <w:r w:rsidR="006C4C79" w:rsidRPr="0029167E">
        <w:rPr>
          <w:i/>
        </w:rPr>
        <w:t>En général</w:t>
      </w:r>
      <w:r w:rsidR="00A2456B" w:rsidRPr="0029167E">
        <w:rPr>
          <w:i/>
        </w:rPr>
        <w:t xml:space="preserve"> </w:t>
      </w:r>
      <w:r w:rsidR="006C4C79" w:rsidRPr="0029167E">
        <w:rPr>
          <w:i/>
        </w:rPr>
        <w:t>représenté</w:t>
      </w:r>
      <w:r w:rsidR="00482E72" w:rsidRPr="0029167E">
        <w:rPr>
          <w:i/>
        </w:rPr>
        <w:t>s</w:t>
      </w:r>
      <w:r w:rsidR="006C4C79" w:rsidRPr="0029167E">
        <w:rPr>
          <w:i/>
        </w:rPr>
        <w:t xml:space="preserve"> </w:t>
      </w:r>
      <w:r w:rsidR="00482E72" w:rsidRPr="0029167E">
        <w:rPr>
          <w:i/>
        </w:rPr>
        <w:t xml:space="preserve">par le </w:t>
      </w:r>
      <w:r w:rsidRPr="0029167E">
        <w:rPr>
          <w:i/>
        </w:rPr>
        <w:t>modèle standard</w:t>
      </w:r>
      <w:r w:rsidR="005B3E3F" w:rsidRPr="0029167E">
        <w:rPr>
          <w:i/>
        </w:rPr>
        <w:t xml:space="preserve"> pour le</w:t>
      </w:r>
      <w:r w:rsidR="00482E72" w:rsidRPr="0029167E">
        <w:rPr>
          <w:i/>
        </w:rPr>
        <w:t>s</w:t>
      </w:r>
      <w:r w:rsidR="005B3E3F" w:rsidRPr="0029167E">
        <w:rPr>
          <w:i/>
        </w:rPr>
        <w:t xml:space="preserve"> risque</w:t>
      </w:r>
      <w:r w:rsidR="00482E72" w:rsidRPr="0029167E">
        <w:rPr>
          <w:i/>
        </w:rPr>
        <w:t>s</w:t>
      </w:r>
      <w:r w:rsidR="005B3E3F" w:rsidRPr="0029167E">
        <w:rPr>
          <w:i/>
        </w:rPr>
        <w:t xml:space="preserve"> de crédit</w:t>
      </w:r>
      <w:r w:rsidRPr="0029167E">
        <w:rPr>
          <w:i/>
        </w:rPr>
        <w:t>&gt;</w:t>
      </w:r>
      <w:r w:rsidRPr="0029167E">
        <w:t xml:space="preserve"> </w:t>
      </w:r>
    </w:p>
    <w:p w14:paraId="7C0F0EEE" w14:textId="79B35982" w:rsidR="005F2842" w:rsidRPr="0029167E" w:rsidRDefault="005F2842" w:rsidP="00D60D73">
      <w:pPr>
        <w:pStyle w:val="FINMAStandardAbsatz"/>
      </w:pPr>
      <w:r w:rsidRPr="0029167E">
        <w:t>Description des principaux changements de la structure des risques ainsi que présentation des éventuelles concentrations de risques</w:t>
      </w:r>
      <w:r w:rsidR="00716CBB" w:rsidRPr="0029167E">
        <w:t>.</w:t>
      </w:r>
      <w:r w:rsidRPr="0029167E">
        <w:t xml:space="preserve"> Description des données d'entrée </w:t>
      </w:r>
      <w:r w:rsidR="00137CEE" w:rsidRPr="0029167E">
        <w:t>(</w:t>
      </w:r>
      <w:r w:rsidR="00137CEE" w:rsidRPr="0029167E">
        <w:rPr>
          <w:i/>
        </w:rPr>
        <w:t>inputs</w:t>
      </w:r>
      <w:r w:rsidR="00137CEE" w:rsidRPr="0029167E">
        <w:t xml:space="preserve">) </w:t>
      </w:r>
      <w:r w:rsidRPr="0029167E">
        <w:t xml:space="preserve">pour le modèle à un facteur et </w:t>
      </w:r>
      <w:r w:rsidR="00137CEE" w:rsidRPr="0029167E">
        <w:t xml:space="preserve">des </w:t>
      </w:r>
      <w:r w:rsidRPr="0029167E">
        <w:t>autres instruments de risque de crédit, présentation des résultats et de leurs facteurs principaux</w:t>
      </w:r>
      <w:r w:rsidR="00716CBB" w:rsidRPr="0029167E">
        <w:t>.</w:t>
      </w:r>
    </w:p>
    <w:p w14:paraId="2EDC9EF9" w14:textId="6285A355" w:rsidR="003D1B5D" w:rsidRPr="0029167E" w:rsidRDefault="00B0082B" w:rsidP="00D60D73">
      <w:pPr>
        <w:pStyle w:val="Heading2"/>
      </w:pPr>
      <w:bookmarkStart w:id="55" w:name="_Toc534297759"/>
      <w:bookmarkStart w:id="56" w:name="_Toc148955351"/>
      <w:r w:rsidRPr="0029167E">
        <w:lastRenderedPageBreak/>
        <w:t>Risques d'assurance</w:t>
      </w:r>
      <w:bookmarkEnd w:id="55"/>
      <w:bookmarkEnd w:id="56"/>
    </w:p>
    <w:p w14:paraId="58C2E967" w14:textId="7462DD64" w:rsidR="00DE407E" w:rsidRPr="0029167E" w:rsidRDefault="00FD1237" w:rsidP="00D60D73">
      <w:pPr>
        <w:pStyle w:val="FINMAStandardAbsatz"/>
      </w:pPr>
      <w:r w:rsidRPr="0029167E">
        <w:t>Description des principaux changements de la structure des risques et présentation des éventuelles concentrations de risques</w:t>
      </w:r>
      <w:r w:rsidR="00716CBB" w:rsidRPr="0029167E">
        <w:t>.</w:t>
      </w:r>
    </w:p>
    <w:p w14:paraId="454822DE" w14:textId="74BC7CE4" w:rsidR="00D762D2" w:rsidRPr="0029167E" w:rsidRDefault="00D762D2" w:rsidP="00D60D73">
      <w:pPr>
        <w:pStyle w:val="Heading3"/>
      </w:pPr>
      <w:bookmarkStart w:id="57" w:name="_Toc534297760"/>
      <w:bookmarkStart w:id="58" w:name="_Toc148955352"/>
      <w:r w:rsidRPr="0029167E">
        <w:t>Risques d’assurance</w:t>
      </w:r>
      <w:r w:rsidR="00661817" w:rsidRPr="0029167E">
        <w:t xml:space="preserve"> </w:t>
      </w:r>
      <w:r w:rsidRPr="0029167E">
        <w:t>vie</w:t>
      </w:r>
      <w:bookmarkEnd w:id="57"/>
      <w:bookmarkEnd w:id="58"/>
    </w:p>
    <w:p w14:paraId="604461EA" w14:textId="4BC48130" w:rsidR="00351D81" w:rsidRPr="0029167E" w:rsidRDefault="00345C8A" w:rsidP="00D60D73">
      <w:pPr>
        <w:pStyle w:val="FINMAStandardAbsatz"/>
      </w:pPr>
      <w:proofErr w:type="gramStart"/>
      <w:r w:rsidRPr="0029167E">
        <w:rPr>
          <w:i/>
        </w:rPr>
        <w:t xml:space="preserve">&lt; </w:t>
      </w:r>
      <w:r w:rsidR="003D0772" w:rsidRPr="0029167E">
        <w:rPr>
          <w:i/>
        </w:rPr>
        <w:t xml:space="preserve"> En</w:t>
      </w:r>
      <w:proofErr w:type="gramEnd"/>
      <w:r w:rsidR="003D0772" w:rsidRPr="0029167E">
        <w:rPr>
          <w:i/>
        </w:rPr>
        <w:t xml:space="preserve"> général</w:t>
      </w:r>
      <w:r w:rsidRPr="0029167E">
        <w:rPr>
          <w:i/>
        </w:rPr>
        <w:t xml:space="preserve"> </w:t>
      </w:r>
      <w:r w:rsidR="003D0772" w:rsidRPr="0029167E">
        <w:rPr>
          <w:i/>
        </w:rPr>
        <w:t>représenté</w:t>
      </w:r>
      <w:r w:rsidR="006C4C79" w:rsidRPr="0029167E">
        <w:rPr>
          <w:i/>
        </w:rPr>
        <w:t>s</w:t>
      </w:r>
      <w:r w:rsidRPr="0029167E">
        <w:rPr>
          <w:i/>
        </w:rPr>
        <w:t xml:space="preserve"> </w:t>
      </w:r>
      <w:r w:rsidR="00482E72" w:rsidRPr="0029167E">
        <w:rPr>
          <w:i/>
        </w:rPr>
        <w:t xml:space="preserve">par le </w:t>
      </w:r>
      <w:r w:rsidRPr="0029167E">
        <w:rPr>
          <w:i/>
        </w:rPr>
        <w:t>modèle standard</w:t>
      </w:r>
      <w:r w:rsidR="00716CBB" w:rsidRPr="0029167E">
        <w:rPr>
          <w:i/>
        </w:rPr>
        <w:t xml:space="preserve"> </w:t>
      </w:r>
      <w:r w:rsidR="005B3E3F" w:rsidRPr="0029167E">
        <w:rPr>
          <w:i/>
        </w:rPr>
        <w:t>pour l'</w:t>
      </w:r>
      <w:r w:rsidR="00716CBB" w:rsidRPr="0029167E">
        <w:rPr>
          <w:i/>
        </w:rPr>
        <w:t>assurance</w:t>
      </w:r>
      <w:r w:rsidR="00661817" w:rsidRPr="0029167E">
        <w:rPr>
          <w:i/>
        </w:rPr>
        <w:t xml:space="preserve"> </w:t>
      </w:r>
      <w:r w:rsidR="00716CBB" w:rsidRPr="0029167E">
        <w:rPr>
          <w:i/>
        </w:rPr>
        <w:t>vie</w:t>
      </w:r>
      <w:r w:rsidRPr="0029167E">
        <w:rPr>
          <w:i/>
        </w:rPr>
        <w:t>&gt;</w:t>
      </w:r>
      <w:r w:rsidRPr="0029167E">
        <w:t xml:space="preserve"> </w:t>
      </w:r>
    </w:p>
    <w:p w14:paraId="7B6E6AEC" w14:textId="6194C553" w:rsidR="00D762D2" w:rsidRPr="0029167E" w:rsidRDefault="00D762D2" w:rsidP="00D60D73">
      <w:pPr>
        <w:pStyle w:val="FINMAStandardAbsatz"/>
      </w:pPr>
      <w:r w:rsidRPr="0029167E">
        <w:t>Modifications en raison des générateurs de risque mortalité, longévité, invalidité, coûts, résiliation, risque de catastrophe</w:t>
      </w:r>
      <w:r w:rsidR="002C3FCA" w:rsidRPr="0029167E">
        <w:t>.</w:t>
      </w:r>
      <w:r w:rsidRPr="0029167E">
        <w:t xml:space="preserve"> Appréciation de la contribution des différents générateurs de risque et de leur effet en commun (agrégation)</w:t>
      </w:r>
      <w:r w:rsidR="002C3FCA" w:rsidRPr="0029167E">
        <w:t>.</w:t>
      </w:r>
    </w:p>
    <w:p w14:paraId="57C81AD4" w14:textId="707DC3EA" w:rsidR="00535C9D" w:rsidRPr="0029167E" w:rsidRDefault="00EA46E8" w:rsidP="00D60D73">
      <w:pPr>
        <w:pStyle w:val="FINMAStandardAbsatz"/>
      </w:pPr>
      <w:r w:rsidRPr="0029167E">
        <w:rPr>
          <w:rFonts w:cstheme="minorBidi"/>
          <w:lang w:val="fr-CH"/>
        </w:rPr>
        <w:t xml:space="preserve">Explications au sujet des données dans les </w:t>
      </w:r>
      <w:proofErr w:type="spellStart"/>
      <w:r w:rsidRPr="0029167E">
        <w:rPr>
          <w:rFonts w:cstheme="minorBidi"/>
          <w:lang w:val="fr-CH"/>
        </w:rPr>
        <w:t>templates</w:t>
      </w:r>
      <w:proofErr w:type="spellEnd"/>
      <w:r w:rsidRPr="0029167E">
        <w:rPr>
          <w:rFonts w:cstheme="minorBidi"/>
          <w:lang w:val="fr-CH"/>
        </w:rPr>
        <w:t xml:space="preserve"> remis, notamment concernant des hypothèses particulières, </w:t>
      </w:r>
      <w:proofErr w:type="gramStart"/>
      <w:r w:rsidRPr="0029167E">
        <w:rPr>
          <w:rFonts w:cstheme="minorBidi"/>
          <w:lang w:val="fr-CH"/>
        </w:rPr>
        <w:t>des changement</w:t>
      </w:r>
      <w:proofErr w:type="gramEnd"/>
      <w:r w:rsidRPr="0029167E">
        <w:rPr>
          <w:rFonts w:cstheme="minorBidi"/>
          <w:lang w:val="fr-CH"/>
        </w:rPr>
        <w:t xml:space="preserve"> par rapport à l'année précédente, etc.</w:t>
      </w:r>
    </w:p>
    <w:p w14:paraId="60CB8B20" w14:textId="004133E7" w:rsidR="003D1B5D" w:rsidRPr="0029167E" w:rsidRDefault="00732221" w:rsidP="00D60D73">
      <w:pPr>
        <w:pStyle w:val="Heading3"/>
      </w:pPr>
      <w:bookmarkStart w:id="59" w:name="_Toc534297761"/>
      <w:bookmarkStart w:id="60" w:name="_Toc148955353"/>
      <w:r w:rsidRPr="0029167E">
        <w:t>Risques d’assurance dommage</w:t>
      </w:r>
      <w:bookmarkEnd w:id="59"/>
      <w:bookmarkEnd w:id="60"/>
    </w:p>
    <w:p w14:paraId="2A9DA49D" w14:textId="48304F96" w:rsidR="00351D81" w:rsidRPr="0029167E" w:rsidRDefault="00345C8A" w:rsidP="00D60D73">
      <w:pPr>
        <w:pStyle w:val="FINMAStandardAbsatz"/>
      </w:pPr>
      <w:r w:rsidRPr="0029167E">
        <w:rPr>
          <w:i/>
        </w:rPr>
        <w:t>&lt;</w:t>
      </w:r>
      <w:r w:rsidR="003D0772" w:rsidRPr="0029167E">
        <w:rPr>
          <w:i/>
        </w:rPr>
        <w:t>En général</w:t>
      </w:r>
      <w:r w:rsidR="00A2456B" w:rsidRPr="0029167E">
        <w:rPr>
          <w:i/>
        </w:rPr>
        <w:t xml:space="preserve"> </w:t>
      </w:r>
      <w:r w:rsidR="003D0772" w:rsidRPr="0029167E">
        <w:rPr>
          <w:i/>
        </w:rPr>
        <w:t>représenté</w:t>
      </w:r>
      <w:r w:rsidR="006C4C79" w:rsidRPr="0029167E">
        <w:rPr>
          <w:i/>
        </w:rPr>
        <w:t>s</w:t>
      </w:r>
      <w:r w:rsidRPr="0029167E">
        <w:rPr>
          <w:i/>
        </w:rPr>
        <w:t xml:space="preserve"> </w:t>
      </w:r>
      <w:r w:rsidR="00482E72" w:rsidRPr="0029167E">
        <w:rPr>
          <w:i/>
        </w:rPr>
        <w:t xml:space="preserve">par le </w:t>
      </w:r>
      <w:r w:rsidRPr="0029167E">
        <w:rPr>
          <w:i/>
        </w:rPr>
        <w:t>modèle standard</w:t>
      </w:r>
      <w:r w:rsidR="005B3E3F" w:rsidRPr="0029167E">
        <w:rPr>
          <w:i/>
        </w:rPr>
        <w:t xml:space="preserve"> pour l'</w:t>
      </w:r>
      <w:r w:rsidR="00716CBB" w:rsidRPr="0029167E">
        <w:rPr>
          <w:i/>
        </w:rPr>
        <w:t>assurance dommage</w:t>
      </w:r>
      <w:r w:rsidRPr="0029167E">
        <w:rPr>
          <w:i/>
        </w:rPr>
        <w:t>&gt;</w:t>
      </w:r>
      <w:r w:rsidRPr="0029167E">
        <w:t xml:space="preserve"> </w:t>
      </w:r>
    </w:p>
    <w:p w14:paraId="14A238E4" w14:textId="3DBD84D5" w:rsidR="00DE407E" w:rsidRPr="0029167E" w:rsidRDefault="00EA6543" w:rsidP="00D60D73">
      <w:pPr>
        <w:pStyle w:val="FINMAStandardAbsatz"/>
      </w:pPr>
      <w:r w:rsidRPr="0029167E">
        <w:t>Risque PY, risque CY et risque URR ainsi que leur agrégation.</w:t>
      </w:r>
    </w:p>
    <w:p w14:paraId="72F0D0C7" w14:textId="754007B1" w:rsidR="00EE7E88" w:rsidRPr="0029167E" w:rsidRDefault="00EE7E88" w:rsidP="00D60D73">
      <w:pPr>
        <w:pStyle w:val="FINMAStandardAbsatz"/>
        <w:rPr>
          <w:i/>
        </w:rPr>
      </w:pPr>
      <w:r w:rsidRPr="0029167E">
        <w:rPr>
          <w:i/>
        </w:rPr>
        <w:t>&lt;</w:t>
      </w:r>
      <w:r w:rsidRPr="0029167E">
        <w:rPr>
          <w:i/>
          <w:u w:val="single"/>
        </w:rPr>
        <w:t xml:space="preserve">Remarque : </w:t>
      </w:r>
      <w:r w:rsidRPr="0029167E">
        <w:rPr>
          <w:i/>
        </w:rPr>
        <w:t xml:space="preserve"> Actuellement, le risque URR est rattaché dans la FDS à la position</w:t>
      </w:r>
      <w:r w:rsidR="00BF7F85" w:rsidRPr="0029167E">
        <w:rPr>
          <w:i/>
        </w:rPr>
        <w:t xml:space="preserve"> « Autres</w:t>
      </w:r>
      <w:r w:rsidRPr="0029167E">
        <w:rPr>
          <w:i/>
        </w:rPr>
        <w:t xml:space="preserve"> risques d’assurance provenant des affaires d’assurance dommage (centré</w:t>
      </w:r>
      <w:r w:rsidR="00BF7F85" w:rsidRPr="0029167E">
        <w:rPr>
          <w:i/>
        </w:rPr>
        <w:t>) »</w:t>
      </w:r>
      <w:r w:rsidRPr="0029167E">
        <w:rPr>
          <w:i/>
        </w:rPr>
        <w:t>.&gt;</w:t>
      </w:r>
    </w:p>
    <w:p w14:paraId="6D3D912A" w14:textId="32319802" w:rsidR="00EA6543" w:rsidRPr="0029167E" w:rsidRDefault="00EA6543" w:rsidP="00D60D73">
      <w:pPr>
        <w:pStyle w:val="FINMAStandardAbsatz"/>
      </w:pPr>
      <w:r w:rsidRPr="0029167E">
        <w:t>Description des composantes du risque CY</w:t>
      </w:r>
      <w:r w:rsidR="009644B1" w:rsidRPr="0029167E">
        <w:t>.</w:t>
      </w:r>
    </w:p>
    <w:p w14:paraId="41785CE6" w14:textId="7E5CD69A" w:rsidR="00A71F65" w:rsidRPr="0029167E" w:rsidRDefault="00EA46E8" w:rsidP="00D60D73">
      <w:pPr>
        <w:pStyle w:val="FINMAStandardAbsatz"/>
        <w:rPr>
          <w:rFonts w:cstheme="minorBidi"/>
          <w:lang w:val="fr-CH"/>
        </w:rPr>
      </w:pPr>
      <w:r w:rsidRPr="0029167E">
        <w:rPr>
          <w:rFonts w:cstheme="minorBidi"/>
          <w:lang w:val="fr-CH"/>
        </w:rPr>
        <w:t xml:space="preserve">Explications au sujet des données dans les </w:t>
      </w:r>
      <w:proofErr w:type="spellStart"/>
      <w:r w:rsidRPr="0029167E">
        <w:rPr>
          <w:rFonts w:cstheme="minorBidi"/>
          <w:lang w:val="fr-CH"/>
        </w:rPr>
        <w:t>templates</w:t>
      </w:r>
      <w:proofErr w:type="spellEnd"/>
      <w:r w:rsidRPr="0029167E">
        <w:rPr>
          <w:rFonts w:cstheme="minorBidi"/>
          <w:lang w:val="fr-CH"/>
        </w:rPr>
        <w:t xml:space="preserve"> remis, notamment concernant des hypothèses particulières, </w:t>
      </w:r>
      <w:proofErr w:type="gramStart"/>
      <w:r w:rsidRPr="0029167E">
        <w:rPr>
          <w:rFonts w:cstheme="minorBidi"/>
          <w:lang w:val="fr-CH"/>
        </w:rPr>
        <w:t>des changement</w:t>
      </w:r>
      <w:proofErr w:type="gramEnd"/>
      <w:r w:rsidRPr="0029167E">
        <w:rPr>
          <w:rFonts w:cstheme="minorBidi"/>
          <w:lang w:val="fr-CH"/>
        </w:rPr>
        <w:t xml:space="preserve"> par rapport à l'année précédente, etc.</w:t>
      </w:r>
    </w:p>
    <w:p w14:paraId="4AA1C556" w14:textId="374CD45A" w:rsidR="00FD48DD" w:rsidRPr="0029167E" w:rsidRDefault="00FD48DD" w:rsidP="00D60D73">
      <w:pPr>
        <w:pStyle w:val="FINMAStandardAbsatz"/>
      </w:pPr>
      <w:r w:rsidRPr="0029167E">
        <w:rPr>
          <w:rFonts w:cstheme="minorBidi"/>
          <w:lang w:val="fr-CH"/>
        </w:rPr>
        <w:t xml:space="preserve">Explications sur les hypothèses </w:t>
      </w:r>
      <w:r w:rsidR="00173459" w:rsidRPr="0029167E">
        <w:rPr>
          <w:rFonts w:cstheme="minorBidi"/>
          <w:lang w:val="fr-CH"/>
        </w:rPr>
        <w:t>d'</w:t>
      </w:r>
      <w:r w:rsidRPr="0029167E">
        <w:rPr>
          <w:rFonts w:cstheme="minorBidi"/>
          <w:lang w:val="fr-CH"/>
        </w:rPr>
        <w:t>inflation</w:t>
      </w:r>
      <w:r w:rsidR="0043312F" w:rsidRPr="0029167E">
        <w:rPr>
          <w:rFonts w:cstheme="minorBidi"/>
          <w:lang w:val="fr-CH"/>
        </w:rPr>
        <w:t xml:space="preserve"> retenues </w:t>
      </w:r>
      <w:r w:rsidR="00173459" w:rsidRPr="0029167E">
        <w:rPr>
          <w:rFonts w:cstheme="minorBidi"/>
          <w:lang w:val="fr-CH"/>
        </w:rPr>
        <w:t>aux</w:t>
      </w:r>
      <w:r w:rsidR="0043312F" w:rsidRPr="0029167E">
        <w:rPr>
          <w:rFonts w:cstheme="minorBidi"/>
          <w:lang w:val="fr-CH"/>
        </w:rPr>
        <w:t xml:space="preserve"> </w:t>
      </w:r>
      <w:r w:rsidR="0043312F" w:rsidRPr="0029167E">
        <w:rPr>
          <w:rFonts w:cstheme="minorBidi"/>
          <w:i/>
          <w:iCs/>
          <w:lang w:val="fr-CH"/>
        </w:rPr>
        <w:t xml:space="preserve">best </w:t>
      </w:r>
      <w:proofErr w:type="spellStart"/>
      <w:r w:rsidR="0043312F" w:rsidRPr="0029167E">
        <w:rPr>
          <w:rFonts w:cstheme="minorBidi"/>
          <w:i/>
          <w:iCs/>
          <w:lang w:val="fr-CH"/>
        </w:rPr>
        <w:t>estimate</w:t>
      </w:r>
      <w:r w:rsidR="00173459" w:rsidRPr="0029167E">
        <w:rPr>
          <w:rFonts w:cstheme="minorBidi"/>
          <w:i/>
          <w:iCs/>
          <w:lang w:val="fr-CH"/>
        </w:rPr>
        <w:t>s</w:t>
      </w:r>
      <w:proofErr w:type="spellEnd"/>
      <w:r w:rsidR="0043312F" w:rsidRPr="0029167E">
        <w:rPr>
          <w:rFonts w:cstheme="minorBidi"/>
          <w:lang w:val="fr-CH"/>
        </w:rPr>
        <w:t xml:space="preserve"> pour les provisions et </w:t>
      </w:r>
      <w:r w:rsidR="00173459" w:rsidRPr="0029167E">
        <w:rPr>
          <w:rFonts w:cstheme="minorBidi"/>
          <w:lang w:val="fr-CH"/>
        </w:rPr>
        <w:t>les</w:t>
      </w:r>
      <w:r w:rsidR="0043312F" w:rsidRPr="0029167E">
        <w:rPr>
          <w:rFonts w:cstheme="minorBidi"/>
          <w:lang w:val="fr-CH"/>
        </w:rPr>
        <w:t xml:space="preserve"> nouveaux sinistres</w:t>
      </w:r>
      <w:r w:rsidRPr="0029167E">
        <w:rPr>
          <w:rFonts w:cstheme="minorBidi"/>
          <w:lang w:val="fr-CH"/>
        </w:rPr>
        <w:t>. Notamment manière de les prendre en compte par branche</w:t>
      </w:r>
      <w:r w:rsidR="003577FD" w:rsidRPr="0029167E">
        <w:rPr>
          <w:rFonts w:cstheme="minorBidi"/>
          <w:lang w:val="fr-CH"/>
        </w:rPr>
        <w:t xml:space="preserve"> d'affaires</w:t>
      </w:r>
      <w:r w:rsidRPr="0029167E">
        <w:rPr>
          <w:rFonts w:cstheme="minorBidi"/>
          <w:lang w:val="fr-CH"/>
        </w:rPr>
        <w:t xml:space="preserve"> (directement dans les cash flows ou par facteur forfaitaire), </w:t>
      </w:r>
      <w:r w:rsidR="00173459" w:rsidRPr="0029167E">
        <w:rPr>
          <w:rFonts w:cstheme="minorBidi"/>
          <w:lang w:val="fr-CH"/>
        </w:rPr>
        <w:t>n</w:t>
      </w:r>
      <w:r w:rsidRPr="0029167E">
        <w:rPr>
          <w:rFonts w:cstheme="minorBidi"/>
          <w:lang w:val="fr-CH"/>
        </w:rPr>
        <w:t xml:space="preserve">iveau d'inflation </w:t>
      </w:r>
      <w:r w:rsidR="00C11480" w:rsidRPr="0029167E">
        <w:rPr>
          <w:rFonts w:cstheme="minorBidi"/>
          <w:lang w:val="fr-CH"/>
        </w:rPr>
        <w:t xml:space="preserve">attendue </w:t>
      </w:r>
      <w:r w:rsidRPr="0029167E">
        <w:rPr>
          <w:rFonts w:cstheme="minorBidi"/>
          <w:lang w:val="fr-CH"/>
        </w:rPr>
        <w:t xml:space="preserve">avec justification, etc. </w:t>
      </w:r>
    </w:p>
    <w:p w14:paraId="2340458D" w14:textId="4BB506C3" w:rsidR="00117F7C" w:rsidRPr="0029167E" w:rsidRDefault="00117F7C" w:rsidP="00D60D73">
      <w:pPr>
        <w:pStyle w:val="Heading3"/>
      </w:pPr>
      <w:bookmarkStart w:id="61" w:name="_Toc534297762"/>
      <w:bookmarkStart w:id="62" w:name="_Toc148955354"/>
      <w:r w:rsidRPr="0029167E">
        <w:t>Risques d’assurance</w:t>
      </w:r>
      <w:r w:rsidR="00661817" w:rsidRPr="0029167E">
        <w:t>-</w:t>
      </w:r>
      <w:r w:rsidRPr="0029167E">
        <w:t>maladie</w:t>
      </w:r>
      <w:bookmarkEnd w:id="61"/>
      <w:bookmarkEnd w:id="62"/>
    </w:p>
    <w:p w14:paraId="0E563035" w14:textId="38EED8C6" w:rsidR="00351D81" w:rsidRPr="0029167E" w:rsidRDefault="00345C8A" w:rsidP="00D60D73">
      <w:pPr>
        <w:pStyle w:val="FINMAStandardAbsatz"/>
      </w:pPr>
      <w:r w:rsidRPr="0029167E">
        <w:rPr>
          <w:i/>
        </w:rPr>
        <w:t xml:space="preserve">&lt; </w:t>
      </w:r>
      <w:r w:rsidR="003D0772" w:rsidRPr="0029167E">
        <w:rPr>
          <w:i/>
        </w:rPr>
        <w:t>En général</w:t>
      </w:r>
      <w:r w:rsidR="00A2456B" w:rsidRPr="0029167E" w:rsidDel="00A2456B">
        <w:rPr>
          <w:i/>
        </w:rPr>
        <w:t xml:space="preserve"> </w:t>
      </w:r>
      <w:r w:rsidR="003D0772" w:rsidRPr="0029167E">
        <w:rPr>
          <w:i/>
        </w:rPr>
        <w:t>représenté</w:t>
      </w:r>
      <w:r w:rsidR="006C4C79" w:rsidRPr="0029167E">
        <w:rPr>
          <w:i/>
        </w:rPr>
        <w:t>s</w:t>
      </w:r>
      <w:r w:rsidR="002C3FCA" w:rsidRPr="0029167E">
        <w:rPr>
          <w:i/>
        </w:rPr>
        <w:t xml:space="preserve"> </w:t>
      </w:r>
      <w:r w:rsidR="00482E72" w:rsidRPr="0029167E">
        <w:rPr>
          <w:i/>
        </w:rPr>
        <w:t xml:space="preserve">par le </w:t>
      </w:r>
      <w:r w:rsidRPr="0029167E">
        <w:rPr>
          <w:i/>
        </w:rPr>
        <w:t>modèle standard</w:t>
      </w:r>
      <w:r w:rsidR="00D77454" w:rsidRPr="0029167E">
        <w:rPr>
          <w:i/>
        </w:rPr>
        <w:t xml:space="preserve"> </w:t>
      </w:r>
      <w:r w:rsidR="00A2456B" w:rsidRPr="0029167E">
        <w:rPr>
          <w:i/>
        </w:rPr>
        <w:t>pour l'</w:t>
      </w:r>
      <w:r w:rsidR="00D77454" w:rsidRPr="0029167E">
        <w:rPr>
          <w:i/>
        </w:rPr>
        <w:t>assurance-maladie</w:t>
      </w:r>
      <w:r w:rsidRPr="0029167E">
        <w:rPr>
          <w:i/>
        </w:rPr>
        <w:t>&gt;</w:t>
      </w:r>
      <w:r w:rsidRPr="0029167E">
        <w:t xml:space="preserve"> </w:t>
      </w:r>
    </w:p>
    <w:p w14:paraId="73B8FCD9" w14:textId="1E8F11E0" w:rsidR="00117F7C" w:rsidRPr="0029167E" w:rsidRDefault="00117F7C" w:rsidP="00D60D73">
      <w:pPr>
        <w:pStyle w:val="FINMAStandardAbsatz"/>
      </w:pPr>
      <w:r w:rsidRPr="0029167E">
        <w:t xml:space="preserve">Risque d’assurance des engagements </w:t>
      </w:r>
      <w:r w:rsidR="002C3FCA" w:rsidRPr="0029167E">
        <w:t>viagers</w:t>
      </w:r>
      <w:r w:rsidRPr="0029167E">
        <w:t xml:space="preserve"> et de l’assurance collective d’indemnités journalières</w:t>
      </w:r>
      <w:r w:rsidR="00D77454" w:rsidRPr="0029167E">
        <w:t>.</w:t>
      </w:r>
      <w:r w:rsidRPr="0029167E">
        <w:t xml:space="preserve"> Présentation des générateurs principaux </w:t>
      </w:r>
      <w:r w:rsidR="002C3FCA" w:rsidRPr="0029167E">
        <w:t xml:space="preserve">relatifs au </w:t>
      </w:r>
      <w:r w:rsidRPr="0029167E">
        <w:t xml:space="preserve">risque découlant des engagements </w:t>
      </w:r>
      <w:r w:rsidR="002C3FCA" w:rsidRPr="0029167E">
        <w:t>viagers</w:t>
      </w:r>
      <w:r w:rsidRPr="0029167E">
        <w:t>, appréciation des groupes de produits ayant la plus grande influence.</w:t>
      </w:r>
    </w:p>
    <w:p w14:paraId="2D8678B0" w14:textId="2D23B7B4" w:rsidR="00A71F65" w:rsidRPr="0029167E" w:rsidRDefault="00EA46E8" w:rsidP="00D60D73">
      <w:pPr>
        <w:pStyle w:val="FINMAStandardAbsatz"/>
      </w:pPr>
      <w:r w:rsidRPr="0029167E">
        <w:rPr>
          <w:rFonts w:cstheme="minorBidi"/>
          <w:lang w:val="fr-CH"/>
        </w:rPr>
        <w:t xml:space="preserve">Explications au sujet des données dans les </w:t>
      </w:r>
      <w:proofErr w:type="spellStart"/>
      <w:r w:rsidRPr="0029167E">
        <w:rPr>
          <w:rFonts w:cstheme="minorBidi"/>
          <w:lang w:val="fr-CH"/>
        </w:rPr>
        <w:t>templates</w:t>
      </w:r>
      <w:proofErr w:type="spellEnd"/>
      <w:r w:rsidRPr="0029167E">
        <w:rPr>
          <w:rFonts w:cstheme="minorBidi"/>
          <w:lang w:val="fr-CH"/>
        </w:rPr>
        <w:t xml:space="preserve"> remis, notamment concernant des hypothèses particulières, </w:t>
      </w:r>
      <w:proofErr w:type="gramStart"/>
      <w:r w:rsidRPr="0029167E">
        <w:rPr>
          <w:rFonts w:cstheme="minorBidi"/>
          <w:lang w:val="fr-CH"/>
        </w:rPr>
        <w:t>des changement</w:t>
      </w:r>
      <w:proofErr w:type="gramEnd"/>
      <w:r w:rsidRPr="0029167E">
        <w:rPr>
          <w:rFonts w:cstheme="minorBidi"/>
          <w:lang w:val="fr-CH"/>
        </w:rPr>
        <w:t xml:space="preserve"> par rapport à l'année précédente, etc.</w:t>
      </w:r>
    </w:p>
    <w:p w14:paraId="482A0BD9" w14:textId="13FB712D" w:rsidR="00B8723E" w:rsidRPr="0029167E" w:rsidRDefault="003C7137" w:rsidP="00D60D73">
      <w:pPr>
        <w:pStyle w:val="Heading3"/>
      </w:pPr>
      <w:bookmarkStart w:id="63" w:name="_Toc534297763"/>
      <w:bookmarkStart w:id="64" w:name="_Toc148955355"/>
      <w:r w:rsidRPr="0029167E">
        <w:lastRenderedPageBreak/>
        <w:t>Risque</w:t>
      </w:r>
      <w:r w:rsidR="00D77454" w:rsidRPr="0029167E">
        <w:t>s</w:t>
      </w:r>
      <w:r w:rsidRPr="0029167E">
        <w:t xml:space="preserve"> de réassurance</w:t>
      </w:r>
      <w:bookmarkEnd w:id="63"/>
      <w:bookmarkEnd w:id="64"/>
    </w:p>
    <w:p w14:paraId="04B1712A" w14:textId="19E70F98" w:rsidR="00351D81" w:rsidRPr="0029167E" w:rsidRDefault="00345C8A" w:rsidP="00D60D73">
      <w:pPr>
        <w:pStyle w:val="FINMAStandardAbsatz"/>
      </w:pPr>
      <w:proofErr w:type="gramStart"/>
      <w:r w:rsidRPr="0029167E">
        <w:rPr>
          <w:i/>
        </w:rPr>
        <w:t xml:space="preserve">&lt; </w:t>
      </w:r>
      <w:r w:rsidR="00A2456B" w:rsidRPr="0029167E">
        <w:rPr>
          <w:i/>
        </w:rPr>
        <w:t xml:space="preserve"> </w:t>
      </w:r>
      <w:r w:rsidR="003D0772" w:rsidRPr="0029167E">
        <w:rPr>
          <w:i/>
        </w:rPr>
        <w:t>En</w:t>
      </w:r>
      <w:proofErr w:type="gramEnd"/>
      <w:r w:rsidR="003D0772" w:rsidRPr="0029167E">
        <w:rPr>
          <w:i/>
        </w:rPr>
        <w:t xml:space="preserve"> général</w:t>
      </w:r>
      <w:r w:rsidR="003D0772" w:rsidRPr="0029167E" w:rsidDel="00A2456B">
        <w:rPr>
          <w:i/>
        </w:rPr>
        <w:t xml:space="preserve"> </w:t>
      </w:r>
      <w:r w:rsidR="003D0772" w:rsidRPr="0029167E">
        <w:rPr>
          <w:i/>
        </w:rPr>
        <w:t>représenté</w:t>
      </w:r>
      <w:r w:rsidR="006C4C79" w:rsidRPr="0029167E">
        <w:rPr>
          <w:i/>
        </w:rPr>
        <w:t>s</w:t>
      </w:r>
      <w:r w:rsidRPr="0029167E">
        <w:rPr>
          <w:i/>
        </w:rPr>
        <w:t xml:space="preserve"> </w:t>
      </w:r>
      <w:r w:rsidR="00737A31" w:rsidRPr="0029167E">
        <w:rPr>
          <w:i/>
        </w:rPr>
        <w:t xml:space="preserve">par le </w:t>
      </w:r>
      <w:r w:rsidRPr="0029167E">
        <w:rPr>
          <w:i/>
        </w:rPr>
        <w:t>modèle standard</w:t>
      </w:r>
      <w:r w:rsidR="00D77454" w:rsidRPr="0029167E">
        <w:rPr>
          <w:i/>
        </w:rPr>
        <w:t xml:space="preserve"> </w:t>
      </w:r>
      <w:proofErr w:type="spellStart"/>
      <w:r w:rsidR="003D0772" w:rsidRPr="0029167E">
        <w:rPr>
          <w:i/>
        </w:rPr>
        <w:t>StandRe</w:t>
      </w:r>
      <w:proofErr w:type="spellEnd"/>
      <w:r w:rsidRPr="0029167E">
        <w:rPr>
          <w:i/>
        </w:rPr>
        <w:t>&gt;</w:t>
      </w:r>
      <w:r w:rsidRPr="0029167E">
        <w:t xml:space="preserve"> </w:t>
      </w:r>
    </w:p>
    <w:p w14:paraId="10155D60" w14:textId="71E1F644" w:rsidR="00B8723E" w:rsidRPr="0029167E" w:rsidRDefault="00386847" w:rsidP="00D60D73">
      <w:pPr>
        <w:pStyle w:val="FINMAStandardAbsatz"/>
      </w:pPr>
      <w:r w:rsidRPr="0029167E">
        <w:t>AER, IE2, AEP, IE1, NE et leur agrégation.</w:t>
      </w:r>
    </w:p>
    <w:p w14:paraId="02D0F6B2" w14:textId="2EAB45F8" w:rsidR="00A71F65" w:rsidRPr="0029167E" w:rsidRDefault="00EA46E8" w:rsidP="00D60D73">
      <w:pPr>
        <w:pStyle w:val="FINMAStandardAbsatz"/>
        <w:rPr>
          <w:rFonts w:cstheme="minorBidi"/>
          <w:lang w:val="fr-CH"/>
        </w:rPr>
      </w:pPr>
      <w:r w:rsidRPr="0029167E">
        <w:rPr>
          <w:rFonts w:cstheme="minorBidi"/>
          <w:lang w:val="fr-CH"/>
        </w:rPr>
        <w:t xml:space="preserve">Explications au sujet des données dans les </w:t>
      </w:r>
      <w:proofErr w:type="spellStart"/>
      <w:r w:rsidRPr="0029167E">
        <w:rPr>
          <w:rFonts w:cstheme="minorBidi"/>
          <w:lang w:val="fr-CH"/>
        </w:rPr>
        <w:t>templates</w:t>
      </w:r>
      <w:proofErr w:type="spellEnd"/>
      <w:r w:rsidRPr="0029167E">
        <w:rPr>
          <w:rFonts w:cstheme="minorBidi"/>
          <w:lang w:val="fr-CH"/>
        </w:rPr>
        <w:t xml:space="preserve"> remis, notamment concernant des hypothèses particulières, </w:t>
      </w:r>
      <w:proofErr w:type="gramStart"/>
      <w:r w:rsidRPr="0029167E">
        <w:rPr>
          <w:rFonts w:cstheme="minorBidi"/>
          <w:lang w:val="fr-CH"/>
        </w:rPr>
        <w:t>des changement</w:t>
      </w:r>
      <w:proofErr w:type="gramEnd"/>
      <w:r w:rsidRPr="0029167E">
        <w:rPr>
          <w:rFonts w:cstheme="minorBidi"/>
          <w:lang w:val="fr-CH"/>
        </w:rPr>
        <w:t xml:space="preserve"> par rapport à l'année précédente, etc.</w:t>
      </w:r>
    </w:p>
    <w:p w14:paraId="12695146" w14:textId="016E8FBC" w:rsidR="002F65A5" w:rsidRPr="0029167E" w:rsidRDefault="002F65A5" w:rsidP="002F65A5">
      <w:pPr>
        <w:pStyle w:val="FINMAStandardAbsatz"/>
      </w:pPr>
      <w:r w:rsidRPr="0029167E">
        <w:rPr>
          <w:rFonts w:cstheme="minorBidi"/>
          <w:lang w:val="fr-CH"/>
        </w:rPr>
        <w:t xml:space="preserve">Explications sur les hypothèses d'inflation retenues aux </w:t>
      </w:r>
      <w:r w:rsidRPr="0029167E">
        <w:rPr>
          <w:rFonts w:cstheme="minorBidi"/>
          <w:i/>
          <w:iCs/>
          <w:lang w:val="fr-CH"/>
        </w:rPr>
        <w:t xml:space="preserve">best </w:t>
      </w:r>
      <w:proofErr w:type="spellStart"/>
      <w:r w:rsidRPr="0029167E">
        <w:rPr>
          <w:rFonts w:cstheme="minorBidi"/>
          <w:i/>
          <w:iCs/>
          <w:lang w:val="fr-CH"/>
        </w:rPr>
        <w:t>estimates</w:t>
      </w:r>
      <w:proofErr w:type="spellEnd"/>
      <w:r w:rsidRPr="0029167E">
        <w:rPr>
          <w:rFonts w:cstheme="minorBidi"/>
          <w:lang w:val="fr-CH"/>
        </w:rPr>
        <w:t xml:space="preserve"> pour les provisions et les nouveaux sinistres. Notamment manière de les prendre en compte par segment </w:t>
      </w:r>
      <w:proofErr w:type="spellStart"/>
      <w:r w:rsidRPr="0029167E">
        <w:rPr>
          <w:rFonts w:cstheme="minorBidi"/>
          <w:lang w:val="fr-CH"/>
        </w:rPr>
        <w:t>StandRe</w:t>
      </w:r>
      <w:proofErr w:type="spellEnd"/>
      <w:r w:rsidRPr="0029167E">
        <w:rPr>
          <w:rFonts w:cstheme="minorBidi"/>
          <w:lang w:val="fr-CH"/>
        </w:rPr>
        <w:t xml:space="preserve"> (directement dans les cash flows ou par facteur forfaitaire), niveau d'inflation attendue avec justification, etc. </w:t>
      </w:r>
    </w:p>
    <w:p w14:paraId="6339E1FA" w14:textId="77777777" w:rsidR="002F65A5" w:rsidRPr="0029167E" w:rsidRDefault="002F65A5" w:rsidP="00D60D73">
      <w:pPr>
        <w:pStyle w:val="FINMAStandardAbsatz"/>
      </w:pPr>
    </w:p>
    <w:p w14:paraId="7F62020A" w14:textId="1A698897" w:rsidR="008B67C6" w:rsidRPr="0029167E" w:rsidRDefault="008B67C6" w:rsidP="00D60D73">
      <w:pPr>
        <w:pStyle w:val="Heading3"/>
      </w:pPr>
      <w:bookmarkStart w:id="65" w:name="_Toc534297764"/>
      <w:bookmarkStart w:id="66" w:name="_Toc148955356"/>
      <w:r w:rsidRPr="0029167E">
        <w:t>Risques des captives de réassurance</w:t>
      </w:r>
      <w:bookmarkEnd w:id="65"/>
      <w:bookmarkEnd w:id="66"/>
    </w:p>
    <w:p w14:paraId="7EA27520" w14:textId="28938EDA" w:rsidR="00351D81" w:rsidRPr="0029167E" w:rsidRDefault="00345C8A" w:rsidP="00D60D73">
      <w:pPr>
        <w:pStyle w:val="FINMAStandardAbsatz"/>
      </w:pPr>
      <w:r w:rsidRPr="0029167E">
        <w:rPr>
          <w:i/>
        </w:rPr>
        <w:t xml:space="preserve">&lt; </w:t>
      </w:r>
      <w:r w:rsidR="006C4C79" w:rsidRPr="0029167E">
        <w:rPr>
          <w:i/>
        </w:rPr>
        <w:t>En général</w:t>
      </w:r>
      <w:r w:rsidR="00A2456B" w:rsidRPr="0029167E" w:rsidDel="00A2456B">
        <w:rPr>
          <w:i/>
        </w:rPr>
        <w:t xml:space="preserve"> </w:t>
      </w:r>
      <w:proofErr w:type="spellStart"/>
      <w:r w:rsidR="003D0772" w:rsidRPr="0029167E">
        <w:rPr>
          <w:i/>
        </w:rPr>
        <w:t>représenté</w:t>
      </w:r>
      <w:r w:rsidR="006C4C79" w:rsidRPr="0029167E">
        <w:rPr>
          <w:i/>
        </w:rPr>
        <w:t>s</w:t>
      </w:r>
      <w:r w:rsidR="00737A31" w:rsidRPr="0029167E">
        <w:rPr>
          <w:i/>
        </w:rPr>
        <w:t>par</w:t>
      </w:r>
      <w:proofErr w:type="spellEnd"/>
      <w:r w:rsidR="00737A31" w:rsidRPr="0029167E">
        <w:rPr>
          <w:i/>
        </w:rPr>
        <w:t xml:space="preserve"> le </w:t>
      </w:r>
      <w:r w:rsidRPr="0029167E">
        <w:rPr>
          <w:i/>
        </w:rPr>
        <w:t>modèle standard</w:t>
      </w:r>
      <w:r w:rsidR="00D77454" w:rsidRPr="0029167E">
        <w:rPr>
          <w:i/>
        </w:rPr>
        <w:t xml:space="preserve"> </w:t>
      </w:r>
      <w:r w:rsidR="003D0772" w:rsidRPr="0029167E">
        <w:rPr>
          <w:i/>
        </w:rPr>
        <w:t xml:space="preserve">pour </w:t>
      </w:r>
      <w:r w:rsidR="00D77454" w:rsidRPr="0029167E">
        <w:rPr>
          <w:i/>
        </w:rPr>
        <w:t>captive de réassurance</w:t>
      </w:r>
      <w:r w:rsidRPr="0029167E">
        <w:rPr>
          <w:i/>
        </w:rPr>
        <w:t>&gt;</w:t>
      </w:r>
      <w:r w:rsidRPr="0029167E">
        <w:t xml:space="preserve"> </w:t>
      </w:r>
    </w:p>
    <w:p w14:paraId="7980B08F" w14:textId="2AA8D12C" w:rsidR="000360ED" w:rsidRPr="0029167E" w:rsidRDefault="00884EF6" w:rsidP="00D60D73">
      <w:pPr>
        <w:pStyle w:val="FINMAStandardAbsatz"/>
      </w:pPr>
      <w:r w:rsidRPr="0029167E">
        <w:t>Risque de provisions, risque de primes et IE3 ainsi que leur agrégation</w:t>
      </w:r>
      <w:r w:rsidR="00D77454" w:rsidRPr="0029167E">
        <w:t>.</w:t>
      </w:r>
    </w:p>
    <w:p w14:paraId="296D47AC" w14:textId="1D244E0D" w:rsidR="00FD48DD" w:rsidRPr="0029167E" w:rsidRDefault="00FD48DD" w:rsidP="00D60D73">
      <w:pPr>
        <w:pStyle w:val="FINMAStandardAbsatz"/>
      </w:pPr>
      <w:r w:rsidRPr="0029167E">
        <w:t xml:space="preserve">Explications au sujet des données dans les </w:t>
      </w:r>
      <w:proofErr w:type="spellStart"/>
      <w:r w:rsidRPr="0029167E">
        <w:t>templates</w:t>
      </w:r>
      <w:proofErr w:type="spellEnd"/>
      <w:r w:rsidRPr="0029167E">
        <w:t xml:space="preserve"> remis, notamment concernant des hypothèses particulières, </w:t>
      </w:r>
      <w:proofErr w:type="gramStart"/>
      <w:r w:rsidRPr="0029167E">
        <w:t>des changement</w:t>
      </w:r>
      <w:proofErr w:type="gramEnd"/>
      <w:r w:rsidRPr="0029167E">
        <w:t xml:space="preserve"> par rapport à l'année précédente, etc.</w:t>
      </w:r>
    </w:p>
    <w:p w14:paraId="4A215932" w14:textId="7C679DCA" w:rsidR="002F65A5" w:rsidRPr="0029167E" w:rsidRDefault="002F65A5" w:rsidP="002F65A5">
      <w:pPr>
        <w:pStyle w:val="FINMAStandardAbsatz"/>
      </w:pPr>
      <w:r w:rsidRPr="0029167E">
        <w:rPr>
          <w:rFonts w:cstheme="minorBidi"/>
          <w:lang w:val="fr-CH"/>
        </w:rPr>
        <w:t xml:space="preserve">Explications sur les hypothèses d'inflation retenues aux </w:t>
      </w:r>
      <w:r w:rsidRPr="0029167E">
        <w:rPr>
          <w:rFonts w:cstheme="minorBidi"/>
          <w:i/>
          <w:iCs/>
          <w:lang w:val="fr-CH"/>
        </w:rPr>
        <w:t xml:space="preserve">best </w:t>
      </w:r>
      <w:proofErr w:type="spellStart"/>
      <w:r w:rsidRPr="0029167E">
        <w:rPr>
          <w:rFonts w:cstheme="minorBidi"/>
          <w:i/>
          <w:iCs/>
          <w:lang w:val="fr-CH"/>
        </w:rPr>
        <w:t>estimates</w:t>
      </w:r>
      <w:proofErr w:type="spellEnd"/>
      <w:r w:rsidRPr="0029167E">
        <w:rPr>
          <w:rFonts w:cstheme="minorBidi"/>
          <w:lang w:val="fr-CH"/>
        </w:rPr>
        <w:t xml:space="preserve"> pour les provisions et les nouveaux sinistres. Notamment manière de les prendre en compte par segment (directement dans les cash flows ou par facteur forfaitaire), niveau d'inflation attendue avec justification, etc. </w:t>
      </w:r>
    </w:p>
    <w:p w14:paraId="4723F957" w14:textId="77777777" w:rsidR="002F65A5" w:rsidRPr="0029167E" w:rsidRDefault="002F65A5" w:rsidP="00D60D73">
      <w:pPr>
        <w:pStyle w:val="FINMAStandardAbsatz"/>
      </w:pPr>
    </w:p>
    <w:p w14:paraId="32F0DBF2" w14:textId="14D312FB" w:rsidR="003D1B5D" w:rsidRPr="0029167E" w:rsidRDefault="00774B39" w:rsidP="00D60D73">
      <w:pPr>
        <w:pStyle w:val="Heading2"/>
      </w:pPr>
      <w:bookmarkStart w:id="67" w:name="_Toc534297765"/>
      <w:bookmarkStart w:id="68" w:name="_Toc148955357"/>
      <w:r w:rsidRPr="0029167E">
        <w:t>Agrégation et diversification</w:t>
      </w:r>
      <w:bookmarkEnd w:id="67"/>
      <w:bookmarkEnd w:id="68"/>
    </w:p>
    <w:p w14:paraId="5D32B42B" w14:textId="22249907" w:rsidR="003D1B5D" w:rsidRPr="0029167E" w:rsidRDefault="00ED41D9" w:rsidP="00D60D73">
      <w:pPr>
        <w:pStyle w:val="FINMAStandardAbsatz"/>
      </w:pPr>
      <w:r w:rsidRPr="0029167E">
        <w:t>Description des effets de l'agrégation, classification des catégories risque</w:t>
      </w:r>
      <w:r w:rsidR="002C3FCA" w:rsidRPr="0029167E">
        <w:t>s</w:t>
      </w:r>
      <w:r w:rsidRPr="0029167E">
        <w:t xml:space="preserve"> </w:t>
      </w:r>
      <w:r w:rsidR="002C3FCA" w:rsidRPr="0029167E">
        <w:t xml:space="preserve">de </w:t>
      </w:r>
      <w:r w:rsidRPr="0029167E">
        <w:t xml:space="preserve">marché, </w:t>
      </w:r>
      <w:r w:rsidR="002C3FCA" w:rsidRPr="0029167E">
        <w:t xml:space="preserve">risques de </w:t>
      </w:r>
      <w:r w:rsidRPr="0029167E">
        <w:t xml:space="preserve">crédit, </w:t>
      </w:r>
      <w:r w:rsidR="002C3FCA" w:rsidRPr="0029167E">
        <w:t>risques d'</w:t>
      </w:r>
      <w:r w:rsidRPr="0029167E">
        <w:t>assurance en fonction de la matérialité, appréciation de leur contribution absolue et relative au risque, plausibilité des effets de diversification</w:t>
      </w:r>
      <w:r w:rsidR="00D77454" w:rsidRPr="0029167E">
        <w:t>.</w:t>
      </w:r>
    </w:p>
    <w:p w14:paraId="13185750" w14:textId="16A71261" w:rsidR="00433163" w:rsidRPr="0029167E" w:rsidRDefault="00433163" w:rsidP="00D60D73">
      <w:pPr>
        <w:pStyle w:val="Heading2"/>
      </w:pPr>
      <w:bookmarkStart w:id="69" w:name="_Toc534297770"/>
      <w:bookmarkStart w:id="70" w:name="_Toc148955358"/>
      <w:r w:rsidRPr="0029167E">
        <w:t>Résultat financier attendu au-dessus du taux sans risque</w:t>
      </w:r>
      <w:bookmarkEnd w:id="69"/>
      <w:bookmarkEnd w:id="70"/>
    </w:p>
    <w:p w14:paraId="233E590A" w14:textId="25257DE5" w:rsidR="00062982" w:rsidRPr="0029167E" w:rsidRDefault="00FA06D9" w:rsidP="00D60D73">
      <w:pPr>
        <w:pStyle w:val="FINMAStandardAbsatz"/>
      </w:pPr>
      <w:r w:rsidRPr="0029167E">
        <w:t xml:space="preserve">Explication du résultat financier attendu en tenant compte du passé récent. </w:t>
      </w:r>
    </w:p>
    <w:tbl>
      <w:tblPr>
        <w:tblW w:w="5529" w:type="dxa"/>
        <w:tblCellMar>
          <w:left w:w="70" w:type="dxa"/>
          <w:right w:w="70" w:type="dxa"/>
        </w:tblCellMar>
        <w:tblLook w:val="04A0" w:firstRow="1" w:lastRow="0" w:firstColumn="1" w:lastColumn="0" w:noHBand="0" w:noVBand="1"/>
      </w:tblPr>
      <w:tblGrid>
        <w:gridCol w:w="2440"/>
        <w:gridCol w:w="200"/>
        <w:gridCol w:w="904"/>
        <w:gridCol w:w="831"/>
        <w:gridCol w:w="185"/>
        <w:gridCol w:w="993"/>
      </w:tblGrid>
      <w:tr w:rsidR="003732D1" w:rsidRPr="0029167E" w14:paraId="5986FDFF" w14:textId="77777777" w:rsidTr="003732D1">
        <w:trPr>
          <w:trHeight w:val="255"/>
        </w:trPr>
        <w:tc>
          <w:tcPr>
            <w:tcW w:w="2440" w:type="dxa"/>
            <w:tcBorders>
              <w:top w:val="nil"/>
              <w:left w:val="nil"/>
              <w:bottom w:val="nil"/>
              <w:right w:val="nil"/>
            </w:tcBorders>
            <w:shd w:val="clear" w:color="auto" w:fill="auto"/>
            <w:noWrap/>
            <w:vAlign w:val="bottom"/>
            <w:hideMark/>
          </w:tcPr>
          <w:p w14:paraId="4639169E" w14:textId="77777777" w:rsidR="003732D1" w:rsidRPr="0029167E" w:rsidRDefault="003732D1" w:rsidP="003732D1">
            <w:pPr>
              <w:keepNext/>
              <w:spacing w:line="240" w:lineRule="auto"/>
              <w:rPr>
                <w:rFonts w:ascii="Times New Roman" w:eastAsia="Times New Roman" w:hAnsi="Times New Roman"/>
                <w:sz w:val="20"/>
                <w:szCs w:val="24"/>
                <w:lang w:val="fr-CH" w:eastAsia="de-CH"/>
              </w:rPr>
            </w:pPr>
          </w:p>
        </w:tc>
        <w:tc>
          <w:tcPr>
            <w:tcW w:w="200" w:type="dxa"/>
            <w:tcBorders>
              <w:top w:val="nil"/>
              <w:left w:val="nil"/>
              <w:bottom w:val="nil"/>
              <w:right w:val="nil"/>
            </w:tcBorders>
            <w:shd w:val="clear" w:color="auto" w:fill="auto"/>
            <w:noWrap/>
            <w:vAlign w:val="bottom"/>
            <w:hideMark/>
          </w:tcPr>
          <w:p w14:paraId="17257402"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904" w:type="dxa"/>
            <w:tcBorders>
              <w:top w:val="nil"/>
              <w:left w:val="nil"/>
              <w:bottom w:val="nil"/>
              <w:right w:val="nil"/>
            </w:tcBorders>
            <w:shd w:val="clear" w:color="000000" w:fill="D9D9D9"/>
            <w:noWrap/>
            <w:vAlign w:val="bottom"/>
            <w:hideMark/>
          </w:tcPr>
          <w:p w14:paraId="12E02494" w14:textId="13B43656" w:rsidR="003732D1" w:rsidRPr="0029167E" w:rsidRDefault="003732D1" w:rsidP="003732D1">
            <w:pPr>
              <w:keepNext/>
              <w:spacing w:line="240" w:lineRule="auto"/>
              <w:rPr>
                <w:rFonts w:eastAsia="Times New Roman" w:cs="Arial"/>
                <w:b/>
                <w:bCs/>
                <w:color w:val="000000"/>
                <w:sz w:val="16"/>
                <w:szCs w:val="16"/>
              </w:rPr>
            </w:pPr>
            <w:r w:rsidRPr="0029167E">
              <w:rPr>
                <w:b/>
                <w:bCs/>
                <w:color w:val="000000"/>
                <w:sz w:val="16"/>
                <w:szCs w:val="16"/>
              </w:rPr>
              <w:t xml:space="preserve">SST </w:t>
            </w:r>
            <w:r w:rsidR="00BF0AA2" w:rsidRPr="0029167E">
              <w:rPr>
                <w:b/>
                <w:bCs/>
                <w:color w:val="000000"/>
                <w:sz w:val="16"/>
                <w:szCs w:val="16"/>
              </w:rPr>
              <w:t>202</w:t>
            </w:r>
            <w:r w:rsidR="00FB4AEB" w:rsidRPr="0029167E">
              <w:rPr>
                <w:b/>
                <w:bCs/>
                <w:color w:val="000000"/>
                <w:sz w:val="16"/>
                <w:szCs w:val="16"/>
              </w:rPr>
              <w:t>4</w:t>
            </w:r>
          </w:p>
        </w:tc>
        <w:tc>
          <w:tcPr>
            <w:tcW w:w="831" w:type="dxa"/>
            <w:tcBorders>
              <w:top w:val="nil"/>
              <w:left w:val="nil"/>
              <w:bottom w:val="nil"/>
              <w:right w:val="nil"/>
            </w:tcBorders>
            <w:shd w:val="clear" w:color="000000" w:fill="D9D9D9"/>
            <w:noWrap/>
            <w:vAlign w:val="bottom"/>
            <w:hideMark/>
          </w:tcPr>
          <w:p w14:paraId="3BE80FEB" w14:textId="77777777"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 </w:t>
            </w:r>
          </w:p>
        </w:tc>
        <w:tc>
          <w:tcPr>
            <w:tcW w:w="161" w:type="dxa"/>
            <w:tcBorders>
              <w:top w:val="nil"/>
              <w:left w:val="nil"/>
              <w:bottom w:val="nil"/>
              <w:right w:val="nil"/>
            </w:tcBorders>
            <w:shd w:val="clear" w:color="auto" w:fill="auto"/>
            <w:noWrap/>
            <w:vAlign w:val="bottom"/>
            <w:hideMark/>
          </w:tcPr>
          <w:p w14:paraId="50B76F28" w14:textId="77777777" w:rsidR="003732D1" w:rsidRPr="0029167E" w:rsidRDefault="003732D1" w:rsidP="003732D1">
            <w:pPr>
              <w:keepNext/>
              <w:spacing w:line="240" w:lineRule="auto"/>
              <w:rPr>
                <w:rFonts w:eastAsia="Times New Roman" w:cs="Arial"/>
                <w:color w:val="000000"/>
                <w:sz w:val="16"/>
                <w:szCs w:val="16"/>
                <w:lang w:val="de-CH" w:eastAsia="de-CH"/>
              </w:rPr>
            </w:pPr>
          </w:p>
        </w:tc>
        <w:tc>
          <w:tcPr>
            <w:tcW w:w="993" w:type="dxa"/>
            <w:tcBorders>
              <w:top w:val="nil"/>
              <w:left w:val="nil"/>
              <w:bottom w:val="nil"/>
              <w:right w:val="nil"/>
            </w:tcBorders>
            <w:shd w:val="clear" w:color="000000" w:fill="D9D9D9"/>
            <w:noWrap/>
            <w:vAlign w:val="bottom"/>
            <w:hideMark/>
          </w:tcPr>
          <w:p w14:paraId="283021A2" w14:textId="0FAC7628" w:rsidR="003732D1" w:rsidRPr="0029167E" w:rsidRDefault="003732D1" w:rsidP="003732D1">
            <w:pPr>
              <w:keepNext/>
              <w:spacing w:line="240" w:lineRule="auto"/>
              <w:rPr>
                <w:rFonts w:eastAsia="Times New Roman" w:cs="Arial"/>
                <w:b/>
                <w:bCs/>
                <w:color w:val="000000"/>
                <w:sz w:val="16"/>
                <w:szCs w:val="16"/>
              </w:rPr>
            </w:pPr>
            <w:r w:rsidRPr="0029167E">
              <w:rPr>
                <w:b/>
                <w:bCs/>
                <w:color w:val="000000"/>
                <w:sz w:val="16"/>
                <w:szCs w:val="16"/>
              </w:rPr>
              <w:t xml:space="preserve">SST </w:t>
            </w:r>
            <w:r w:rsidR="00BF0AA2" w:rsidRPr="0029167E">
              <w:rPr>
                <w:b/>
                <w:bCs/>
                <w:color w:val="000000"/>
                <w:sz w:val="16"/>
                <w:szCs w:val="16"/>
              </w:rPr>
              <w:t>202</w:t>
            </w:r>
            <w:r w:rsidR="00FB4AEB" w:rsidRPr="0029167E">
              <w:rPr>
                <w:b/>
                <w:bCs/>
                <w:color w:val="000000"/>
                <w:sz w:val="16"/>
                <w:szCs w:val="16"/>
              </w:rPr>
              <w:t>3</w:t>
            </w:r>
          </w:p>
        </w:tc>
      </w:tr>
      <w:tr w:rsidR="003732D1" w:rsidRPr="0029167E" w14:paraId="0EC8819B" w14:textId="77777777" w:rsidTr="003732D1">
        <w:trPr>
          <w:trHeight w:val="356"/>
        </w:trPr>
        <w:tc>
          <w:tcPr>
            <w:tcW w:w="2440" w:type="dxa"/>
            <w:tcBorders>
              <w:top w:val="nil"/>
              <w:left w:val="nil"/>
              <w:bottom w:val="nil"/>
              <w:right w:val="nil"/>
            </w:tcBorders>
            <w:shd w:val="clear" w:color="auto" w:fill="auto"/>
            <w:noWrap/>
            <w:vAlign w:val="bottom"/>
            <w:hideMark/>
          </w:tcPr>
          <w:p w14:paraId="2ACAF7AE" w14:textId="77777777" w:rsidR="003732D1" w:rsidRPr="0029167E" w:rsidRDefault="003732D1" w:rsidP="003732D1">
            <w:pPr>
              <w:keepNext/>
              <w:spacing w:line="240" w:lineRule="auto"/>
              <w:rPr>
                <w:rFonts w:eastAsia="Times New Roman" w:cs="Arial"/>
                <w:b/>
                <w:bCs/>
                <w:color w:val="000000"/>
                <w:sz w:val="16"/>
                <w:szCs w:val="16"/>
                <w:lang w:val="de-CH" w:eastAsia="de-CH"/>
              </w:rPr>
            </w:pPr>
          </w:p>
        </w:tc>
        <w:tc>
          <w:tcPr>
            <w:tcW w:w="200" w:type="dxa"/>
            <w:tcBorders>
              <w:top w:val="nil"/>
              <w:left w:val="nil"/>
              <w:bottom w:val="single" w:sz="4" w:space="0" w:color="auto"/>
              <w:right w:val="nil"/>
            </w:tcBorders>
            <w:shd w:val="clear" w:color="auto" w:fill="auto"/>
            <w:vAlign w:val="bottom"/>
            <w:hideMark/>
          </w:tcPr>
          <w:p w14:paraId="478C9219" w14:textId="77777777"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 </w:t>
            </w:r>
          </w:p>
        </w:tc>
        <w:tc>
          <w:tcPr>
            <w:tcW w:w="904" w:type="dxa"/>
            <w:tcBorders>
              <w:top w:val="nil"/>
              <w:left w:val="nil"/>
              <w:bottom w:val="single" w:sz="4" w:space="0" w:color="auto"/>
              <w:right w:val="nil"/>
            </w:tcBorders>
            <w:shd w:val="clear" w:color="000000" w:fill="F2F2F2"/>
            <w:vAlign w:val="bottom"/>
            <w:hideMark/>
          </w:tcPr>
          <w:p w14:paraId="76CD9249" w14:textId="04BD1141"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 xml:space="preserve">Millions de </w:t>
            </w:r>
            <w:r w:rsidR="00012DBC" w:rsidRPr="0029167E">
              <w:rPr>
                <w:color w:val="000000"/>
                <w:sz w:val="16"/>
                <w:szCs w:val="16"/>
              </w:rPr>
              <w:t>&lt;monnaie du SST&gt;</w:t>
            </w:r>
          </w:p>
        </w:tc>
        <w:tc>
          <w:tcPr>
            <w:tcW w:w="831" w:type="dxa"/>
            <w:tcBorders>
              <w:top w:val="nil"/>
              <w:left w:val="nil"/>
              <w:bottom w:val="single" w:sz="4" w:space="0" w:color="auto"/>
              <w:right w:val="nil"/>
            </w:tcBorders>
            <w:shd w:val="clear" w:color="auto" w:fill="auto"/>
            <w:vAlign w:val="bottom"/>
            <w:hideMark/>
          </w:tcPr>
          <w:p w14:paraId="4771E61E" w14:textId="307FFDAC"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Diff</w:t>
            </w:r>
            <w:r w:rsidR="007D010D" w:rsidRPr="0029167E">
              <w:rPr>
                <w:color w:val="000000"/>
                <w:sz w:val="16"/>
                <w:szCs w:val="16"/>
              </w:rPr>
              <w:t>.</w:t>
            </w:r>
            <w:r w:rsidRPr="0029167E">
              <w:rPr>
                <w:color w:val="000000"/>
                <w:sz w:val="16"/>
                <w:szCs w:val="16"/>
              </w:rPr>
              <w:t xml:space="preserve"> rel. </w:t>
            </w:r>
          </w:p>
        </w:tc>
        <w:tc>
          <w:tcPr>
            <w:tcW w:w="161" w:type="dxa"/>
            <w:tcBorders>
              <w:top w:val="nil"/>
              <w:left w:val="nil"/>
              <w:bottom w:val="single" w:sz="4" w:space="0" w:color="auto"/>
              <w:right w:val="nil"/>
            </w:tcBorders>
            <w:shd w:val="clear" w:color="auto" w:fill="auto"/>
            <w:noWrap/>
            <w:vAlign w:val="bottom"/>
            <w:hideMark/>
          </w:tcPr>
          <w:p w14:paraId="7795E071" w14:textId="77777777"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 </w:t>
            </w:r>
          </w:p>
        </w:tc>
        <w:tc>
          <w:tcPr>
            <w:tcW w:w="993" w:type="dxa"/>
            <w:tcBorders>
              <w:top w:val="nil"/>
              <w:left w:val="nil"/>
              <w:bottom w:val="single" w:sz="4" w:space="0" w:color="auto"/>
              <w:right w:val="nil"/>
            </w:tcBorders>
            <w:shd w:val="clear" w:color="000000" w:fill="F2F2F2"/>
            <w:vAlign w:val="bottom"/>
            <w:hideMark/>
          </w:tcPr>
          <w:p w14:paraId="4BD03D32" w14:textId="2FD81F52"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 xml:space="preserve">Millions de </w:t>
            </w:r>
            <w:r w:rsidR="00012DBC" w:rsidRPr="0029167E">
              <w:rPr>
                <w:color w:val="000000"/>
                <w:sz w:val="16"/>
                <w:szCs w:val="16"/>
              </w:rPr>
              <w:t>&lt;monnaie du SST&gt;</w:t>
            </w:r>
          </w:p>
        </w:tc>
      </w:tr>
      <w:tr w:rsidR="003732D1" w:rsidRPr="0029167E" w14:paraId="722F78F2" w14:textId="77777777" w:rsidTr="003732D1">
        <w:trPr>
          <w:trHeight w:val="255"/>
        </w:trPr>
        <w:tc>
          <w:tcPr>
            <w:tcW w:w="2440" w:type="dxa"/>
            <w:tcBorders>
              <w:top w:val="nil"/>
              <w:left w:val="nil"/>
              <w:bottom w:val="nil"/>
              <w:right w:val="nil"/>
            </w:tcBorders>
            <w:shd w:val="clear" w:color="auto" w:fill="auto"/>
            <w:noWrap/>
            <w:vAlign w:val="bottom"/>
            <w:hideMark/>
          </w:tcPr>
          <w:p w14:paraId="3D20D400" w14:textId="77777777" w:rsidR="003732D1" w:rsidRPr="0029167E" w:rsidRDefault="003732D1" w:rsidP="003732D1">
            <w:pPr>
              <w:keepNext/>
              <w:spacing w:line="240" w:lineRule="auto"/>
              <w:rPr>
                <w:rFonts w:eastAsia="Times New Roman" w:cs="Arial"/>
                <w:color w:val="000000"/>
                <w:sz w:val="16"/>
                <w:szCs w:val="16"/>
                <w:lang w:val="fr-CH" w:eastAsia="de-CH"/>
              </w:rPr>
            </w:pPr>
          </w:p>
        </w:tc>
        <w:tc>
          <w:tcPr>
            <w:tcW w:w="200" w:type="dxa"/>
            <w:tcBorders>
              <w:top w:val="nil"/>
              <w:left w:val="nil"/>
              <w:bottom w:val="nil"/>
              <w:right w:val="nil"/>
            </w:tcBorders>
            <w:shd w:val="clear" w:color="auto" w:fill="auto"/>
            <w:noWrap/>
            <w:vAlign w:val="bottom"/>
            <w:hideMark/>
          </w:tcPr>
          <w:p w14:paraId="2F71E2C9"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904" w:type="dxa"/>
            <w:tcBorders>
              <w:top w:val="nil"/>
              <w:left w:val="nil"/>
              <w:bottom w:val="nil"/>
              <w:right w:val="nil"/>
            </w:tcBorders>
            <w:shd w:val="clear" w:color="auto" w:fill="auto"/>
            <w:noWrap/>
            <w:vAlign w:val="bottom"/>
            <w:hideMark/>
          </w:tcPr>
          <w:p w14:paraId="3F160A3E"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831" w:type="dxa"/>
            <w:tcBorders>
              <w:top w:val="nil"/>
              <w:left w:val="nil"/>
              <w:bottom w:val="nil"/>
              <w:right w:val="nil"/>
            </w:tcBorders>
            <w:shd w:val="clear" w:color="auto" w:fill="auto"/>
            <w:noWrap/>
            <w:vAlign w:val="bottom"/>
            <w:hideMark/>
          </w:tcPr>
          <w:p w14:paraId="4B93C277"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161" w:type="dxa"/>
            <w:tcBorders>
              <w:top w:val="nil"/>
              <w:left w:val="nil"/>
              <w:bottom w:val="nil"/>
              <w:right w:val="nil"/>
            </w:tcBorders>
            <w:shd w:val="clear" w:color="auto" w:fill="auto"/>
            <w:noWrap/>
            <w:vAlign w:val="bottom"/>
            <w:hideMark/>
          </w:tcPr>
          <w:p w14:paraId="7E98362E"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993" w:type="dxa"/>
            <w:tcBorders>
              <w:top w:val="nil"/>
              <w:left w:val="nil"/>
              <w:bottom w:val="nil"/>
              <w:right w:val="nil"/>
            </w:tcBorders>
            <w:shd w:val="clear" w:color="auto" w:fill="auto"/>
            <w:noWrap/>
            <w:vAlign w:val="bottom"/>
            <w:hideMark/>
          </w:tcPr>
          <w:p w14:paraId="30637295" w14:textId="77777777" w:rsidR="003732D1" w:rsidRPr="0029167E" w:rsidRDefault="003732D1" w:rsidP="003732D1">
            <w:pPr>
              <w:keepNext/>
              <w:spacing w:line="240" w:lineRule="auto"/>
              <w:rPr>
                <w:rFonts w:ascii="Times New Roman" w:eastAsia="Times New Roman" w:hAnsi="Times New Roman"/>
                <w:sz w:val="20"/>
                <w:lang w:val="fr-CH" w:eastAsia="de-CH"/>
              </w:rPr>
            </w:pPr>
          </w:p>
        </w:tc>
      </w:tr>
      <w:tr w:rsidR="003732D1" w:rsidRPr="0029167E" w14:paraId="38639D97" w14:textId="77777777" w:rsidTr="00643921">
        <w:trPr>
          <w:trHeight w:val="255"/>
        </w:trPr>
        <w:tc>
          <w:tcPr>
            <w:tcW w:w="2440" w:type="dxa"/>
            <w:tcBorders>
              <w:top w:val="nil"/>
              <w:left w:val="nil"/>
              <w:bottom w:val="nil"/>
              <w:right w:val="nil"/>
            </w:tcBorders>
            <w:shd w:val="clear" w:color="000000" w:fill="D9D9D9"/>
            <w:noWrap/>
            <w:vAlign w:val="bottom"/>
            <w:hideMark/>
          </w:tcPr>
          <w:p w14:paraId="223FCC4F" w14:textId="77777777" w:rsidR="003732D1" w:rsidRPr="0029167E" w:rsidRDefault="003732D1" w:rsidP="003732D1">
            <w:pPr>
              <w:keepNext/>
              <w:spacing w:line="240" w:lineRule="auto"/>
              <w:rPr>
                <w:rFonts w:eastAsia="Times New Roman" w:cs="Arial"/>
                <w:color w:val="000000"/>
                <w:sz w:val="16"/>
                <w:szCs w:val="16"/>
              </w:rPr>
            </w:pPr>
            <w:r w:rsidRPr="0029167E">
              <w:rPr>
                <w:color w:val="000000"/>
                <w:sz w:val="16"/>
                <w:szCs w:val="16"/>
              </w:rPr>
              <w:t>Attendu</w:t>
            </w:r>
          </w:p>
        </w:tc>
        <w:tc>
          <w:tcPr>
            <w:tcW w:w="200" w:type="dxa"/>
            <w:tcBorders>
              <w:top w:val="nil"/>
              <w:left w:val="nil"/>
              <w:bottom w:val="nil"/>
              <w:right w:val="nil"/>
            </w:tcBorders>
            <w:shd w:val="clear" w:color="auto" w:fill="auto"/>
            <w:noWrap/>
            <w:vAlign w:val="bottom"/>
            <w:hideMark/>
          </w:tcPr>
          <w:p w14:paraId="048DB7DD" w14:textId="77777777" w:rsidR="003732D1" w:rsidRPr="0029167E" w:rsidRDefault="003732D1" w:rsidP="003732D1">
            <w:pPr>
              <w:keepNext/>
              <w:spacing w:line="240" w:lineRule="auto"/>
              <w:rPr>
                <w:rFonts w:eastAsia="Times New Roman" w:cs="Arial"/>
                <w:color w:val="000000"/>
                <w:sz w:val="16"/>
                <w:szCs w:val="16"/>
                <w:lang w:val="fr-CH" w:eastAsia="de-CH"/>
              </w:rPr>
            </w:pPr>
          </w:p>
        </w:tc>
        <w:tc>
          <w:tcPr>
            <w:tcW w:w="904" w:type="dxa"/>
            <w:tcBorders>
              <w:top w:val="nil"/>
              <w:left w:val="nil"/>
              <w:bottom w:val="nil"/>
              <w:right w:val="nil"/>
            </w:tcBorders>
            <w:shd w:val="clear" w:color="000000" w:fill="D9D9D9"/>
            <w:noWrap/>
            <w:vAlign w:val="bottom"/>
          </w:tcPr>
          <w:p w14:paraId="4BD33F80" w14:textId="5044F134" w:rsidR="003732D1" w:rsidRPr="0029167E" w:rsidRDefault="003732D1" w:rsidP="003732D1">
            <w:pPr>
              <w:keepNext/>
              <w:spacing w:line="240" w:lineRule="auto"/>
              <w:jc w:val="right"/>
              <w:rPr>
                <w:rFonts w:eastAsia="Times New Roman" w:cs="Arial"/>
                <w:color w:val="000000"/>
                <w:sz w:val="16"/>
                <w:szCs w:val="16"/>
                <w:lang w:val="fr-CH" w:eastAsia="de-CH"/>
              </w:rPr>
            </w:pPr>
          </w:p>
        </w:tc>
        <w:tc>
          <w:tcPr>
            <w:tcW w:w="831" w:type="dxa"/>
            <w:tcBorders>
              <w:top w:val="nil"/>
              <w:left w:val="nil"/>
              <w:bottom w:val="nil"/>
              <w:right w:val="nil"/>
            </w:tcBorders>
            <w:shd w:val="clear" w:color="auto" w:fill="auto"/>
            <w:noWrap/>
            <w:vAlign w:val="bottom"/>
          </w:tcPr>
          <w:p w14:paraId="0237DD68" w14:textId="4DBFC066" w:rsidR="003732D1" w:rsidRPr="0029167E" w:rsidRDefault="003732D1" w:rsidP="003732D1">
            <w:pPr>
              <w:keepNext/>
              <w:spacing w:line="240" w:lineRule="auto"/>
              <w:jc w:val="right"/>
              <w:rPr>
                <w:rFonts w:eastAsia="Times New Roman" w:cs="Arial"/>
                <w:color w:val="000000"/>
                <w:sz w:val="16"/>
                <w:szCs w:val="16"/>
                <w:lang w:val="fr-CH" w:eastAsia="de-CH"/>
              </w:rPr>
            </w:pPr>
          </w:p>
        </w:tc>
        <w:tc>
          <w:tcPr>
            <w:tcW w:w="161" w:type="dxa"/>
            <w:tcBorders>
              <w:top w:val="nil"/>
              <w:left w:val="nil"/>
              <w:bottom w:val="nil"/>
              <w:right w:val="nil"/>
            </w:tcBorders>
            <w:shd w:val="clear" w:color="auto" w:fill="auto"/>
            <w:noWrap/>
            <w:vAlign w:val="bottom"/>
          </w:tcPr>
          <w:p w14:paraId="34359255" w14:textId="77777777" w:rsidR="003732D1" w:rsidRPr="0029167E" w:rsidRDefault="003732D1" w:rsidP="003732D1">
            <w:pPr>
              <w:keepNext/>
              <w:spacing w:line="240" w:lineRule="auto"/>
              <w:jc w:val="right"/>
              <w:rPr>
                <w:rFonts w:eastAsia="Times New Roman" w:cs="Arial"/>
                <w:color w:val="000000"/>
                <w:sz w:val="16"/>
                <w:szCs w:val="16"/>
                <w:lang w:val="fr-CH" w:eastAsia="de-CH"/>
              </w:rPr>
            </w:pPr>
          </w:p>
        </w:tc>
        <w:tc>
          <w:tcPr>
            <w:tcW w:w="993" w:type="dxa"/>
            <w:tcBorders>
              <w:top w:val="nil"/>
              <w:left w:val="nil"/>
              <w:bottom w:val="nil"/>
              <w:right w:val="nil"/>
            </w:tcBorders>
            <w:shd w:val="clear" w:color="000000" w:fill="D9D9D9"/>
            <w:noWrap/>
            <w:vAlign w:val="bottom"/>
          </w:tcPr>
          <w:p w14:paraId="063B9F86" w14:textId="2C1571E9" w:rsidR="003732D1" w:rsidRPr="0029167E" w:rsidRDefault="003732D1" w:rsidP="003732D1">
            <w:pPr>
              <w:keepNext/>
              <w:spacing w:line="240" w:lineRule="auto"/>
              <w:jc w:val="right"/>
              <w:rPr>
                <w:rFonts w:eastAsia="Times New Roman" w:cs="Arial"/>
                <w:color w:val="000000"/>
                <w:sz w:val="16"/>
                <w:szCs w:val="16"/>
                <w:lang w:val="fr-CH" w:eastAsia="de-CH"/>
              </w:rPr>
            </w:pPr>
          </w:p>
        </w:tc>
      </w:tr>
      <w:tr w:rsidR="003732D1" w:rsidRPr="0029167E" w14:paraId="3D6284A9" w14:textId="77777777" w:rsidTr="00643921">
        <w:trPr>
          <w:trHeight w:val="255"/>
        </w:trPr>
        <w:tc>
          <w:tcPr>
            <w:tcW w:w="2440" w:type="dxa"/>
            <w:tcBorders>
              <w:top w:val="nil"/>
              <w:left w:val="nil"/>
              <w:bottom w:val="nil"/>
              <w:right w:val="nil"/>
            </w:tcBorders>
            <w:shd w:val="clear" w:color="auto" w:fill="auto"/>
            <w:noWrap/>
            <w:vAlign w:val="bottom"/>
            <w:hideMark/>
          </w:tcPr>
          <w:p w14:paraId="60A16F63" w14:textId="77777777" w:rsidR="003732D1" w:rsidRPr="0029167E" w:rsidRDefault="003732D1" w:rsidP="003732D1">
            <w:pPr>
              <w:keepNext/>
              <w:spacing w:line="240" w:lineRule="auto"/>
              <w:jc w:val="right"/>
              <w:rPr>
                <w:rFonts w:eastAsia="Times New Roman" w:cs="Arial"/>
                <w:color w:val="000000"/>
                <w:sz w:val="16"/>
                <w:szCs w:val="16"/>
                <w:lang w:val="fr-CH" w:eastAsia="de-CH"/>
              </w:rPr>
            </w:pPr>
          </w:p>
        </w:tc>
        <w:tc>
          <w:tcPr>
            <w:tcW w:w="200" w:type="dxa"/>
            <w:tcBorders>
              <w:top w:val="nil"/>
              <w:left w:val="nil"/>
              <w:bottom w:val="nil"/>
              <w:right w:val="nil"/>
            </w:tcBorders>
            <w:shd w:val="clear" w:color="auto" w:fill="auto"/>
            <w:noWrap/>
            <w:vAlign w:val="bottom"/>
            <w:hideMark/>
          </w:tcPr>
          <w:p w14:paraId="2C3B1862"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904" w:type="dxa"/>
            <w:tcBorders>
              <w:top w:val="nil"/>
              <w:left w:val="nil"/>
              <w:bottom w:val="nil"/>
              <w:right w:val="nil"/>
            </w:tcBorders>
            <w:shd w:val="clear" w:color="auto" w:fill="auto"/>
            <w:noWrap/>
            <w:vAlign w:val="bottom"/>
          </w:tcPr>
          <w:p w14:paraId="72234542"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831" w:type="dxa"/>
            <w:tcBorders>
              <w:top w:val="nil"/>
              <w:left w:val="nil"/>
              <w:bottom w:val="nil"/>
              <w:right w:val="nil"/>
            </w:tcBorders>
            <w:shd w:val="clear" w:color="auto" w:fill="auto"/>
            <w:noWrap/>
            <w:vAlign w:val="bottom"/>
          </w:tcPr>
          <w:p w14:paraId="4E24F720"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161" w:type="dxa"/>
            <w:tcBorders>
              <w:top w:val="nil"/>
              <w:left w:val="nil"/>
              <w:bottom w:val="nil"/>
              <w:right w:val="nil"/>
            </w:tcBorders>
            <w:shd w:val="clear" w:color="auto" w:fill="auto"/>
            <w:noWrap/>
            <w:vAlign w:val="bottom"/>
          </w:tcPr>
          <w:p w14:paraId="7B297418" w14:textId="77777777" w:rsidR="003732D1" w:rsidRPr="0029167E" w:rsidRDefault="003732D1" w:rsidP="003732D1">
            <w:pPr>
              <w:keepNext/>
              <w:spacing w:line="240" w:lineRule="auto"/>
              <w:rPr>
                <w:rFonts w:ascii="Times New Roman" w:eastAsia="Times New Roman" w:hAnsi="Times New Roman"/>
                <w:sz w:val="20"/>
                <w:lang w:val="fr-CH" w:eastAsia="de-CH"/>
              </w:rPr>
            </w:pPr>
          </w:p>
        </w:tc>
        <w:tc>
          <w:tcPr>
            <w:tcW w:w="993" w:type="dxa"/>
            <w:tcBorders>
              <w:top w:val="nil"/>
              <w:left w:val="nil"/>
              <w:bottom w:val="nil"/>
              <w:right w:val="nil"/>
            </w:tcBorders>
            <w:shd w:val="clear" w:color="auto" w:fill="auto"/>
            <w:noWrap/>
            <w:vAlign w:val="bottom"/>
          </w:tcPr>
          <w:p w14:paraId="0057A506" w14:textId="77777777" w:rsidR="003732D1" w:rsidRPr="0029167E" w:rsidRDefault="003732D1" w:rsidP="003732D1">
            <w:pPr>
              <w:keepNext/>
              <w:spacing w:line="240" w:lineRule="auto"/>
              <w:rPr>
                <w:rFonts w:ascii="Times New Roman" w:eastAsia="Times New Roman" w:hAnsi="Times New Roman"/>
                <w:sz w:val="20"/>
                <w:lang w:val="fr-CH" w:eastAsia="de-CH"/>
              </w:rPr>
            </w:pPr>
          </w:p>
        </w:tc>
      </w:tr>
      <w:tr w:rsidR="003732D1" w:rsidRPr="0029167E" w14:paraId="5FA1491D" w14:textId="77777777" w:rsidTr="003732D1">
        <w:trPr>
          <w:trHeight w:val="450"/>
        </w:trPr>
        <w:tc>
          <w:tcPr>
            <w:tcW w:w="2440" w:type="dxa"/>
            <w:tcBorders>
              <w:top w:val="nil"/>
              <w:left w:val="nil"/>
              <w:bottom w:val="nil"/>
              <w:right w:val="nil"/>
            </w:tcBorders>
            <w:shd w:val="clear" w:color="000000" w:fill="D9D9D9"/>
            <w:vAlign w:val="bottom"/>
            <w:hideMark/>
          </w:tcPr>
          <w:p w14:paraId="07882B0E" w14:textId="77777777" w:rsidR="003732D1" w:rsidRPr="0029167E" w:rsidRDefault="003732D1" w:rsidP="003732D1">
            <w:pPr>
              <w:spacing w:line="240" w:lineRule="auto"/>
              <w:rPr>
                <w:rFonts w:eastAsia="Times New Roman" w:cs="Arial"/>
                <w:color w:val="000000"/>
                <w:sz w:val="16"/>
                <w:szCs w:val="16"/>
              </w:rPr>
            </w:pPr>
            <w:r w:rsidRPr="0029167E">
              <w:rPr>
                <w:color w:val="000000"/>
                <w:sz w:val="16"/>
                <w:szCs w:val="16"/>
              </w:rPr>
              <w:t xml:space="preserve">Effectif (observation </w:t>
            </w:r>
            <w:r w:rsidRPr="0029167E">
              <w:rPr>
                <w:i/>
                <w:iCs/>
                <w:color w:val="000000"/>
                <w:sz w:val="16"/>
                <w:szCs w:val="16"/>
              </w:rPr>
              <w:t>ex post</w:t>
            </w:r>
            <w:r w:rsidRPr="0029167E">
              <w:rPr>
                <w:color w:val="000000"/>
                <w:sz w:val="16"/>
                <w:szCs w:val="16"/>
              </w:rPr>
              <w:t>)</w:t>
            </w:r>
          </w:p>
        </w:tc>
        <w:tc>
          <w:tcPr>
            <w:tcW w:w="200" w:type="dxa"/>
            <w:tcBorders>
              <w:top w:val="nil"/>
              <w:left w:val="nil"/>
              <w:bottom w:val="nil"/>
              <w:right w:val="nil"/>
            </w:tcBorders>
            <w:shd w:val="clear" w:color="auto" w:fill="auto"/>
            <w:noWrap/>
            <w:vAlign w:val="bottom"/>
            <w:hideMark/>
          </w:tcPr>
          <w:p w14:paraId="0DE869EB" w14:textId="77777777" w:rsidR="003732D1" w:rsidRPr="0029167E" w:rsidRDefault="003732D1" w:rsidP="003732D1">
            <w:pPr>
              <w:spacing w:line="240" w:lineRule="auto"/>
              <w:rPr>
                <w:rFonts w:eastAsia="Times New Roman" w:cs="Arial"/>
                <w:color w:val="000000"/>
                <w:sz w:val="16"/>
                <w:szCs w:val="16"/>
                <w:lang w:val="fr-CH" w:eastAsia="de-CH"/>
              </w:rPr>
            </w:pPr>
          </w:p>
        </w:tc>
        <w:tc>
          <w:tcPr>
            <w:tcW w:w="904" w:type="dxa"/>
            <w:tcBorders>
              <w:top w:val="nil"/>
              <w:left w:val="nil"/>
              <w:bottom w:val="nil"/>
              <w:right w:val="nil"/>
            </w:tcBorders>
            <w:shd w:val="clear" w:color="000000" w:fill="D9D9D9"/>
            <w:noWrap/>
            <w:vAlign w:val="bottom"/>
            <w:hideMark/>
          </w:tcPr>
          <w:p w14:paraId="283407D5" w14:textId="77777777" w:rsidR="003732D1" w:rsidRPr="0029167E" w:rsidRDefault="003732D1" w:rsidP="003732D1">
            <w:pPr>
              <w:spacing w:line="240" w:lineRule="auto"/>
              <w:rPr>
                <w:rFonts w:eastAsia="Times New Roman" w:cs="Arial"/>
                <w:color w:val="000000"/>
                <w:sz w:val="16"/>
                <w:szCs w:val="16"/>
              </w:rPr>
            </w:pPr>
            <w:proofErr w:type="spellStart"/>
            <w:r w:rsidRPr="0029167E">
              <w:rPr>
                <w:color w:val="000000"/>
                <w:sz w:val="16"/>
                <w:szCs w:val="16"/>
              </w:rPr>
              <w:t>n.d</w:t>
            </w:r>
            <w:proofErr w:type="spellEnd"/>
            <w:r w:rsidRPr="0029167E">
              <w:rPr>
                <w:color w:val="000000"/>
                <w:sz w:val="16"/>
                <w:szCs w:val="16"/>
              </w:rPr>
              <w:t>.</w:t>
            </w:r>
          </w:p>
        </w:tc>
        <w:tc>
          <w:tcPr>
            <w:tcW w:w="831" w:type="dxa"/>
            <w:tcBorders>
              <w:top w:val="nil"/>
              <w:left w:val="nil"/>
              <w:bottom w:val="nil"/>
              <w:right w:val="nil"/>
            </w:tcBorders>
            <w:shd w:val="clear" w:color="auto" w:fill="auto"/>
            <w:noWrap/>
            <w:vAlign w:val="bottom"/>
            <w:hideMark/>
          </w:tcPr>
          <w:p w14:paraId="6F1D3757" w14:textId="77777777" w:rsidR="003732D1" w:rsidRPr="0029167E" w:rsidRDefault="003732D1" w:rsidP="003732D1">
            <w:pPr>
              <w:spacing w:line="240" w:lineRule="auto"/>
              <w:rPr>
                <w:rFonts w:eastAsia="Times New Roman" w:cs="Arial"/>
                <w:color w:val="000000"/>
                <w:sz w:val="16"/>
                <w:szCs w:val="16"/>
                <w:lang w:val="fr-CH" w:eastAsia="de-CH"/>
              </w:rPr>
            </w:pPr>
          </w:p>
        </w:tc>
        <w:tc>
          <w:tcPr>
            <w:tcW w:w="161" w:type="dxa"/>
            <w:tcBorders>
              <w:top w:val="nil"/>
              <w:left w:val="nil"/>
              <w:bottom w:val="nil"/>
              <w:right w:val="nil"/>
            </w:tcBorders>
            <w:shd w:val="clear" w:color="auto" w:fill="auto"/>
            <w:noWrap/>
            <w:vAlign w:val="bottom"/>
            <w:hideMark/>
          </w:tcPr>
          <w:p w14:paraId="4EE0F0F4" w14:textId="77777777" w:rsidR="003732D1" w:rsidRPr="0029167E" w:rsidRDefault="003732D1" w:rsidP="003732D1">
            <w:pPr>
              <w:spacing w:line="240" w:lineRule="auto"/>
              <w:rPr>
                <w:rFonts w:ascii="Times New Roman" w:eastAsia="Times New Roman" w:hAnsi="Times New Roman"/>
                <w:sz w:val="20"/>
                <w:lang w:val="fr-CH" w:eastAsia="de-CH"/>
              </w:rPr>
            </w:pPr>
          </w:p>
        </w:tc>
        <w:tc>
          <w:tcPr>
            <w:tcW w:w="993" w:type="dxa"/>
            <w:tcBorders>
              <w:top w:val="nil"/>
              <w:left w:val="nil"/>
              <w:bottom w:val="nil"/>
              <w:right w:val="nil"/>
            </w:tcBorders>
            <w:shd w:val="clear" w:color="000000" w:fill="D9D9D9"/>
            <w:noWrap/>
            <w:vAlign w:val="bottom"/>
            <w:hideMark/>
          </w:tcPr>
          <w:p w14:paraId="26888D4B" w14:textId="3F0A87E9" w:rsidR="003732D1" w:rsidRPr="0029167E" w:rsidRDefault="003732D1" w:rsidP="003732D1">
            <w:pPr>
              <w:spacing w:line="240" w:lineRule="auto"/>
              <w:rPr>
                <w:rFonts w:eastAsia="Times New Roman" w:cs="Arial"/>
                <w:color w:val="000000"/>
                <w:sz w:val="16"/>
                <w:szCs w:val="16"/>
              </w:rPr>
            </w:pPr>
            <w:r w:rsidRPr="0029167E">
              <w:rPr>
                <w:color w:val="000000"/>
                <w:sz w:val="16"/>
                <w:szCs w:val="16"/>
              </w:rPr>
              <w:t> </w:t>
            </w:r>
          </w:p>
        </w:tc>
      </w:tr>
    </w:tbl>
    <w:p w14:paraId="711CFA56" w14:textId="09554427" w:rsidR="0039434F" w:rsidRPr="0029167E" w:rsidRDefault="0039434F" w:rsidP="00D60D73">
      <w:pPr>
        <w:pStyle w:val="Heading2"/>
      </w:pPr>
      <w:bookmarkStart w:id="71" w:name="_Toc148955359"/>
      <w:bookmarkStart w:id="72" w:name="_Toc534297771"/>
      <w:r w:rsidRPr="0029167E">
        <w:lastRenderedPageBreak/>
        <w:t>Résultat d’assurance attendu</w:t>
      </w:r>
      <w:bookmarkEnd w:id="71"/>
      <w:r w:rsidRPr="0029167E">
        <w:t xml:space="preserve"> </w:t>
      </w:r>
      <w:bookmarkEnd w:id="72"/>
    </w:p>
    <w:p w14:paraId="291DB0F1" w14:textId="08B63971" w:rsidR="0013175E" w:rsidRPr="0029167E" w:rsidRDefault="0013175E" w:rsidP="00D60D73">
      <w:pPr>
        <w:pStyle w:val="FINMAStandardAbsatz"/>
        <w:rPr>
          <w:i/>
        </w:rPr>
      </w:pPr>
      <w:r w:rsidRPr="0029167E">
        <w:rPr>
          <w:i/>
        </w:rPr>
        <w:t xml:space="preserve">Conformément à la prise en compte possible </w:t>
      </w:r>
      <w:r w:rsidR="009076FD" w:rsidRPr="0029167E">
        <w:rPr>
          <w:i/>
        </w:rPr>
        <w:t>selon</w:t>
      </w:r>
      <w:r w:rsidRPr="0029167E">
        <w:rPr>
          <w:i/>
        </w:rPr>
        <w:t xml:space="preserve"> le modèle </w:t>
      </w:r>
      <w:proofErr w:type="gramStart"/>
      <w:r w:rsidRPr="0029167E">
        <w:rPr>
          <w:i/>
        </w:rPr>
        <w:t>utilisé:</w:t>
      </w:r>
      <w:proofErr w:type="gramEnd"/>
      <w:r w:rsidRPr="0029167E">
        <w:rPr>
          <w:i/>
        </w:rPr>
        <w:t xml:space="preserve"> </w:t>
      </w:r>
    </w:p>
    <w:p w14:paraId="1D03E75B" w14:textId="56FB708E" w:rsidR="00062982" w:rsidRPr="0029167E" w:rsidRDefault="00062982" w:rsidP="00D60D73">
      <w:pPr>
        <w:pStyle w:val="FINMAStandardAbsatz"/>
      </w:pPr>
      <w:r w:rsidRPr="0029167E">
        <w:t>Explication du résultat d'assurance attendu en tenant compte du passé récent.</w:t>
      </w:r>
    </w:p>
    <w:tbl>
      <w:tblPr>
        <w:tblW w:w="8549" w:type="dxa"/>
        <w:tblCellMar>
          <w:left w:w="70" w:type="dxa"/>
          <w:right w:w="70" w:type="dxa"/>
        </w:tblCellMar>
        <w:tblLook w:val="04A0" w:firstRow="1" w:lastRow="0" w:firstColumn="1" w:lastColumn="0" w:noHBand="0" w:noVBand="1"/>
      </w:tblPr>
      <w:tblGrid>
        <w:gridCol w:w="2291"/>
        <w:gridCol w:w="198"/>
        <w:gridCol w:w="969"/>
        <w:gridCol w:w="785"/>
        <w:gridCol w:w="253"/>
        <w:gridCol w:w="950"/>
        <w:gridCol w:w="950"/>
        <w:gridCol w:w="253"/>
        <w:gridCol w:w="950"/>
        <w:gridCol w:w="950"/>
      </w:tblGrid>
      <w:tr w:rsidR="009076FD" w:rsidRPr="0029167E" w14:paraId="6C359B4E" w14:textId="77777777" w:rsidTr="00F83BD9">
        <w:trPr>
          <w:trHeight w:val="259"/>
        </w:trPr>
        <w:tc>
          <w:tcPr>
            <w:tcW w:w="2291" w:type="dxa"/>
            <w:tcBorders>
              <w:top w:val="nil"/>
              <w:left w:val="nil"/>
              <w:bottom w:val="nil"/>
              <w:right w:val="nil"/>
            </w:tcBorders>
            <w:shd w:val="clear" w:color="auto" w:fill="auto"/>
            <w:noWrap/>
            <w:vAlign w:val="bottom"/>
            <w:hideMark/>
          </w:tcPr>
          <w:p w14:paraId="41069B1F" w14:textId="77777777" w:rsidR="009076FD" w:rsidRPr="0029167E" w:rsidRDefault="009076FD" w:rsidP="00F83BD9">
            <w:pPr>
              <w:spacing w:line="240" w:lineRule="auto"/>
              <w:rPr>
                <w:rFonts w:ascii="Times New Roman" w:eastAsia="Times New Roman" w:hAnsi="Times New Roman"/>
                <w:sz w:val="20"/>
                <w:szCs w:val="24"/>
                <w:lang w:val="fr-CH" w:eastAsia="fr-CH"/>
              </w:rPr>
            </w:pPr>
          </w:p>
        </w:tc>
        <w:tc>
          <w:tcPr>
            <w:tcW w:w="198" w:type="dxa"/>
            <w:tcBorders>
              <w:top w:val="nil"/>
              <w:left w:val="nil"/>
              <w:bottom w:val="nil"/>
              <w:right w:val="nil"/>
            </w:tcBorders>
            <w:shd w:val="clear" w:color="000000" w:fill="FFFFFF"/>
            <w:noWrap/>
            <w:vAlign w:val="bottom"/>
            <w:hideMark/>
          </w:tcPr>
          <w:p w14:paraId="3579C21D" w14:textId="77777777" w:rsidR="009076FD" w:rsidRPr="0029167E" w:rsidRDefault="009076FD" w:rsidP="00F83BD9">
            <w:pPr>
              <w:spacing w:line="240" w:lineRule="auto"/>
              <w:rPr>
                <w:rFonts w:eastAsia="Times New Roman" w:cs="Arial"/>
                <w:color w:val="000000"/>
                <w:sz w:val="16"/>
                <w:szCs w:val="16"/>
                <w:lang w:val="fr-CH" w:eastAsia="fr-CH"/>
              </w:rPr>
            </w:pPr>
            <w:r w:rsidRPr="0029167E">
              <w:rPr>
                <w:rFonts w:eastAsia="Times New Roman" w:cs="Arial"/>
                <w:color w:val="000000"/>
                <w:sz w:val="16"/>
                <w:szCs w:val="16"/>
                <w:lang w:val="fr-CH" w:eastAsia="fr-CH"/>
              </w:rPr>
              <w:t> </w:t>
            </w:r>
          </w:p>
        </w:tc>
        <w:tc>
          <w:tcPr>
            <w:tcW w:w="969" w:type="dxa"/>
            <w:tcBorders>
              <w:top w:val="nil"/>
              <w:left w:val="nil"/>
              <w:bottom w:val="nil"/>
              <w:right w:val="nil"/>
            </w:tcBorders>
            <w:shd w:val="clear" w:color="000000" w:fill="D9D9D9"/>
            <w:noWrap/>
            <w:vAlign w:val="bottom"/>
            <w:hideMark/>
          </w:tcPr>
          <w:p w14:paraId="1B18A1D0" w14:textId="77777777" w:rsidR="009076FD" w:rsidRPr="0029167E" w:rsidRDefault="009076FD" w:rsidP="00F83BD9">
            <w:pPr>
              <w:spacing w:line="240" w:lineRule="auto"/>
              <w:rPr>
                <w:rFonts w:eastAsia="Times New Roman" w:cs="Arial"/>
                <w:b/>
                <w:bCs/>
                <w:color w:val="000000"/>
                <w:sz w:val="16"/>
                <w:szCs w:val="16"/>
                <w:lang w:eastAsia="fr-CH"/>
              </w:rPr>
            </w:pPr>
            <w:r w:rsidRPr="0029167E">
              <w:rPr>
                <w:rFonts w:eastAsia="Times New Roman" w:cs="Arial"/>
                <w:b/>
                <w:bCs/>
                <w:color w:val="000000"/>
                <w:sz w:val="16"/>
                <w:szCs w:val="16"/>
                <w:lang w:eastAsia="fr-CH"/>
              </w:rPr>
              <w:t>SST 2024</w:t>
            </w:r>
          </w:p>
        </w:tc>
        <w:tc>
          <w:tcPr>
            <w:tcW w:w="785" w:type="dxa"/>
            <w:tcBorders>
              <w:top w:val="nil"/>
              <w:left w:val="nil"/>
              <w:bottom w:val="nil"/>
              <w:right w:val="nil"/>
            </w:tcBorders>
            <w:shd w:val="clear" w:color="000000" w:fill="D9D9D9"/>
            <w:noWrap/>
            <w:vAlign w:val="bottom"/>
            <w:hideMark/>
          </w:tcPr>
          <w:p w14:paraId="1B0462C9"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253" w:type="dxa"/>
            <w:tcBorders>
              <w:top w:val="nil"/>
              <w:left w:val="nil"/>
              <w:bottom w:val="nil"/>
              <w:right w:val="nil"/>
            </w:tcBorders>
            <w:shd w:val="clear" w:color="000000" w:fill="FFFFFF"/>
            <w:noWrap/>
            <w:vAlign w:val="bottom"/>
            <w:hideMark/>
          </w:tcPr>
          <w:p w14:paraId="124E71AB"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nil"/>
              <w:right w:val="nil"/>
            </w:tcBorders>
            <w:shd w:val="clear" w:color="000000" w:fill="D9D9D9"/>
            <w:noWrap/>
            <w:vAlign w:val="bottom"/>
            <w:hideMark/>
          </w:tcPr>
          <w:p w14:paraId="666B6CE2" w14:textId="77777777" w:rsidR="009076FD" w:rsidRPr="0029167E" w:rsidRDefault="009076FD" w:rsidP="00F83BD9">
            <w:pPr>
              <w:spacing w:line="240" w:lineRule="auto"/>
              <w:rPr>
                <w:rFonts w:eastAsia="Times New Roman" w:cs="Arial"/>
                <w:b/>
                <w:bCs/>
                <w:color w:val="000000"/>
                <w:sz w:val="16"/>
                <w:szCs w:val="16"/>
                <w:lang w:eastAsia="fr-CH"/>
              </w:rPr>
            </w:pPr>
            <w:r w:rsidRPr="0029167E">
              <w:rPr>
                <w:rFonts w:eastAsia="Times New Roman" w:cs="Arial"/>
                <w:b/>
                <w:bCs/>
                <w:color w:val="000000"/>
                <w:sz w:val="16"/>
                <w:szCs w:val="16"/>
                <w:lang w:eastAsia="fr-CH"/>
              </w:rPr>
              <w:t>SST 2023</w:t>
            </w:r>
          </w:p>
        </w:tc>
        <w:tc>
          <w:tcPr>
            <w:tcW w:w="950" w:type="dxa"/>
            <w:tcBorders>
              <w:top w:val="nil"/>
              <w:left w:val="nil"/>
              <w:bottom w:val="nil"/>
              <w:right w:val="nil"/>
            </w:tcBorders>
            <w:shd w:val="clear" w:color="000000" w:fill="FFFFFF"/>
            <w:noWrap/>
            <w:vAlign w:val="bottom"/>
            <w:hideMark/>
          </w:tcPr>
          <w:p w14:paraId="423D0A0B"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253" w:type="dxa"/>
            <w:tcBorders>
              <w:top w:val="nil"/>
              <w:left w:val="nil"/>
              <w:bottom w:val="nil"/>
              <w:right w:val="nil"/>
            </w:tcBorders>
            <w:shd w:val="clear" w:color="000000" w:fill="FFFFFF"/>
            <w:noWrap/>
            <w:vAlign w:val="bottom"/>
            <w:hideMark/>
          </w:tcPr>
          <w:p w14:paraId="3AB73012"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nil"/>
              <w:right w:val="nil"/>
            </w:tcBorders>
            <w:shd w:val="clear" w:color="000000" w:fill="D9D9D9"/>
            <w:noWrap/>
            <w:vAlign w:val="bottom"/>
            <w:hideMark/>
          </w:tcPr>
          <w:p w14:paraId="20BC07D8" w14:textId="77777777" w:rsidR="009076FD" w:rsidRPr="0029167E" w:rsidRDefault="009076FD" w:rsidP="00F83BD9">
            <w:pPr>
              <w:spacing w:line="240" w:lineRule="auto"/>
              <w:rPr>
                <w:rFonts w:eastAsia="Times New Roman" w:cs="Arial"/>
                <w:b/>
                <w:bCs/>
                <w:color w:val="000000"/>
                <w:sz w:val="16"/>
                <w:szCs w:val="16"/>
                <w:lang w:eastAsia="fr-CH"/>
              </w:rPr>
            </w:pPr>
            <w:r w:rsidRPr="0029167E">
              <w:rPr>
                <w:rFonts w:eastAsia="Times New Roman" w:cs="Arial"/>
                <w:b/>
                <w:bCs/>
                <w:color w:val="000000"/>
                <w:sz w:val="16"/>
                <w:szCs w:val="16"/>
                <w:lang w:eastAsia="fr-CH"/>
              </w:rPr>
              <w:t>SST 2022</w:t>
            </w:r>
          </w:p>
        </w:tc>
        <w:tc>
          <w:tcPr>
            <w:tcW w:w="950" w:type="dxa"/>
            <w:tcBorders>
              <w:top w:val="nil"/>
              <w:left w:val="nil"/>
              <w:bottom w:val="nil"/>
              <w:right w:val="nil"/>
            </w:tcBorders>
            <w:shd w:val="clear" w:color="000000" w:fill="FFFFFF"/>
            <w:noWrap/>
            <w:vAlign w:val="bottom"/>
            <w:hideMark/>
          </w:tcPr>
          <w:p w14:paraId="6885B31F"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r>
      <w:tr w:rsidR="009076FD" w:rsidRPr="0029167E" w14:paraId="1D8B3AA8" w14:textId="77777777" w:rsidTr="00F83BD9">
        <w:trPr>
          <w:trHeight w:val="528"/>
        </w:trPr>
        <w:tc>
          <w:tcPr>
            <w:tcW w:w="2291" w:type="dxa"/>
            <w:tcBorders>
              <w:top w:val="nil"/>
              <w:left w:val="nil"/>
              <w:bottom w:val="nil"/>
              <w:right w:val="nil"/>
            </w:tcBorders>
            <w:shd w:val="clear" w:color="000000" w:fill="FFFFFF"/>
            <w:noWrap/>
            <w:vAlign w:val="bottom"/>
            <w:hideMark/>
          </w:tcPr>
          <w:p w14:paraId="5F93E084"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198" w:type="dxa"/>
            <w:tcBorders>
              <w:top w:val="nil"/>
              <w:left w:val="nil"/>
              <w:bottom w:val="single" w:sz="4" w:space="0" w:color="auto"/>
              <w:right w:val="nil"/>
            </w:tcBorders>
            <w:shd w:val="clear" w:color="000000" w:fill="FFFFFF"/>
            <w:vAlign w:val="bottom"/>
            <w:hideMark/>
          </w:tcPr>
          <w:p w14:paraId="4719186C"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single" w:sz="4" w:space="0" w:color="auto"/>
              <w:right w:val="nil"/>
            </w:tcBorders>
            <w:shd w:val="clear" w:color="000000" w:fill="F2F2F2"/>
            <w:vAlign w:val="bottom"/>
            <w:hideMark/>
          </w:tcPr>
          <w:p w14:paraId="28CAB35D" w14:textId="4ADF71DE" w:rsidR="009076FD" w:rsidRPr="0029167E" w:rsidRDefault="009076FD" w:rsidP="00F83BD9">
            <w:pPr>
              <w:spacing w:line="240" w:lineRule="auto"/>
              <w:rPr>
                <w:rFonts w:eastAsia="Times New Roman" w:cs="Arial"/>
                <w:color w:val="000000"/>
                <w:sz w:val="16"/>
                <w:szCs w:val="16"/>
                <w:lang w:eastAsia="fr-CH"/>
              </w:rPr>
            </w:pPr>
            <w:r w:rsidRPr="0029167E">
              <w:rPr>
                <w:color w:val="000000"/>
                <w:sz w:val="16"/>
                <w:szCs w:val="16"/>
              </w:rPr>
              <w:t>Millions de &lt;monnaie du SST&gt;</w:t>
            </w:r>
          </w:p>
        </w:tc>
        <w:tc>
          <w:tcPr>
            <w:tcW w:w="785" w:type="dxa"/>
            <w:tcBorders>
              <w:top w:val="nil"/>
              <w:left w:val="nil"/>
              <w:bottom w:val="single" w:sz="4" w:space="0" w:color="auto"/>
              <w:right w:val="nil"/>
            </w:tcBorders>
            <w:shd w:val="clear" w:color="000000" w:fill="FFFFFF"/>
            <w:vAlign w:val="bottom"/>
            <w:hideMark/>
          </w:tcPr>
          <w:p w14:paraId="034FBF3F" w14:textId="5054A0FC" w:rsidR="009076FD" w:rsidRPr="0029167E" w:rsidRDefault="009076FD" w:rsidP="00F83BD9">
            <w:pPr>
              <w:spacing w:line="240" w:lineRule="auto"/>
              <w:rPr>
                <w:rFonts w:eastAsia="Times New Roman" w:cs="Arial"/>
                <w:color w:val="000000"/>
                <w:sz w:val="16"/>
                <w:szCs w:val="16"/>
                <w:lang w:eastAsia="fr-CH"/>
              </w:rPr>
            </w:pPr>
            <w:r w:rsidRPr="0029167E">
              <w:rPr>
                <w:color w:val="000000"/>
                <w:sz w:val="16"/>
                <w:szCs w:val="16"/>
              </w:rPr>
              <w:t>Diff. rel.</w:t>
            </w:r>
          </w:p>
        </w:tc>
        <w:tc>
          <w:tcPr>
            <w:tcW w:w="253" w:type="dxa"/>
            <w:tcBorders>
              <w:top w:val="nil"/>
              <w:left w:val="nil"/>
              <w:bottom w:val="single" w:sz="4" w:space="0" w:color="auto"/>
              <w:right w:val="nil"/>
            </w:tcBorders>
            <w:shd w:val="clear" w:color="000000" w:fill="FFFFFF"/>
            <w:vAlign w:val="bottom"/>
            <w:hideMark/>
          </w:tcPr>
          <w:p w14:paraId="256879CD"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single" w:sz="4" w:space="0" w:color="auto"/>
              <w:right w:val="nil"/>
            </w:tcBorders>
            <w:shd w:val="clear" w:color="000000" w:fill="F2F2F2"/>
            <w:vAlign w:val="bottom"/>
            <w:hideMark/>
          </w:tcPr>
          <w:p w14:paraId="341583DE" w14:textId="2BDCCD45" w:rsidR="009076FD" w:rsidRPr="0029167E" w:rsidRDefault="009076FD" w:rsidP="00F83BD9">
            <w:pPr>
              <w:spacing w:line="240" w:lineRule="auto"/>
              <w:rPr>
                <w:rFonts w:eastAsia="Times New Roman" w:cs="Arial"/>
                <w:color w:val="000000"/>
                <w:sz w:val="16"/>
                <w:szCs w:val="16"/>
                <w:lang w:eastAsia="fr-CH"/>
              </w:rPr>
            </w:pPr>
            <w:r w:rsidRPr="0029167E">
              <w:rPr>
                <w:color w:val="000000"/>
                <w:sz w:val="16"/>
                <w:szCs w:val="16"/>
              </w:rPr>
              <w:t>Millions de &lt;monnaie du SST&gt;</w:t>
            </w:r>
          </w:p>
        </w:tc>
        <w:tc>
          <w:tcPr>
            <w:tcW w:w="950" w:type="dxa"/>
            <w:tcBorders>
              <w:top w:val="nil"/>
              <w:left w:val="nil"/>
              <w:bottom w:val="single" w:sz="4" w:space="0" w:color="auto"/>
              <w:right w:val="nil"/>
            </w:tcBorders>
            <w:shd w:val="clear" w:color="000000" w:fill="F2F2F2"/>
            <w:vAlign w:val="bottom"/>
            <w:hideMark/>
          </w:tcPr>
          <w:p w14:paraId="3870B6B0" w14:textId="2CB8BB96"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Etat au 31.12.2023</w:t>
            </w:r>
          </w:p>
        </w:tc>
        <w:tc>
          <w:tcPr>
            <w:tcW w:w="253" w:type="dxa"/>
            <w:tcBorders>
              <w:top w:val="nil"/>
              <w:left w:val="nil"/>
              <w:bottom w:val="single" w:sz="4" w:space="0" w:color="auto"/>
              <w:right w:val="nil"/>
            </w:tcBorders>
            <w:shd w:val="clear" w:color="000000" w:fill="FFFFFF"/>
            <w:vAlign w:val="bottom"/>
            <w:hideMark/>
          </w:tcPr>
          <w:p w14:paraId="571D4C03"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single" w:sz="4" w:space="0" w:color="auto"/>
              <w:right w:val="nil"/>
            </w:tcBorders>
            <w:shd w:val="clear" w:color="000000" w:fill="F2F2F2"/>
            <w:vAlign w:val="bottom"/>
            <w:hideMark/>
          </w:tcPr>
          <w:p w14:paraId="19F9F346" w14:textId="662560C1" w:rsidR="009076FD" w:rsidRPr="0029167E" w:rsidRDefault="009076FD" w:rsidP="00F83BD9">
            <w:pPr>
              <w:spacing w:line="240" w:lineRule="auto"/>
              <w:rPr>
                <w:rFonts w:eastAsia="Times New Roman" w:cs="Arial"/>
                <w:color w:val="000000"/>
                <w:sz w:val="16"/>
                <w:szCs w:val="16"/>
                <w:lang w:eastAsia="fr-CH"/>
              </w:rPr>
            </w:pPr>
            <w:r w:rsidRPr="0029167E">
              <w:rPr>
                <w:color w:val="000000"/>
                <w:sz w:val="16"/>
                <w:szCs w:val="16"/>
              </w:rPr>
              <w:t>Millions de &lt;monnaie du SST&gt;</w:t>
            </w:r>
          </w:p>
        </w:tc>
        <w:tc>
          <w:tcPr>
            <w:tcW w:w="950" w:type="dxa"/>
            <w:tcBorders>
              <w:top w:val="nil"/>
              <w:left w:val="nil"/>
              <w:bottom w:val="single" w:sz="4" w:space="0" w:color="auto"/>
              <w:right w:val="nil"/>
            </w:tcBorders>
            <w:shd w:val="clear" w:color="000000" w:fill="F2F2F2"/>
            <w:vAlign w:val="bottom"/>
            <w:hideMark/>
          </w:tcPr>
          <w:p w14:paraId="24F6724A" w14:textId="2CB75F0D"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Etat au 31.12.2023</w:t>
            </w:r>
          </w:p>
        </w:tc>
      </w:tr>
      <w:tr w:rsidR="009076FD" w:rsidRPr="0029167E" w14:paraId="4E8CD0BC" w14:textId="77777777" w:rsidTr="00F83BD9">
        <w:trPr>
          <w:trHeight w:val="259"/>
        </w:trPr>
        <w:tc>
          <w:tcPr>
            <w:tcW w:w="2291" w:type="dxa"/>
            <w:tcBorders>
              <w:top w:val="nil"/>
              <w:left w:val="nil"/>
              <w:bottom w:val="nil"/>
              <w:right w:val="nil"/>
            </w:tcBorders>
            <w:shd w:val="clear" w:color="000000" w:fill="FFFFFF"/>
            <w:noWrap/>
            <w:vAlign w:val="bottom"/>
            <w:hideMark/>
          </w:tcPr>
          <w:p w14:paraId="0155F43C"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198" w:type="dxa"/>
            <w:tcBorders>
              <w:top w:val="nil"/>
              <w:left w:val="nil"/>
              <w:bottom w:val="nil"/>
              <w:right w:val="nil"/>
            </w:tcBorders>
            <w:shd w:val="clear" w:color="000000" w:fill="FFFFFF"/>
            <w:vAlign w:val="bottom"/>
            <w:hideMark/>
          </w:tcPr>
          <w:p w14:paraId="598753EC"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bottom"/>
            <w:hideMark/>
          </w:tcPr>
          <w:p w14:paraId="37AB726E" w14:textId="5EDAC6AE" w:rsidR="009076FD" w:rsidRPr="0029167E" w:rsidRDefault="009076FD" w:rsidP="00F83BD9">
            <w:pPr>
              <w:spacing w:line="240" w:lineRule="auto"/>
              <w:rPr>
                <w:rFonts w:eastAsia="Times New Roman" w:cs="Arial"/>
                <w:color w:val="000000"/>
                <w:sz w:val="16"/>
                <w:szCs w:val="16"/>
                <w:lang w:eastAsia="fr-CH"/>
              </w:rPr>
            </w:pPr>
            <w:proofErr w:type="gramStart"/>
            <w:r w:rsidRPr="0029167E">
              <w:rPr>
                <w:rFonts w:eastAsia="Times New Roman" w:cs="Arial"/>
                <w:color w:val="000000"/>
                <w:sz w:val="16"/>
                <w:szCs w:val="16"/>
                <w:lang w:eastAsia="fr-CH"/>
              </w:rPr>
              <w:t>attendu</w:t>
            </w:r>
            <w:proofErr w:type="gramEnd"/>
          </w:p>
        </w:tc>
        <w:tc>
          <w:tcPr>
            <w:tcW w:w="785" w:type="dxa"/>
            <w:tcBorders>
              <w:top w:val="nil"/>
              <w:left w:val="nil"/>
              <w:bottom w:val="nil"/>
              <w:right w:val="nil"/>
            </w:tcBorders>
            <w:shd w:val="clear" w:color="000000" w:fill="FFFFFF"/>
            <w:vAlign w:val="bottom"/>
            <w:hideMark/>
          </w:tcPr>
          <w:p w14:paraId="4751C844"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253" w:type="dxa"/>
            <w:tcBorders>
              <w:top w:val="nil"/>
              <w:left w:val="nil"/>
              <w:bottom w:val="nil"/>
              <w:right w:val="nil"/>
            </w:tcBorders>
            <w:shd w:val="clear" w:color="000000" w:fill="FFFFFF"/>
            <w:vAlign w:val="bottom"/>
            <w:hideMark/>
          </w:tcPr>
          <w:p w14:paraId="277CBE88"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nil"/>
              <w:right w:val="nil"/>
            </w:tcBorders>
            <w:shd w:val="clear" w:color="000000" w:fill="F2F2F2"/>
            <w:vAlign w:val="bottom"/>
            <w:hideMark/>
          </w:tcPr>
          <w:p w14:paraId="77A63B79" w14:textId="55D1E38A" w:rsidR="009076FD" w:rsidRPr="0029167E" w:rsidRDefault="009076FD" w:rsidP="00F83BD9">
            <w:pPr>
              <w:spacing w:line="240" w:lineRule="auto"/>
              <w:rPr>
                <w:rFonts w:eastAsia="Times New Roman" w:cs="Arial"/>
                <w:color w:val="000000"/>
                <w:sz w:val="16"/>
                <w:szCs w:val="16"/>
                <w:lang w:eastAsia="fr-CH"/>
              </w:rPr>
            </w:pPr>
            <w:proofErr w:type="gramStart"/>
            <w:r w:rsidRPr="0029167E">
              <w:rPr>
                <w:rFonts w:eastAsia="Times New Roman" w:cs="Arial"/>
                <w:color w:val="000000"/>
                <w:sz w:val="16"/>
                <w:szCs w:val="16"/>
                <w:lang w:eastAsia="fr-CH"/>
              </w:rPr>
              <w:t>attendu</w:t>
            </w:r>
            <w:proofErr w:type="gramEnd"/>
          </w:p>
        </w:tc>
        <w:tc>
          <w:tcPr>
            <w:tcW w:w="950" w:type="dxa"/>
            <w:tcBorders>
              <w:top w:val="nil"/>
              <w:left w:val="nil"/>
              <w:bottom w:val="nil"/>
              <w:right w:val="nil"/>
            </w:tcBorders>
            <w:shd w:val="clear" w:color="000000" w:fill="F2F2F2"/>
            <w:vAlign w:val="bottom"/>
            <w:hideMark/>
          </w:tcPr>
          <w:p w14:paraId="3F448984" w14:textId="6DF17428" w:rsidR="009076FD" w:rsidRPr="0029167E" w:rsidRDefault="009076FD" w:rsidP="00F83BD9">
            <w:pPr>
              <w:spacing w:line="240" w:lineRule="auto"/>
              <w:rPr>
                <w:rFonts w:ascii="Arial Narrow" w:eastAsia="Times New Roman" w:hAnsi="Arial Narrow" w:cs="Calibri"/>
                <w:color w:val="000000"/>
                <w:sz w:val="16"/>
                <w:szCs w:val="16"/>
                <w:lang w:eastAsia="fr-CH"/>
              </w:rPr>
            </w:pPr>
            <w:r w:rsidRPr="0029167E">
              <w:rPr>
                <w:rFonts w:ascii="Arial Narrow" w:eastAsia="Times New Roman" w:hAnsi="Arial Narrow" w:cs="Calibri"/>
                <w:color w:val="000000"/>
                <w:sz w:val="16"/>
                <w:szCs w:val="16"/>
                <w:lang w:eastAsia="fr-CH"/>
              </w:rPr>
              <w:t>Nouvelle estimation</w:t>
            </w:r>
          </w:p>
        </w:tc>
        <w:tc>
          <w:tcPr>
            <w:tcW w:w="253" w:type="dxa"/>
            <w:tcBorders>
              <w:top w:val="nil"/>
              <w:left w:val="nil"/>
              <w:bottom w:val="nil"/>
              <w:right w:val="nil"/>
            </w:tcBorders>
            <w:shd w:val="clear" w:color="000000" w:fill="FFFFFF"/>
            <w:vAlign w:val="bottom"/>
            <w:hideMark/>
          </w:tcPr>
          <w:p w14:paraId="435C70D5"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50" w:type="dxa"/>
            <w:tcBorders>
              <w:top w:val="nil"/>
              <w:left w:val="nil"/>
              <w:bottom w:val="nil"/>
              <w:right w:val="nil"/>
            </w:tcBorders>
            <w:shd w:val="clear" w:color="000000" w:fill="F2F2F2"/>
            <w:vAlign w:val="bottom"/>
            <w:hideMark/>
          </w:tcPr>
          <w:p w14:paraId="4C617A16" w14:textId="5C29A749" w:rsidR="009076FD" w:rsidRPr="0029167E" w:rsidRDefault="009076FD" w:rsidP="00F83BD9">
            <w:pPr>
              <w:spacing w:line="240" w:lineRule="auto"/>
              <w:rPr>
                <w:rFonts w:eastAsia="Times New Roman" w:cs="Arial"/>
                <w:color w:val="000000"/>
                <w:sz w:val="16"/>
                <w:szCs w:val="16"/>
                <w:lang w:eastAsia="fr-CH"/>
              </w:rPr>
            </w:pPr>
            <w:proofErr w:type="gramStart"/>
            <w:r w:rsidRPr="0029167E">
              <w:rPr>
                <w:rFonts w:eastAsia="Times New Roman" w:cs="Arial"/>
                <w:color w:val="000000"/>
                <w:sz w:val="16"/>
                <w:szCs w:val="16"/>
                <w:lang w:eastAsia="fr-CH"/>
              </w:rPr>
              <w:t>attendu</w:t>
            </w:r>
            <w:proofErr w:type="gramEnd"/>
          </w:p>
        </w:tc>
        <w:tc>
          <w:tcPr>
            <w:tcW w:w="950" w:type="dxa"/>
            <w:tcBorders>
              <w:top w:val="nil"/>
              <w:left w:val="nil"/>
              <w:bottom w:val="nil"/>
              <w:right w:val="nil"/>
            </w:tcBorders>
            <w:shd w:val="clear" w:color="000000" w:fill="F2F2F2"/>
            <w:vAlign w:val="bottom"/>
            <w:hideMark/>
          </w:tcPr>
          <w:p w14:paraId="52958E9C" w14:textId="69F69F6E" w:rsidR="009076FD" w:rsidRPr="0029167E" w:rsidRDefault="009076FD" w:rsidP="00F83BD9">
            <w:pPr>
              <w:spacing w:line="240" w:lineRule="auto"/>
              <w:rPr>
                <w:rFonts w:ascii="Arial Narrow" w:eastAsia="Times New Roman" w:hAnsi="Arial Narrow" w:cs="Calibri"/>
                <w:color w:val="000000"/>
                <w:sz w:val="16"/>
                <w:szCs w:val="16"/>
                <w:lang w:eastAsia="fr-CH"/>
              </w:rPr>
            </w:pPr>
            <w:r w:rsidRPr="0029167E">
              <w:rPr>
                <w:rFonts w:ascii="Arial Narrow" w:eastAsia="Times New Roman" w:hAnsi="Arial Narrow" w:cs="Calibri"/>
                <w:color w:val="000000"/>
                <w:sz w:val="16"/>
                <w:szCs w:val="16"/>
                <w:lang w:eastAsia="fr-CH"/>
              </w:rPr>
              <w:t>Nouvelle estimation</w:t>
            </w:r>
          </w:p>
        </w:tc>
      </w:tr>
      <w:tr w:rsidR="009076FD" w:rsidRPr="0029167E" w14:paraId="3A1EB38C" w14:textId="77777777" w:rsidTr="00F83BD9">
        <w:trPr>
          <w:trHeight w:val="269"/>
        </w:trPr>
        <w:tc>
          <w:tcPr>
            <w:tcW w:w="2291" w:type="dxa"/>
            <w:tcBorders>
              <w:top w:val="nil"/>
              <w:left w:val="nil"/>
              <w:bottom w:val="nil"/>
              <w:right w:val="nil"/>
            </w:tcBorders>
            <w:shd w:val="clear" w:color="auto" w:fill="auto"/>
            <w:noWrap/>
            <w:vAlign w:val="bottom"/>
            <w:hideMark/>
          </w:tcPr>
          <w:p w14:paraId="0B30A2E1" w14:textId="77777777" w:rsidR="009076FD" w:rsidRPr="0029167E" w:rsidRDefault="009076FD" w:rsidP="00F83BD9">
            <w:pPr>
              <w:spacing w:line="240" w:lineRule="auto"/>
              <w:rPr>
                <w:rFonts w:ascii="Arial Narrow" w:eastAsia="Times New Roman" w:hAnsi="Arial Narrow" w:cs="Calibri"/>
                <w:color w:val="000000"/>
                <w:sz w:val="16"/>
                <w:szCs w:val="16"/>
                <w:lang w:eastAsia="fr-CH"/>
              </w:rPr>
            </w:pPr>
          </w:p>
        </w:tc>
        <w:tc>
          <w:tcPr>
            <w:tcW w:w="198" w:type="dxa"/>
            <w:tcBorders>
              <w:top w:val="nil"/>
              <w:left w:val="nil"/>
              <w:bottom w:val="nil"/>
              <w:right w:val="nil"/>
            </w:tcBorders>
            <w:shd w:val="clear" w:color="000000" w:fill="FFFFFF"/>
            <w:noWrap/>
            <w:vAlign w:val="bottom"/>
            <w:hideMark/>
          </w:tcPr>
          <w:p w14:paraId="63E53866"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969" w:type="dxa"/>
            <w:tcBorders>
              <w:top w:val="nil"/>
              <w:left w:val="nil"/>
              <w:bottom w:val="nil"/>
              <w:right w:val="nil"/>
            </w:tcBorders>
            <w:shd w:val="clear" w:color="auto" w:fill="auto"/>
            <w:noWrap/>
            <w:vAlign w:val="bottom"/>
            <w:hideMark/>
          </w:tcPr>
          <w:p w14:paraId="6BB196C4" w14:textId="77777777" w:rsidR="009076FD" w:rsidRPr="0029167E" w:rsidRDefault="009076FD" w:rsidP="00F83BD9">
            <w:pPr>
              <w:spacing w:line="240" w:lineRule="auto"/>
              <w:rPr>
                <w:rFonts w:eastAsia="Times New Roman" w:cs="Arial"/>
                <w:color w:val="000000"/>
                <w:sz w:val="20"/>
                <w:lang w:eastAsia="fr-CH"/>
              </w:rPr>
            </w:pPr>
          </w:p>
        </w:tc>
        <w:tc>
          <w:tcPr>
            <w:tcW w:w="785" w:type="dxa"/>
            <w:tcBorders>
              <w:top w:val="nil"/>
              <w:left w:val="nil"/>
              <w:bottom w:val="nil"/>
              <w:right w:val="nil"/>
            </w:tcBorders>
            <w:shd w:val="clear" w:color="000000" w:fill="FFFFFF"/>
            <w:noWrap/>
            <w:vAlign w:val="bottom"/>
            <w:hideMark/>
          </w:tcPr>
          <w:p w14:paraId="16F1C4C2"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253" w:type="dxa"/>
            <w:tcBorders>
              <w:top w:val="nil"/>
              <w:left w:val="nil"/>
              <w:bottom w:val="nil"/>
              <w:right w:val="nil"/>
            </w:tcBorders>
            <w:shd w:val="clear" w:color="000000" w:fill="FFFFFF"/>
            <w:noWrap/>
            <w:vAlign w:val="bottom"/>
            <w:hideMark/>
          </w:tcPr>
          <w:p w14:paraId="5415FB26"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950" w:type="dxa"/>
            <w:tcBorders>
              <w:top w:val="nil"/>
              <w:left w:val="nil"/>
              <w:bottom w:val="nil"/>
              <w:right w:val="nil"/>
            </w:tcBorders>
            <w:shd w:val="clear" w:color="auto" w:fill="auto"/>
            <w:noWrap/>
            <w:vAlign w:val="bottom"/>
            <w:hideMark/>
          </w:tcPr>
          <w:p w14:paraId="6A50D53E"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3A118FB4" w14:textId="77777777" w:rsidR="009076FD" w:rsidRPr="0029167E" w:rsidRDefault="009076FD" w:rsidP="00F83BD9">
            <w:pPr>
              <w:spacing w:line="240" w:lineRule="auto"/>
              <w:rPr>
                <w:rFonts w:ascii="Times New Roman" w:eastAsia="Times New Roman" w:hAnsi="Times New Roman"/>
                <w:sz w:val="20"/>
                <w:lang w:eastAsia="fr-CH"/>
              </w:rPr>
            </w:pPr>
          </w:p>
        </w:tc>
        <w:tc>
          <w:tcPr>
            <w:tcW w:w="253" w:type="dxa"/>
            <w:tcBorders>
              <w:top w:val="nil"/>
              <w:left w:val="nil"/>
              <w:bottom w:val="nil"/>
              <w:right w:val="nil"/>
            </w:tcBorders>
            <w:shd w:val="clear" w:color="000000" w:fill="FFFFFF"/>
            <w:noWrap/>
            <w:vAlign w:val="bottom"/>
            <w:hideMark/>
          </w:tcPr>
          <w:p w14:paraId="4EC2C09C"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950" w:type="dxa"/>
            <w:tcBorders>
              <w:top w:val="nil"/>
              <w:left w:val="nil"/>
              <w:bottom w:val="nil"/>
              <w:right w:val="nil"/>
            </w:tcBorders>
            <w:shd w:val="clear" w:color="auto" w:fill="auto"/>
            <w:noWrap/>
            <w:vAlign w:val="bottom"/>
            <w:hideMark/>
          </w:tcPr>
          <w:p w14:paraId="206400CF"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377FBA66" w14:textId="77777777" w:rsidR="009076FD" w:rsidRPr="0029167E" w:rsidRDefault="009076FD" w:rsidP="00F83BD9">
            <w:pPr>
              <w:spacing w:line="240" w:lineRule="auto"/>
              <w:rPr>
                <w:rFonts w:ascii="Times New Roman" w:eastAsia="Times New Roman" w:hAnsi="Times New Roman"/>
                <w:sz w:val="20"/>
                <w:lang w:eastAsia="fr-CH"/>
              </w:rPr>
            </w:pPr>
          </w:p>
        </w:tc>
      </w:tr>
      <w:tr w:rsidR="009076FD" w:rsidRPr="0029167E" w14:paraId="2DF5D9A1" w14:textId="77777777" w:rsidTr="00F83BD9">
        <w:trPr>
          <w:trHeight w:val="259"/>
        </w:trPr>
        <w:tc>
          <w:tcPr>
            <w:tcW w:w="2291" w:type="dxa"/>
            <w:tcBorders>
              <w:top w:val="nil"/>
              <w:left w:val="nil"/>
              <w:bottom w:val="nil"/>
              <w:right w:val="nil"/>
            </w:tcBorders>
            <w:shd w:val="clear" w:color="000000" w:fill="D9D9D9"/>
            <w:noWrap/>
            <w:vAlign w:val="center"/>
            <w:hideMark/>
          </w:tcPr>
          <w:p w14:paraId="46DAC931" w14:textId="558F2078"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Résultat d'</w:t>
            </w:r>
            <w:proofErr w:type="spellStart"/>
            <w:r w:rsidRPr="0029167E">
              <w:rPr>
                <w:rFonts w:eastAsia="Times New Roman" w:cs="Arial"/>
                <w:color w:val="000000"/>
                <w:sz w:val="16"/>
                <w:szCs w:val="16"/>
                <w:lang w:eastAsia="fr-CH"/>
              </w:rPr>
              <w:t>assuance</w:t>
            </w:r>
            <w:proofErr w:type="spellEnd"/>
            <w:r w:rsidRPr="0029167E">
              <w:rPr>
                <w:rFonts w:eastAsia="Times New Roman" w:cs="Arial"/>
                <w:color w:val="000000"/>
                <w:sz w:val="16"/>
                <w:szCs w:val="16"/>
                <w:lang w:eastAsia="fr-CH"/>
              </w:rPr>
              <w:t xml:space="preserve"> actualisé</w:t>
            </w:r>
          </w:p>
        </w:tc>
        <w:tc>
          <w:tcPr>
            <w:tcW w:w="198" w:type="dxa"/>
            <w:tcBorders>
              <w:top w:val="nil"/>
              <w:left w:val="nil"/>
              <w:bottom w:val="nil"/>
              <w:right w:val="nil"/>
            </w:tcBorders>
            <w:shd w:val="clear" w:color="000000" w:fill="FFFFFF"/>
            <w:noWrap/>
            <w:vAlign w:val="bottom"/>
            <w:hideMark/>
          </w:tcPr>
          <w:p w14:paraId="526533A4"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nil"/>
              <w:right w:val="nil"/>
            </w:tcBorders>
            <w:shd w:val="clear" w:color="000000" w:fill="D9D9D9"/>
            <w:noWrap/>
            <w:vAlign w:val="center"/>
          </w:tcPr>
          <w:p w14:paraId="0F7B086D" w14:textId="77777777" w:rsidR="009076FD" w:rsidRPr="0029167E" w:rsidRDefault="009076FD" w:rsidP="00F83BD9">
            <w:pPr>
              <w:spacing w:line="240" w:lineRule="auto"/>
              <w:jc w:val="right"/>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7DFEFC02"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3A16E4B1"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1B503FD5" w14:textId="12B3ABDB" w:rsidR="009076FD" w:rsidRPr="0029167E" w:rsidRDefault="009076FD" w:rsidP="00954E6E">
            <w:pPr>
              <w:spacing w:line="240" w:lineRule="auto"/>
              <w:jc w:val="center"/>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70AD8693" w14:textId="46FE8C44" w:rsidR="009076FD" w:rsidRPr="0029167E" w:rsidRDefault="00954E6E" w:rsidP="00954E6E">
            <w:pPr>
              <w:spacing w:line="240" w:lineRule="auto"/>
              <w:jc w:val="center"/>
              <w:rPr>
                <w:rFonts w:eastAsia="Times New Roman" w:cs="Arial"/>
                <w:color w:val="000000"/>
                <w:sz w:val="16"/>
                <w:szCs w:val="16"/>
                <w:lang w:eastAsia="fr-CH"/>
              </w:rPr>
            </w:pPr>
            <w:proofErr w:type="gramStart"/>
            <w:r w:rsidRPr="0029167E">
              <w:rPr>
                <w:rFonts w:eastAsia="Times New Roman" w:cs="Arial"/>
                <w:color w:val="000000"/>
                <w:sz w:val="16"/>
                <w:szCs w:val="16"/>
                <w:lang w:eastAsia="fr-CH"/>
              </w:rPr>
              <w:t>n</w:t>
            </w:r>
            <w:proofErr w:type="gramEnd"/>
            <w:r w:rsidRPr="0029167E">
              <w:rPr>
                <w:rFonts w:eastAsia="Times New Roman" w:cs="Arial"/>
                <w:color w:val="000000"/>
                <w:sz w:val="16"/>
                <w:szCs w:val="16"/>
                <w:lang w:eastAsia="fr-CH"/>
              </w:rPr>
              <w:t>/a</w:t>
            </w:r>
          </w:p>
        </w:tc>
        <w:tc>
          <w:tcPr>
            <w:tcW w:w="253" w:type="dxa"/>
            <w:tcBorders>
              <w:top w:val="nil"/>
              <w:left w:val="nil"/>
              <w:bottom w:val="nil"/>
              <w:right w:val="nil"/>
            </w:tcBorders>
            <w:shd w:val="clear" w:color="000000" w:fill="FFFFFF"/>
            <w:noWrap/>
            <w:vAlign w:val="center"/>
          </w:tcPr>
          <w:p w14:paraId="4C109815"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33A74003" w14:textId="11D4A1A4" w:rsidR="009076FD" w:rsidRPr="0029167E" w:rsidRDefault="009076FD" w:rsidP="00954E6E">
            <w:pPr>
              <w:spacing w:line="240" w:lineRule="auto"/>
              <w:jc w:val="center"/>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hideMark/>
          </w:tcPr>
          <w:p w14:paraId="324F7986" w14:textId="13E691CA" w:rsidR="009076FD" w:rsidRPr="0029167E" w:rsidRDefault="00954E6E" w:rsidP="00F83BD9">
            <w:pPr>
              <w:spacing w:line="240" w:lineRule="auto"/>
              <w:jc w:val="center"/>
              <w:rPr>
                <w:rFonts w:eastAsia="Times New Roman" w:cs="Arial"/>
                <w:color w:val="000000"/>
                <w:sz w:val="16"/>
                <w:szCs w:val="16"/>
                <w:lang w:eastAsia="fr-CH"/>
              </w:rPr>
            </w:pPr>
            <w:proofErr w:type="gramStart"/>
            <w:r w:rsidRPr="0029167E">
              <w:rPr>
                <w:rFonts w:eastAsia="Times New Roman" w:cs="Arial"/>
                <w:color w:val="000000"/>
                <w:sz w:val="16"/>
                <w:szCs w:val="16"/>
                <w:lang w:eastAsia="fr-CH"/>
              </w:rPr>
              <w:t>n</w:t>
            </w:r>
            <w:proofErr w:type="gramEnd"/>
            <w:r w:rsidRPr="0029167E">
              <w:rPr>
                <w:rFonts w:eastAsia="Times New Roman" w:cs="Arial"/>
                <w:color w:val="000000"/>
                <w:sz w:val="16"/>
                <w:szCs w:val="16"/>
                <w:lang w:eastAsia="fr-CH"/>
              </w:rPr>
              <w:t>/a</w:t>
            </w:r>
          </w:p>
        </w:tc>
      </w:tr>
      <w:tr w:rsidR="009076FD" w:rsidRPr="0029167E" w14:paraId="53F0166F" w14:textId="77777777" w:rsidTr="00F83BD9">
        <w:trPr>
          <w:trHeight w:val="269"/>
        </w:trPr>
        <w:tc>
          <w:tcPr>
            <w:tcW w:w="2291" w:type="dxa"/>
            <w:tcBorders>
              <w:top w:val="nil"/>
              <w:left w:val="nil"/>
              <w:bottom w:val="nil"/>
              <w:right w:val="nil"/>
            </w:tcBorders>
            <w:shd w:val="clear" w:color="auto" w:fill="auto"/>
            <w:noWrap/>
            <w:vAlign w:val="bottom"/>
            <w:hideMark/>
          </w:tcPr>
          <w:p w14:paraId="4BAAC80F" w14:textId="77777777" w:rsidR="009076FD" w:rsidRPr="0029167E" w:rsidRDefault="009076FD" w:rsidP="00F83BD9">
            <w:pPr>
              <w:spacing w:line="240" w:lineRule="auto"/>
              <w:jc w:val="center"/>
              <w:rPr>
                <w:rFonts w:eastAsia="Times New Roman" w:cs="Arial"/>
                <w:color w:val="000000"/>
                <w:sz w:val="16"/>
                <w:szCs w:val="16"/>
                <w:lang w:eastAsia="fr-CH"/>
              </w:rPr>
            </w:pPr>
          </w:p>
        </w:tc>
        <w:tc>
          <w:tcPr>
            <w:tcW w:w="198" w:type="dxa"/>
            <w:tcBorders>
              <w:top w:val="nil"/>
              <w:left w:val="nil"/>
              <w:bottom w:val="nil"/>
              <w:right w:val="nil"/>
            </w:tcBorders>
            <w:shd w:val="clear" w:color="000000" w:fill="FFFFFF"/>
            <w:noWrap/>
            <w:vAlign w:val="bottom"/>
            <w:hideMark/>
          </w:tcPr>
          <w:p w14:paraId="71C9C7BB" w14:textId="77777777" w:rsidR="009076FD" w:rsidRPr="0029167E" w:rsidRDefault="009076FD" w:rsidP="00F83BD9">
            <w:pPr>
              <w:spacing w:line="240" w:lineRule="auto"/>
              <w:rPr>
                <w:rFonts w:eastAsia="Times New Roman" w:cs="Arial"/>
                <w:color w:val="000000"/>
                <w:sz w:val="20"/>
                <w:lang w:eastAsia="fr-CH"/>
              </w:rPr>
            </w:pPr>
            <w:r w:rsidRPr="0029167E">
              <w:rPr>
                <w:rFonts w:eastAsia="Times New Roman" w:cs="Arial"/>
                <w:color w:val="000000"/>
                <w:sz w:val="20"/>
                <w:lang w:eastAsia="fr-CH"/>
              </w:rPr>
              <w:t> </w:t>
            </w:r>
          </w:p>
        </w:tc>
        <w:tc>
          <w:tcPr>
            <w:tcW w:w="969" w:type="dxa"/>
            <w:tcBorders>
              <w:top w:val="nil"/>
              <w:left w:val="nil"/>
              <w:bottom w:val="nil"/>
              <w:right w:val="nil"/>
            </w:tcBorders>
            <w:shd w:val="clear" w:color="auto" w:fill="auto"/>
            <w:noWrap/>
            <w:vAlign w:val="bottom"/>
          </w:tcPr>
          <w:p w14:paraId="65003A6E" w14:textId="77777777" w:rsidR="009076FD" w:rsidRPr="0029167E" w:rsidRDefault="009076FD" w:rsidP="00F83BD9">
            <w:pPr>
              <w:spacing w:line="240" w:lineRule="auto"/>
              <w:rPr>
                <w:rFonts w:eastAsia="Times New Roman" w:cs="Arial"/>
                <w:color w:val="000000"/>
                <w:sz w:val="20"/>
                <w:lang w:eastAsia="fr-CH"/>
              </w:rPr>
            </w:pPr>
          </w:p>
        </w:tc>
        <w:tc>
          <w:tcPr>
            <w:tcW w:w="785" w:type="dxa"/>
            <w:tcBorders>
              <w:top w:val="nil"/>
              <w:left w:val="nil"/>
              <w:bottom w:val="nil"/>
              <w:right w:val="nil"/>
            </w:tcBorders>
            <w:shd w:val="clear" w:color="000000" w:fill="FFFFFF"/>
            <w:noWrap/>
            <w:vAlign w:val="bottom"/>
          </w:tcPr>
          <w:p w14:paraId="54CE8492" w14:textId="77777777" w:rsidR="009076FD" w:rsidRPr="0029167E" w:rsidRDefault="009076FD" w:rsidP="00F83BD9">
            <w:pPr>
              <w:spacing w:line="240" w:lineRule="auto"/>
              <w:rPr>
                <w:rFonts w:eastAsia="Times New Roman" w:cs="Arial"/>
                <w:color w:val="000000"/>
                <w:sz w:val="20"/>
                <w:lang w:eastAsia="fr-CH"/>
              </w:rPr>
            </w:pPr>
          </w:p>
        </w:tc>
        <w:tc>
          <w:tcPr>
            <w:tcW w:w="253" w:type="dxa"/>
            <w:tcBorders>
              <w:top w:val="nil"/>
              <w:left w:val="nil"/>
              <w:bottom w:val="nil"/>
              <w:right w:val="nil"/>
            </w:tcBorders>
            <w:shd w:val="clear" w:color="000000" w:fill="FFFFFF"/>
            <w:noWrap/>
            <w:vAlign w:val="bottom"/>
          </w:tcPr>
          <w:p w14:paraId="11C0C37D"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2B183BD9"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5BBCB877" w14:textId="77777777" w:rsidR="009076FD" w:rsidRPr="0029167E" w:rsidRDefault="009076FD" w:rsidP="00F83BD9">
            <w:pPr>
              <w:spacing w:line="240" w:lineRule="auto"/>
              <w:rPr>
                <w:rFonts w:ascii="Times New Roman" w:eastAsia="Times New Roman" w:hAnsi="Times New Roman"/>
                <w:sz w:val="20"/>
                <w:lang w:eastAsia="fr-CH"/>
              </w:rPr>
            </w:pPr>
          </w:p>
        </w:tc>
        <w:tc>
          <w:tcPr>
            <w:tcW w:w="253" w:type="dxa"/>
            <w:tcBorders>
              <w:top w:val="nil"/>
              <w:left w:val="nil"/>
              <w:bottom w:val="nil"/>
              <w:right w:val="nil"/>
            </w:tcBorders>
            <w:shd w:val="clear" w:color="000000" w:fill="FFFFFF"/>
            <w:noWrap/>
            <w:vAlign w:val="bottom"/>
          </w:tcPr>
          <w:p w14:paraId="71FD95C1"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tcPr>
          <w:p w14:paraId="2866F5DD" w14:textId="77777777" w:rsidR="009076FD" w:rsidRPr="0029167E" w:rsidRDefault="009076FD" w:rsidP="00F83BD9">
            <w:pPr>
              <w:spacing w:line="240" w:lineRule="auto"/>
              <w:rPr>
                <w:rFonts w:eastAsia="Times New Roman" w:cs="Arial"/>
                <w:color w:val="000000"/>
                <w:sz w:val="20"/>
                <w:lang w:eastAsia="fr-CH"/>
              </w:rPr>
            </w:pPr>
          </w:p>
        </w:tc>
        <w:tc>
          <w:tcPr>
            <w:tcW w:w="950" w:type="dxa"/>
            <w:tcBorders>
              <w:top w:val="nil"/>
              <w:left w:val="nil"/>
              <w:bottom w:val="nil"/>
              <w:right w:val="nil"/>
            </w:tcBorders>
            <w:shd w:val="clear" w:color="auto" w:fill="auto"/>
            <w:noWrap/>
            <w:vAlign w:val="bottom"/>
            <w:hideMark/>
          </w:tcPr>
          <w:p w14:paraId="10F2F6BB" w14:textId="77777777" w:rsidR="009076FD" w:rsidRPr="0029167E" w:rsidRDefault="009076FD" w:rsidP="00F83BD9">
            <w:pPr>
              <w:spacing w:line="240" w:lineRule="auto"/>
              <w:rPr>
                <w:rFonts w:ascii="Times New Roman" w:eastAsia="Times New Roman" w:hAnsi="Times New Roman"/>
                <w:sz w:val="20"/>
                <w:lang w:eastAsia="fr-CH"/>
              </w:rPr>
            </w:pPr>
          </w:p>
        </w:tc>
      </w:tr>
      <w:tr w:rsidR="009076FD" w:rsidRPr="0029167E" w14:paraId="57360F67" w14:textId="77777777" w:rsidTr="00F83BD9">
        <w:trPr>
          <w:trHeight w:val="404"/>
        </w:trPr>
        <w:tc>
          <w:tcPr>
            <w:tcW w:w="2291" w:type="dxa"/>
            <w:tcBorders>
              <w:top w:val="nil"/>
              <w:left w:val="nil"/>
              <w:bottom w:val="nil"/>
              <w:right w:val="nil"/>
            </w:tcBorders>
            <w:shd w:val="clear" w:color="000000" w:fill="D9D9D9"/>
            <w:vAlign w:val="center"/>
            <w:hideMark/>
          </w:tcPr>
          <w:p w14:paraId="3C998A80" w14:textId="3400A2A6"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Résultat d'assurance non actualisé</w:t>
            </w:r>
          </w:p>
        </w:tc>
        <w:tc>
          <w:tcPr>
            <w:tcW w:w="198" w:type="dxa"/>
            <w:tcBorders>
              <w:top w:val="nil"/>
              <w:left w:val="nil"/>
              <w:bottom w:val="nil"/>
              <w:right w:val="nil"/>
            </w:tcBorders>
            <w:shd w:val="clear" w:color="000000" w:fill="FFFFFF"/>
            <w:noWrap/>
            <w:vAlign w:val="bottom"/>
            <w:hideMark/>
          </w:tcPr>
          <w:p w14:paraId="696312BC"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nil"/>
              <w:right w:val="nil"/>
            </w:tcBorders>
            <w:shd w:val="clear" w:color="000000" w:fill="D9D9D9"/>
            <w:noWrap/>
            <w:vAlign w:val="center"/>
          </w:tcPr>
          <w:p w14:paraId="18D2A605" w14:textId="77777777" w:rsidR="009076FD" w:rsidRPr="0029167E" w:rsidRDefault="009076FD" w:rsidP="00F83BD9">
            <w:pPr>
              <w:spacing w:line="240" w:lineRule="auto"/>
              <w:jc w:val="right"/>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6437BA9F"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48FF576D"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06C9DF7F" w14:textId="77777777" w:rsidR="009076FD" w:rsidRPr="0029167E" w:rsidRDefault="009076FD" w:rsidP="00F83BD9">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098FB806" w14:textId="77777777" w:rsidR="009076FD" w:rsidRPr="0029167E" w:rsidRDefault="009076FD" w:rsidP="00F83BD9">
            <w:pPr>
              <w:spacing w:line="240" w:lineRule="auto"/>
              <w:jc w:val="right"/>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69936A16"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tcPr>
          <w:p w14:paraId="5759B8C4" w14:textId="77777777" w:rsidR="009076FD" w:rsidRPr="0029167E" w:rsidRDefault="009076FD" w:rsidP="00F83BD9">
            <w:pPr>
              <w:spacing w:line="240" w:lineRule="auto"/>
              <w:jc w:val="right"/>
              <w:rPr>
                <w:rFonts w:eastAsia="Times New Roman" w:cs="Arial"/>
                <w:color w:val="000000"/>
                <w:sz w:val="16"/>
                <w:szCs w:val="16"/>
                <w:lang w:eastAsia="fr-CH"/>
              </w:rPr>
            </w:pPr>
          </w:p>
        </w:tc>
        <w:tc>
          <w:tcPr>
            <w:tcW w:w="950" w:type="dxa"/>
            <w:tcBorders>
              <w:top w:val="nil"/>
              <w:left w:val="nil"/>
              <w:bottom w:val="nil"/>
              <w:right w:val="nil"/>
            </w:tcBorders>
            <w:shd w:val="clear" w:color="000000" w:fill="D9D9D9"/>
            <w:noWrap/>
            <w:vAlign w:val="center"/>
            <w:hideMark/>
          </w:tcPr>
          <w:p w14:paraId="28120AD3" w14:textId="77777777" w:rsidR="009076FD" w:rsidRPr="0029167E" w:rsidRDefault="009076FD" w:rsidP="00F83BD9">
            <w:pPr>
              <w:spacing w:line="240" w:lineRule="auto"/>
              <w:jc w:val="right"/>
              <w:rPr>
                <w:rFonts w:eastAsia="Times New Roman" w:cs="Arial"/>
                <w:color w:val="000000"/>
                <w:sz w:val="16"/>
                <w:szCs w:val="16"/>
                <w:lang w:eastAsia="fr-CH"/>
              </w:rPr>
            </w:pPr>
            <w:r w:rsidRPr="0029167E">
              <w:rPr>
                <w:rFonts w:eastAsia="Times New Roman" w:cs="Arial"/>
                <w:color w:val="000000"/>
                <w:sz w:val="16"/>
                <w:szCs w:val="16"/>
                <w:lang w:eastAsia="fr-CH"/>
              </w:rPr>
              <w:t> </w:t>
            </w:r>
          </w:p>
        </w:tc>
      </w:tr>
      <w:tr w:rsidR="009076FD" w:rsidRPr="0029167E" w14:paraId="32C0F5FA" w14:textId="77777777" w:rsidTr="00F83BD9">
        <w:trPr>
          <w:trHeight w:val="388"/>
        </w:trPr>
        <w:tc>
          <w:tcPr>
            <w:tcW w:w="2291" w:type="dxa"/>
            <w:tcBorders>
              <w:top w:val="nil"/>
              <w:left w:val="nil"/>
              <w:bottom w:val="nil"/>
              <w:right w:val="nil"/>
            </w:tcBorders>
            <w:shd w:val="clear" w:color="000000" w:fill="F2F2F2"/>
            <w:vAlign w:val="center"/>
            <w:hideMark/>
          </w:tcPr>
          <w:p w14:paraId="4FF9B896" w14:textId="371AD05D" w:rsidR="009076FD" w:rsidRPr="0029167E" w:rsidRDefault="009076FD" w:rsidP="00F83BD9">
            <w:pPr>
              <w:spacing w:line="240" w:lineRule="auto"/>
              <w:rPr>
                <w:rFonts w:eastAsia="Times New Roman" w:cs="Arial"/>
                <w:color w:val="000000"/>
                <w:sz w:val="14"/>
                <w:szCs w:val="14"/>
                <w:lang w:eastAsia="fr-CH"/>
              </w:rPr>
            </w:pPr>
            <w:bookmarkStart w:id="73" w:name="_Hlk149140021"/>
            <w:proofErr w:type="gramStart"/>
            <w:r w:rsidRPr="0029167E">
              <w:rPr>
                <w:rFonts w:eastAsia="Times New Roman" w:cs="Arial"/>
                <w:color w:val="000000"/>
                <w:sz w:val="14"/>
                <w:szCs w:val="14"/>
                <w:lang w:eastAsia="fr-CH"/>
              </w:rPr>
              <w:t>..</w:t>
            </w:r>
            <w:proofErr w:type="gramEnd"/>
            <w:r w:rsidRPr="0029167E">
              <w:rPr>
                <w:rFonts w:eastAsia="Times New Roman" w:cs="Arial"/>
                <w:color w:val="000000"/>
                <w:sz w:val="14"/>
                <w:szCs w:val="14"/>
                <w:lang w:eastAsia="fr-CH"/>
              </w:rPr>
              <w:t>dont résultat de liquidation des provisions</w:t>
            </w:r>
            <w:r w:rsidR="001969C9" w:rsidRPr="0029167E">
              <w:rPr>
                <w:rStyle w:val="FootnoteReference"/>
                <w:rFonts w:eastAsia="Times New Roman" w:cs="Arial"/>
                <w:color w:val="000000"/>
                <w:sz w:val="14"/>
                <w:szCs w:val="14"/>
                <w:lang w:eastAsia="fr-CH"/>
              </w:rPr>
              <w:footnoteReference w:id="2"/>
            </w:r>
            <w:r w:rsidRPr="0029167E">
              <w:rPr>
                <w:rFonts w:eastAsia="Times New Roman" w:cs="Arial"/>
                <w:color w:val="000000"/>
                <w:sz w:val="14"/>
                <w:szCs w:val="14"/>
                <w:lang w:eastAsia="fr-CH"/>
              </w:rPr>
              <w:t xml:space="preserve"> </w:t>
            </w:r>
          </w:p>
        </w:tc>
        <w:tc>
          <w:tcPr>
            <w:tcW w:w="198" w:type="dxa"/>
            <w:tcBorders>
              <w:top w:val="nil"/>
              <w:left w:val="nil"/>
              <w:bottom w:val="nil"/>
              <w:right w:val="nil"/>
            </w:tcBorders>
            <w:shd w:val="clear" w:color="000000" w:fill="FFFFFF"/>
            <w:noWrap/>
            <w:vAlign w:val="bottom"/>
            <w:hideMark/>
          </w:tcPr>
          <w:p w14:paraId="3A2B27FC"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center"/>
          </w:tcPr>
          <w:p w14:paraId="24A9D20E" w14:textId="2C6ADD94" w:rsidR="009076FD" w:rsidRPr="0029167E" w:rsidRDefault="00954E6E" w:rsidP="00954E6E">
            <w:pPr>
              <w:spacing w:line="240" w:lineRule="auto"/>
              <w:jc w:val="center"/>
              <w:rPr>
                <w:rFonts w:eastAsia="Times New Roman" w:cs="Arial"/>
                <w:color w:val="000000"/>
                <w:sz w:val="16"/>
                <w:szCs w:val="16"/>
                <w:lang w:eastAsia="fr-CH"/>
              </w:rPr>
            </w:pPr>
            <w:r w:rsidRPr="0029167E">
              <w:rPr>
                <w:rFonts w:eastAsia="Times New Roman" w:cs="Arial"/>
                <w:color w:val="000000"/>
                <w:sz w:val="16"/>
                <w:szCs w:val="16"/>
                <w:lang w:eastAsia="fr-CH"/>
              </w:rPr>
              <w:t>0.0</w:t>
            </w:r>
          </w:p>
        </w:tc>
        <w:tc>
          <w:tcPr>
            <w:tcW w:w="785" w:type="dxa"/>
            <w:tcBorders>
              <w:top w:val="nil"/>
              <w:left w:val="nil"/>
              <w:bottom w:val="nil"/>
              <w:right w:val="nil"/>
            </w:tcBorders>
            <w:shd w:val="clear" w:color="000000" w:fill="FFFFFF"/>
            <w:noWrap/>
            <w:vAlign w:val="center"/>
          </w:tcPr>
          <w:p w14:paraId="21EC1EF5"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7A6C557F" w14:textId="77777777" w:rsidR="009076FD" w:rsidRPr="0029167E" w:rsidRDefault="009076FD" w:rsidP="00F83BD9">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2918E7B1" w14:textId="2577D201" w:rsidR="009076FD" w:rsidRPr="0029167E" w:rsidRDefault="00954E6E" w:rsidP="00954E6E">
            <w:pPr>
              <w:spacing w:line="240" w:lineRule="auto"/>
              <w:jc w:val="center"/>
              <w:rPr>
                <w:rFonts w:eastAsia="Times New Roman" w:cs="Arial"/>
                <w:color w:val="000000"/>
                <w:sz w:val="16"/>
                <w:szCs w:val="16"/>
                <w:lang w:eastAsia="fr-CH"/>
              </w:rPr>
            </w:pPr>
            <w:r w:rsidRPr="0029167E">
              <w:rPr>
                <w:rFonts w:eastAsia="Times New Roman" w:cs="Arial"/>
                <w:color w:val="000000"/>
                <w:sz w:val="16"/>
                <w:szCs w:val="16"/>
                <w:lang w:eastAsia="fr-CH"/>
              </w:rPr>
              <w:t>0.0</w:t>
            </w:r>
          </w:p>
        </w:tc>
        <w:tc>
          <w:tcPr>
            <w:tcW w:w="950" w:type="dxa"/>
            <w:tcBorders>
              <w:top w:val="nil"/>
              <w:left w:val="nil"/>
              <w:bottom w:val="nil"/>
              <w:right w:val="nil"/>
            </w:tcBorders>
            <w:shd w:val="clear" w:color="000000" w:fill="F2F2F2"/>
            <w:vAlign w:val="center"/>
          </w:tcPr>
          <w:p w14:paraId="3B7D4333"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4F87C375" w14:textId="77777777" w:rsidR="009076FD" w:rsidRPr="0029167E" w:rsidRDefault="009076FD" w:rsidP="00F83BD9">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266247BB" w14:textId="62BD4543" w:rsidR="009076FD" w:rsidRPr="0029167E" w:rsidRDefault="00954E6E" w:rsidP="00954E6E">
            <w:pPr>
              <w:spacing w:line="240" w:lineRule="auto"/>
              <w:jc w:val="center"/>
              <w:rPr>
                <w:rFonts w:eastAsia="Times New Roman" w:cs="Arial"/>
                <w:color w:val="000000"/>
                <w:sz w:val="16"/>
                <w:szCs w:val="16"/>
                <w:lang w:eastAsia="fr-CH"/>
              </w:rPr>
            </w:pPr>
            <w:r w:rsidRPr="0029167E">
              <w:rPr>
                <w:rFonts w:eastAsia="Times New Roman" w:cs="Arial"/>
                <w:color w:val="000000"/>
                <w:sz w:val="16"/>
                <w:szCs w:val="16"/>
                <w:lang w:eastAsia="fr-CH"/>
              </w:rPr>
              <w:t>0.0</w:t>
            </w:r>
          </w:p>
        </w:tc>
        <w:tc>
          <w:tcPr>
            <w:tcW w:w="950" w:type="dxa"/>
            <w:tcBorders>
              <w:top w:val="nil"/>
              <w:left w:val="nil"/>
              <w:bottom w:val="nil"/>
              <w:right w:val="nil"/>
            </w:tcBorders>
            <w:shd w:val="clear" w:color="000000" w:fill="F2F2F2"/>
            <w:vAlign w:val="center"/>
            <w:hideMark/>
          </w:tcPr>
          <w:p w14:paraId="23669DD0"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r>
      <w:bookmarkEnd w:id="73"/>
      <w:tr w:rsidR="009076FD" w:rsidRPr="0029167E" w14:paraId="64040FCE" w14:textId="77777777" w:rsidTr="00F83BD9">
        <w:trPr>
          <w:trHeight w:val="259"/>
        </w:trPr>
        <w:tc>
          <w:tcPr>
            <w:tcW w:w="2291" w:type="dxa"/>
            <w:tcBorders>
              <w:top w:val="nil"/>
              <w:left w:val="nil"/>
              <w:bottom w:val="nil"/>
              <w:right w:val="nil"/>
            </w:tcBorders>
            <w:shd w:val="clear" w:color="000000" w:fill="F2F2F2"/>
            <w:vAlign w:val="center"/>
            <w:hideMark/>
          </w:tcPr>
          <w:p w14:paraId="2FA94140" w14:textId="497C6245" w:rsidR="009076FD" w:rsidRPr="0029167E" w:rsidRDefault="009076FD" w:rsidP="00F83BD9">
            <w:pPr>
              <w:spacing w:line="240" w:lineRule="auto"/>
              <w:rPr>
                <w:rFonts w:eastAsia="Times New Roman" w:cs="Arial"/>
                <w:color w:val="000000"/>
                <w:sz w:val="14"/>
                <w:szCs w:val="14"/>
                <w:lang w:eastAsia="fr-CH"/>
              </w:rPr>
            </w:pPr>
            <w:proofErr w:type="gramStart"/>
            <w:r w:rsidRPr="0029167E">
              <w:rPr>
                <w:rFonts w:eastAsia="Times New Roman" w:cs="Arial"/>
                <w:color w:val="000000"/>
                <w:sz w:val="14"/>
                <w:szCs w:val="14"/>
                <w:lang w:eastAsia="fr-CH"/>
              </w:rPr>
              <w:t>..</w:t>
            </w:r>
            <w:proofErr w:type="gramEnd"/>
            <w:r w:rsidRPr="0029167E">
              <w:rPr>
                <w:rFonts w:eastAsia="Times New Roman" w:cs="Arial"/>
                <w:color w:val="000000"/>
                <w:sz w:val="14"/>
                <w:szCs w:val="14"/>
                <w:lang w:eastAsia="fr-CH"/>
              </w:rPr>
              <w:t xml:space="preserve">dont affaires </w:t>
            </w:r>
            <w:proofErr w:type="spellStart"/>
            <w:r w:rsidRPr="0029167E">
              <w:rPr>
                <w:rFonts w:eastAsia="Times New Roman" w:cs="Arial"/>
                <w:color w:val="000000"/>
                <w:sz w:val="14"/>
                <w:szCs w:val="14"/>
                <w:lang w:eastAsia="fr-CH"/>
              </w:rPr>
              <w:t>nouvells</w:t>
            </w:r>
            <w:proofErr w:type="spellEnd"/>
            <w:r w:rsidRPr="0029167E">
              <w:rPr>
                <w:rFonts w:eastAsia="Times New Roman" w:cs="Arial"/>
                <w:color w:val="000000"/>
                <w:sz w:val="14"/>
                <w:szCs w:val="14"/>
                <w:lang w:eastAsia="fr-CH"/>
              </w:rPr>
              <w:t xml:space="preserve"> non actualisé</w:t>
            </w:r>
          </w:p>
        </w:tc>
        <w:tc>
          <w:tcPr>
            <w:tcW w:w="198" w:type="dxa"/>
            <w:tcBorders>
              <w:top w:val="nil"/>
              <w:left w:val="nil"/>
              <w:bottom w:val="nil"/>
              <w:right w:val="nil"/>
            </w:tcBorders>
            <w:shd w:val="clear" w:color="000000" w:fill="FFFFFF"/>
            <w:noWrap/>
            <w:vAlign w:val="bottom"/>
            <w:hideMark/>
          </w:tcPr>
          <w:p w14:paraId="0B390E64"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c>
          <w:tcPr>
            <w:tcW w:w="969" w:type="dxa"/>
            <w:tcBorders>
              <w:top w:val="nil"/>
              <w:left w:val="nil"/>
              <w:bottom w:val="nil"/>
              <w:right w:val="nil"/>
            </w:tcBorders>
            <w:shd w:val="clear" w:color="000000" w:fill="F2F2F2"/>
            <w:vAlign w:val="center"/>
          </w:tcPr>
          <w:p w14:paraId="26E9D983" w14:textId="77777777" w:rsidR="009076FD" w:rsidRPr="0029167E" w:rsidRDefault="009076FD" w:rsidP="00F83BD9">
            <w:pPr>
              <w:spacing w:line="240" w:lineRule="auto"/>
              <w:rPr>
                <w:rFonts w:eastAsia="Times New Roman" w:cs="Arial"/>
                <w:color w:val="000000"/>
                <w:sz w:val="16"/>
                <w:szCs w:val="16"/>
                <w:lang w:eastAsia="fr-CH"/>
              </w:rPr>
            </w:pPr>
          </w:p>
        </w:tc>
        <w:tc>
          <w:tcPr>
            <w:tcW w:w="785" w:type="dxa"/>
            <w:tcBorders>
              <w:top w:val="nil"/>
              <w:left w:val="nil"/>
              <w:bottom w:val="nil"/>
              <w:right w:val="nil"/>
            </w:tcBorders>
            <w:shd w:val="clear" w:color="000000" w:fill="FFFFFF"/>
            <w:noWrap/>
            <w:vAlign w:val="center"/>
          </w:tcPr>
          <w:p w14:paraId="744A3F7E"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5F72BADC" w14:textId="77777777" w:rsidR="009076FD" w:rsidRPr="0029167E" w:rsidRDefault="009076FD" w:rsidP="00F83BD9">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4F776DF3"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F2F2F2"/>
            <w:vAlign w:val="center"/>
          </w:tcPr>
          <w:p w14:paraId="33C1EFED" w14:textId="77777777" w:rsidR="009076FD" w:rsidRPr="0029167E" w:rsidRDefault="009076FD" w:rsidP="00F83BD9">
            <w:pPr>
              <w:spacing w:line="240" w:lineRule="auto"/>
              <w:rPr>
                <w:rFonts w:eastAsia="Times New Roman" w:cs="Arial"/>
                <w:color w:val="000000"/>
                <w:sz w:val="16"/>
                <w:szCs w:val="16"/>
                <w:lang w:eastAsia="fr-CH"/>
              </w:rPr>
            </w:pPr>
          </w:p>
        </w:tc>
        <w:tc>
          <w:tcPr>
            <w:tcW w:w="253" w:type="dxa"/>
            <w:tcBorders>
              <w:top w:val="nil"/>
              <w:left w:val="nil"/>
              <w:bottom w:val="nil"/>
              <w:right w:val="nil"/>
            </w:tcBorders>
            <w:shd w:val="clear" w:color="000000" w:fill="FFFFFF"/>
            <w:noWrap/>
            <w:vAlign w:val="center"/>
          </w:tcPr>
          <w:p w14:paraId="321E191C" w14:textId="77777777" w:rsidR="009076FD" w:rsidRPr="0029167E" w:rsidRDefault="009076FD" w:rsidP="00F83BD9">
            <w:pPr>
              <w:spacing w:line="240" w:lineRule="auto"/>
              <w:rPr>
                <w:rFonts w:eastAsia="Times New Roman" w:cs="Arial"/>
                <w:color w:val="000000"/>
                <w:sz w:val="14"/>
                <w:szCs w:val="14"/>
                <w:lang w:eastAsia="fr-CH"/>
              </w:rPr>
            </w:pPr>
          </w:p>
        </w:tc>
        <w:tc>
          <w:tcPr>
            <w:tcW w:w="950" w:type="dxa"/>
            <w:tcBorders>
              <w:top w:val="nil"/>
              <w:left w:val="nil"/>
              <w:bottom w:val="nil"/>
              <w:right w:val="nil"/>
            </w:tcBorders>
            <w:shd w:val="clear" w:color="000000" w:fill="F2F2F2"/>
            <w:vAlign w:val="center"/>
          </w:tcPr>
          <w:p w14:paraId="47B621FC" w14:textId="77777777" w:rsidR="009076FD" w:rsidRPr="0029167E" w:rsidRDefault="009076FD" w:rsidP="00F83BD9">
            <w:pPr>
              <w:spacing w:line="240" w:lineRule="auto"/>
              <w:rPr>
                <w:rFonts w:eastAsia="Times New Roman" w:cs="Arial"/>
                <w:color w:val="000000"/>
                <w:sz w:val="16"/>
                <w:szCs w:val="16"/>
                <w:lang w:eastAsia="fr-CH"/>
              </w:rPr>
            </w:pPr>
          </w:p>
        </w:tc>
        <w:tc>
          <w:tcPr>
            <w:tcW w:w="950" w:type="dxa"/>
            <w:tcBorders>
              <w:top w:val="nil"/>
              <w:left w:val="nil"/>
              <w:bottom w:val="nil"/>
              <w:right w:val="nil"/>
            </w:tcBorders>
            <w:shd w:val="clear" w:color="000000" w:fill="F2F2F2"/>
            <w:vAlign w:val="center"/>
            <w:hideMark/>
          </w:tcPr>
          <w:p w14:paraId="3142A015" w14:textId="77777777" w:rsidR="009076FD" w:rsidRPr="0029167E" w:rsidRDefault="009076FD" w:rsidP="00F83BD9">
            <w:pPr>
              <w:spacing w:line="240" w:lineRule="auto"/>
              <w:rPr>
                <w:rFonts w:eastAsia="Times New Roman" w:cs="Arial"/>
                <w:color w:val="000000"/>
                <w:sz w:val="16"/>
                <w:szCs w:val="16"/>
                <w:lang w:eastAsia="fr-CH"/>
              </w:rPr>
            </w:pPr>
            <w:r w:rsidRPr="0029167E">
              <w:rPr>
                <w:rFonts w:eastAsia="Times New Roman" w:cs="Arial"/>
                <w:color w:val="000000"/>
                <w:sz w:val="16"/>
                <w:szCs w:val="16"/>
                <w:lang w:eastAsia="fr-CH"/>
              </w:rPr>
              <w:t> </w:t>
            </w:r>
          </w:p>
        </w:tc>
      </w:tr>
    </w:tbl>
    <w:p w14:paraId="0719D46D" w14:textId="354F2F0C" w:rsidR="009076FD" w:rsidRPr="0029167E" w:rsidRDefault="009076FD" w:rsidP="00D60D73">
      <w:pPr>
        <w:pStyle w:val="FINMAStandardAbsatz"/>
      </w:pPr>
    </w:p>
    <w:p w14:paraId="39CC9FB9" w14:textId="62EA5CF2" w:rsidR="009076FD" w:rsidRPr="0029167E" w:rsidRDefault="009076FD" w:rsidP="00D60D73">
      <w:pPr>
        <w:pStyle w:val="FINMAStandardAbsatz"/>
      </w:pPr>
      <w:r w:rsidRPr="0029167E">
        <w:t>E</w:t>
      </w:r>
      <w:r w:rsidR="0017306B" w:rsidRPr="0029167E">
        <w:t>x</w:t>
      </w:r>
      <w:r w:rsidRPr="0029167E">
        <w:t xml:space="preserve">plications sur les raisons des différences </w:t>
      </w:r>
      <w:proofErr w:type="gramStart"/>
      <w:r w:rsidRPr="0029167E">
        <w:t>suivantes:</w:t>
      </w:r>
      <w:proofErr w:type="gramEnd"/>
    </w:p>
    <w:p w14:paraId="45C4309C" w14:textId="77777777" w:rsidR="009076FD" w:rsidRPr="0029167E" w:rsidRDefault="009076FD" w:rsidP="009076FD">
      <w:pPr>
        <w:pStyle w:val="FINMAAufzhlungEbene2"/>
      </w:pPr>
      <w:r w:rsidRPr="0029167E">
        <w:t>La nouvelle estimation la plus récente comparée au résultat attendu non actualisé, pour les années précédentes</w:t>
      </w:r>
    </w:p>
    <w:p w14:paraId="049FF21C" w14:textId="23401A63" w:rsidR="009076FD" w:rsidRPr="0029167E" w:rsidRDefault="0017306B" w:rsidP="009076FD">
      <w:pPr>
        <w:pStyle w:val="FINMAAufzhlungEbene2"/>
      </w:pPr>
      <w:r w:rsidRPr="0029167E">
        <w:t>Le résultat attendu non actualisé du SST actuel comparé à celui du SST de l'année précédente</w:t>
      </w:r>
      <w:r w:rsidR="009076FD" w:rsidRPr="0029167E">
        <w:t xml:space="preserve">  </w:t>
      </w:r>
    </w:p>
    <w:p w14:paraId="150B0016" w14:textId="1D1A954B" w:rsidR="009076FD" w:rsidRPr="0029167E" w:rsidRDefault="0017306B" w:rsidP="00D60D73">
      <w:pPr>
        <w:pStyle w:val="FINMAStandardAbsatz"/>
      </w:pPr>
      <w:proofErr w:type="gramStart"/>
      <w:r w:rsidRPr="0029167E">
        <w:t>en</w:t>
      </w:r>
      <w:proofErr w:type="gramEnd"/>
      <w:r w:rsidRPr="0029167E">
        <w:t xml:space="preserve"> indiquant les agents principaux (pertes de liquidation ou nouvelles affaires, variations de cours de change ou d'hypothèses d'inflation, etc.)</w:t>
      </w:r>
    </w:p>
    <w:p w14:paraId="720083F4" w14:textId="77777777" w:rsidR="0017306B" w:rsidRPr="0029167E" w:rsidRDefault="0017306B" w:rsidP="00D60D73">
      <w:pPr>
        <w:pStyle w:val="FINMAStandardAbsatz"/>
      </w:pPr>
    </w:p>
    <w:p w14:paraId="4FF084BE" w14:textId="292CD7B0" w:rsidR="00EB058A" w:rsidRPr="0029167E" w:rsidRDefault="00577F25" w:rsidP="00D60D73">
      <w:pPr>
        <w:pStyle w:val="Heading2"/>
      </w:pPr>
      <w:bookmarkStart w:id="74" w:name="_Toc148955360"/>
      <w:bookmarkStart w:id="75" w:name="_Ref525134375"/>
      <w:bookmarkStart w:id="76" w:name="_Toc534297773"/>
      <w:r w:rsidRPr="0029167E">
        <w:t>Effet des scénarios et autres effets sur le capital cible</w:t>
      </w:r>
      <w:bookmarkEnd w:id="74"/>
    </w:p>
    <w:p w14:paraId="6DB971AB" w14:textId="77777777" w:rsidR="00EB058A" w:rsidRPr="0029167E" w:rsidRDefault="00EB058A" w:rsidP="00D60D73">
      <w:pPr>
        <w:pStyle w:val="Heading3"/>
      </w:pPr>
      <w:bookmarkStart w:id="77" w:name="_Toc148955361"/>
      <w:r w:rsidRPr="0029167E">
        <w:t>Scénarios agrégés</w:t>
      </w:r>
      <w:bookmarkEnd w:id="77"/>
    </w:p>
    <w:p w14:paraId="7E4AA501" w14:textId="58378D89" w:rsidR="00EB058A" w:rsidRPr="0029167E" w:rsidRDefault="00EB058A" w:rsidP="00D60D73">
      <w:pPr>
        <w:pStyle w:val="FINMAStandardAbsatz"/>
        <w:rPr>
          <w:szCs w:val="22"/>
        </w:rPr>
      </w:pPr>
      <w:r w:rsidRPr="0029167E">
        <w:t xml:space="preserve">Liste contenant une description des scénarios agrégés et en particulier des hypothèses spécifiques à </w:t>
      </w:r>
      <w:proofErr w:type="gramStart"/>
      <w:r w:rsidRPr="0029167E">
        <w:t>l’entreprise;</w:t>
      </w:r>
      <w:proofErr w:type="gramEnd"/>
      <w:r w:rsidRPr="0029167E">
        <w:t xml:space="preserve"> motivation de l’agrégation, référence aux éventuelles concentrations de risque, analyse du changement des effets de ces scénarios (avec/sans scénarios) sur le capital cible, indication de l'origine du scénario (scénario propre à l’entreprise ou prescrit par la FINMA).</w:t>
      </w:r>
    </w:p>
    <w:p w14:paraId="10A9092F" w14:textId="041F3CD4" w:rsidR="00EB058A" w:rsidRPr="0029167E" w:rsidRDefault="00EB058A" w:rsidP="00D60D73">
      <w:pPr>
        <w:pStyle w:val="FINMAStandardAbsatz"/>
        <w:rPr>
          <w:szCs w:val="22"/>
        </w:rPr>
      </w:pPr>
      <w:r w:rsidRPr="0029167E">
        <w:t xml:space="preserve">Si aucune agrégation de scénarios n’a eu lieu, veuillez pour la bonne forme le </w:t>
      </w:r>
      <w:proofErr w:type="gramStart"/>
      <w:r w:rsidRPr="0029167E">
        <w:t>confirmer:</w:t>
      </w:r>
      <w:proofErr w:type="gramEnd"/>
      <w:r w:rsidRPr="0029167E">
        <w:t xml:space="preserve"> </w:t>
      </w:r>
      <w:r w:rsidRPr="0029167E">
        <w:rPr>
          <w:i/>
          <w:szCs w:val="22"/>
        </w:rPr>
        <w:t xml:space="preserve">« Nous n'avons pas agrégé de scénarios dans le SST </w:t>
      </w:r>
      <w:r w:rsidR="00BF0AA2" w:rsidRPr="0029167E">
        <w:rPr>
          <w:i/>
          <w:szCs w:val="22"/>
        </w:rPr>
        <w:t>202</w:t>
      </w:r>
      <w:r w:rsidR="009C122E" w:rsidRPr="0029167E">
        <w:rPr>
          <w:i/>
          <w:szCs w:val="22"/>
        </w:rPr>
        <w:t>4</w:t>
      </w:r>
      <w:r w:rsidRPr="0029167E">
        <w:rPr>
          <w:i/>
          <w:szCs w:val="22"/>
        </w:rPr>
        <w:t>. »</w:t>
      </w:r>
    </w:p>
    <w:p w14:paraId="3FD20041" w14:textId="1F17A341" w:rsidR="00EB058A" w:rsidRPr="0029167E" w:rsidRDefault="0017306B" w:rsidP="00D60D73">
      <w:pPr>
        <w:pStyle w:val="Heading3"/>
      </w:pPr>
      <w:bookmarkStart w:id="78" w:name="_Toc148955362"/>
      <w:r w:rsidRPr="0029167E">
        <w:lastRenderedPageBreak/>
        <w:t>Autres effets</w:t>
      </w:r>
      <w:bookmarkEnd w:id="78"/>
    </w:p>
    <w:p w14:paraId="76608F95" w14:textId="3CD4F818" w:rsidR="00EB058A" w:rsidRPr="0029167E" w:rsidRDefault="00EB058A" w:rsidP="00D60D73">
      <w:pPr>
        <w:pStyle w:val="FINMAStandardAbsatz"/>
      </w:pPr>
      <w:r w:rsidRPr="0029167E">
        <w:t xml:space="preserve">S’il y a </w:t>
      </w:r>
      <w:r w:rsidR="0017306B" w:rsidRPr="0029167E">
        <w:t>des instruments de capital amortisseurs de risque</w:t>
      </w:r>
      <w:r w:rsidR="0023082A" w:rsidRPr="0029167E">
        <w:t xml:space="preserve"> </w:t>
      </w:r>
      <w:r w:rsidR="00E22825" w:rsidRPr="0029167E">
        <w:t>pris en compte</w:t>
      </w:r>
      <w:r w:rsidR="0017306B" w:rsidRPr="0029167E">
        <w:t xml:space="preserve"> </w:t>
      </w:r>
      <w:r w:rsidR="00E22825" w:rsidRPr="0029167E">
        <w:t xml:space="preserve">au capital </w:t>
      </w:r>
      <w:proofErr w:type="gramStart"/>
      <w:r w:rsidR="00E22825" w:rsidRPr="0029167E">
        <w:t>cible</w:t>
      </w:r>
      <w:r w:rsidRPr="0029167E">
        <w:t>:</w:t>
      </w:r>
      <w:proofErr w:type="gramEnd"/>
      <w:r w:rsidRPr="0029167E">
        <w:t xml:space="preserve"> liste des instruments et influence de ceux-ci (comparaison avec/sans instruments) sur le capital cible. </w:t>
      </w:r>
    </w:p>
    <w:p w14:paraId="055AB7EE" w14:textId="71D4111D" w:rsidR="0017306B" w:rsidRPr="0029167E" w:rsidRDefault="0017306B" w:rsidP="00D60D73">
      <w:pPr>
        <w:pStyle w:val="FINMAStandardAbsatz"/>
      </w:pPr>
      <w:r w:rsidRPr="0029167E">
        <w:t>Exposé de tout autre effet supplémentaire sur le capital cible.</w:t>
      </w:r>
    </w:p>
    <w:p w14:paraId="6FA18835" w14:textId="77777777" w:rsidR="0017306B" w:rsidRPr="0029167E" w:rsidRDefault="0017306B" w:rsidP="00D60D73">
      <w:pPr>
        <w:pStyle w:val="FINMAStandardAbsatz"/>
        <w:rPr>
          <w:szCs w:val="22"/>
        </w:rPr>
      </w:pPr>
    </w:p>
    <w:p w14:paraId="03DB50EF" w14:textId="39573F9B" w:rsidR="00E02925" w:rsidRPr="0029167E" w:rsidRDefault="00E02925" w:rsidP="00D60D73">
      <w:pPr>
        <w:pStyle w:val="StyleHeading1"/>
      </w:pPr>
      <w:bookmarkStart w:id="79" w:name="_Toc148955363"/>
      <w:bookmarkEnd w:id="75"/>
      <w:bookmarkEnd w:id="76"/>
      <w:r w:rsidRPr="0029167E">
        <w:t>Scénarios non agrégés</w:t>
      </w:r>
      <w:bookmarkEnd w:id="79"/>
    </w:p>
    <w:p w14:paraId="0FBC99FF" w14:textId="3FDC011C" w:rsidR="00E02925" w:rsidRPr="0029167E" w:rsidRDefault="00E02925" w:rsidP="00D60D73">
      <w:pPr>
        <w:pStyle w:val="FINMAStandardAbsatz"/>
      </w:pPr>
      <w:r w:rsidRPr="0029167E">
        <w:t>Liste de tous les scénarios évalués mais non agrégés, indiquant ceux propres à l’entreprise et ceux qui ont été prescrits</w:t>
      </w:r>
      <w:r w:rsidR="00C26B91" w:rsidRPr="0029167E">
        <w:t>.</w:t>
      </w:r>
      <w:r w:rsidRPr="0029167E">
        <w:t xml:space="preserve"> Description des scénarios, notamment les hypothèses spécifiques à l’entreprise</w:t>
      </w:r>
      <w:r w:rsidR="00BF7F85" w:rsidRPr="0029167E">
        <w:t>.</w:t>
      </w:r>
      <w:r w:rsidRPr="0029167E">
        <w:t xml:space="preserve"> Effets des scénarios pris isolément. </w:t>
      </w:r>
    </w:p>
    <w:p w14:paraId="6608CF35" w14:textId="293D3D6B" w:rsidR="00762BD0" w:rsidRPr="0029167E" w:rsidRDefault="00762BD0" w:rsidP="00D60D73">
      <w:pPr>
        <w:pStyle w:val="StyleHeading1"/>
        <w:numPr>
          <w:ilvl w:val="0"/>
          <w:numId w:val="0"/>
        </w:numPr>
        <w:ind w:left="432" w:hanging="432"/>
      </w:pPr>
      <w:bookmarkStart w:id="80" w:name="_Toc534297786"/>
      <w:bookmarkStart w:id="81" w:name="_Toc148955364"/>
      <w:r w:rsidRPr="0029167E">
        <w:t>Annexe</w:t>
      </w:r>
      <w:bookmarkEnd w:id="80"/>
      <w:bookmarkEnd w:id="81"/>
    </w:p>
    <w:p w14:paraId="793DAB32" w14:textId="339C98CB" w:rsidR="00764F4B" w:rsidRPr="0029167E" w:rsidRDefault="00764F4B" w:rsidP="00D60D73">
      <w:pPr>
        <w:pStyle w:val="FINMAStandardAbsatz"/>
      </w:pPr>
      <w:r w:rsidRPr="0029167E">
        <w:t>En option</w:t>
      </w:r>
      <w:r w:rsidR="00BF7F85" w:rsidRPr="0029167E">
        <w:t>.</w:t>
      </w:r>
      <w:r w:rsidRPr="0029167E">
        <w:t xml:space="preserve"> Liste de documents complémentaires éventuels avec brève description. Ces documents ne font pas, en soi, partie du rapport SST au sens du Cm 162. </w:t>
      </w:r>
    </w:p>
    <w:p w14:paraId="4489BB8A" w14:textId="71E0C7C5" w:rsidR="00D0047A" w:rsidRPr="00FD3DDC" w:rsidRDefault="00764F4B" w:rsidP="00D60D73">
      <w:pPr>
        <w:pStyle w:val="FINMAStandardAbsatz"/>
      </w:pPr>
      <w:r w:rsidRPr="0029167E">
        <w:rPr>
          <w:i/>
        </w:rPr>
        <w:t>&lt;Veuillez ne faire parvenir les documents correspondants que sur demande explicite de la FINMA.&gt;</w:t>
      </w:r>
    </w:p>
    <w:sectPr w:rsidR="00D0047A" w:rsidRPr="00FD3DDC" w:rsidSect="00CA3068">
      <w:footerReference w:type="default" r:id="rId13"/>
      <w:headerReference w:type="first" r:id="rId14"/>
      <w:footerReference w:type="first" r:id="rId15"/>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0003" w14:textId="77777777" w:rsidR="0038660A" w:rsidRDefault="0038660A">
      <w:r>
        <w:separator/>
      </w:r>
    </w:p>
  </w:endnote>
  <w:endnote w:type="continuationSeparator" w:id="0">
    <w:p w14:paraId="22C4CD88" w14:textId="77777777" w:rsidR="0038660A" w:rsidRDefault="0038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646" w14:textId="12591D85" w:rsidR="0038660A" w:rsidRDefault="0038660A" w:rsidP="003C58C6">
    <w:pPr>
      <w:pStyle w:val="Footer"/>
      <w:tabs>
        <w:tab w:val="clear" w:pos="8618"/>
        <w:tab w:val="right" w:pos="9639"/>
      </w:tabs>
    </w:pPr>
    <w:r>
      <w:rPr>
        <w:sz w:val="12"/>
        <w:szCs w:val="12"/>
      </w:rPr>
      <w:t xml:space="preserve">     </w:t>
    </w:r>
    <w:r>
      <w:tab/>
    </w:r>
    <w:r>
      <w:fldChar w:fldCharType="begin"/>
    </w:r>
    <w:r>
      <w:instrText xml:space="preserve"> PAGE </w:instrText>
    </w:r>
    <w:r>
      <w:fldChar w:fldCharType="separate"/>
    </w:r>
    <w:r>
      <w:rPr>
        <w:noProof/>
      </w:rPr>
      <w:t>17</w:t>
    </w:r>
    <w:r>
      <w:fldChar w:fldCharType="end"/>
    </w:r>
    <w:r>
      <w:t>/</w:t>
    </w:r>
    <w:fldSimple w:instr=" NUMPAGES ">
      <w:r>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158" w14:textId="15DC42C3" w:rsidR="0038660A" w:rsidRPr="008754C2" w:rsidRDefault="0038660A" w:rsidP="003C58C6">
    <w:pPr>
      <w:pStyle w:val="Footer"/>
      <w:spacing w:line="240"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603A" w14:textId="77777777" w:rsidR="0038660A" w:rsidRDefault="0038660A">
      <w:r>
        <w:separator/>
      </w:r>
    </w:p>
  </w:footnote>
  <w:footnote w:type="continuationSeparator" w:id="0">
    <w:p w14:paraId="4731A601" w14:textId="77777777" w:rsidR="0038660A" w:rsidRDefault="0038660A">
      <w:r>
        <w:continuationSeparator/>
      </w:r>
    </w:p>
  </w:footnote>
  <w:footnote w:id="1">
    <w:p w14:paraId="7B389E67" w14:textId="0806F266" w:rsidR="004B3746" w:rsidRPr="004B3746" w:rsidRDefault="004B3746">
      <w:pPr>
        <w:pStyle w:val="FootnoteText"/>
        <w:rPr>
          <w:lang w:val="fr-CH"/>
        </w:rPr>
      </w:pPr>
      <w:r>
        <w:rPr>
          <w:rStyle w:val="FootnoteReference"/>
        </w:rPr>
        <w:footnoteRef/>
      </w:r>
      <w:r w:rsidRPr="004B3746">
        <w:rPr>
          <w:lang w:val="fr-CH"/>
        </w:rPr>
        <w:t xml:space="preserve"> RAK: Instruments de capital amortisseurs de risques</w:t>
      </w:r>
    </w:p>
  </w:footnote>
  <w:footnote w:id="2">
    <w:p w14:paraId="1AB85043" w14:textId="5C88045D" w:rsidR="001969C9" w:rsidRPr="00FB5E12" w:rsidRDefault="001969C9">
      <w:pPr>
        <w:pStyle w:val="FootnoteText"/>
        <w:rPr>
          <w:lang w:val="fr-CH"/>
        </w:rPr>
      </w:pPr>
      <w:r w:rsidRPr="0029167E">
        <w:rPr>
          <w:rStyle w:val="FootnoteReference"/>
        </w:rPr>
        <w:footnoteRef/>
      </w:r>
      <w:r w:rsidRPr="0029167E">
        <w:rPr>
          <w:lang w:val="fr-CH"/>
        </w:rPr>
        <w:t xml:space="preserve"> </w:t>
      </w:r>
      <w:r w:rsidR="00FB5E12" w:rsidRPr="0029167E">
        <w:rPr>
          <w:lang w:val="fr-CH"/>
        </w:rPr>
        <w:t>Résultat de liquidation des provisions = Provisions au jour de référence –</w:t>
      </w:r>
      <w:r w:rsidRPr="0029167E">
        <w:rPr>
          <w:lang w:val="fr-CH"/>
        </w:rPr>
        <w:t xml:space="preserve"> </w:t>
      </w:r>
      <w:r w:rsidR="00FB5E12" w:rsidRPr="0029167E">
        <w:rPr>
          <w:lang w:val="fr-CH"/>
        </w:rPr>
        <w:t xml:space="preserve">paiements pour sinistres </w:t>
      </w:r>
      <w:r w:rsidR="0023082A" w:rsidRPr="0029167E">
        <w:rPr>
          <w:lang w:val="fr-CH"/>
        </w:rPr>
        <w:t>–</w:t>
      </w:r>
      <w:r w:rsidRPr="0029167E">
        <w:rPr>
          <w:lang w:val="fr-CH"/>
        </w:rPr>
        <w:t xml:space="preserve"> </w:t>
      </w:r>
      <w:r w:rsidR="0023082A" w:rsidRPr="0029167E">
        <w:rPr>
          <w:lang w:val="fr-CH"/>
        </w:rPr>
        <w:t>provisions en l'état initial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88"/>
      <w:gridCol w:w="4888"/>
    </w:tblGrid>
    <w:tr w:rsidR="0038660A" w14:paraId="00911D9F" w14:textId="77777777" w:rsidTr="00C04F1D">
      <w:trPr>
        <w:trHeight w:val="2041"/>
      </w:trPr>
      <w:tc>
        <w:tcPr>
          <w:tcW w:w="4888" w:type="dxa"/>
        </w:tcPr>
        <w:p w14:paraId="5C061121" w14:textId="77777777" w:rsidR="0038660A" w:rsidRPr="00F72549" w:rsidRDefault="0038660A" w:rsidP="006D29B0"/>
      </w:tc>
      <w:tc>
        <w:tcPr>
          <w:tcW w:w="4888" w:type="dxa"/>
        </w:tcPr>
        <w:p w14:paraId="6FCC02B7" w14:textId="48702456" w:rsidR="0038660A" w:rsidRDefault="0038660A">
          <w:pPr>
            <w:pStyle w:val="Header"/>
          </w:pPr>
        </w:p>
      </w:tc>
    </w:tr>
  </w:tbl>
  <w:p w14:paraId="5A2A090B" w14:textId="77777777" w:rsidR="0038660A" w:rsidRPr="00AE46EB" w:rsidRDefault="0038660A" w:rsidP="003C58C6">
    <w:pPr>
      <w:pStyle w:val="Header"/>
      <w:spacing w:after="120" w:line="240" w:lineRule="aut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827"/>
    <w:multiLevelType w:val="multilevel"/>
    <w:tmpl w:val="938269BC"/>
    <w:lvl w:ilvl="0">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1285"/>
        </w:tabs>
        <w:ind w:left="1285" w:hanging="576"/>
      </w:pPr>
      <w:rPr>
        <w:rFonts w:hint="default"/>
      </w:rPr>
    </w:lvl>
    <w:lvl w:ilvl="2">
      <w:start w:val="1"/>
      <w:numFmt w:val="decimal"/>
      <w:pStyle w:val="Heading3"/>
      <w:lvlText w:val="%1.%2.%3"/>
      <w:lvlJc w:val="left"/>
      <w:pPr>
        <w:tabs>
          <w:tab w:val="num" w:pos="6107"/>
        </w:tabs>
        <w:ind w:left="6107"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4"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5"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6"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16cid:durableId="604117707">
    <w:abstractNumId w:val="0"/>
  </w:num>
  <w:num w:numId="2" w16cid:durableId="261492255">
    <w:abstractNumId w:val="4"/>
  </w:num>
  <w:num w:numId="3" w16cid:durableId="1077749459">
    <w:abstractNumId w:val="1"/>
  </w:num>
  <w:num w:numId="4" w16cid:durableId="772242465">
    <w:abstractNumId w:val="6"/>
  </w:num>
  <w:num w:numId="5" w16cid:durableId="851263966">
    <w:abstractNumId w:val="3"/>
  </w:num>
  <w:num w:numId="6" w16cid:durableId="721828377">
    <w:abstractNumId w:val="2"/>
  </w:num>
  <w:num w:numId="7" w16cid:durableId="1575815720">
    <w:abstractNumId w:val="1"/>
  </w:num>
  <w:num w:numId="8" w16cid:durableId="10622202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hideSpellingErrors/>
  <w:hideGrammaticalErrors/>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2A"/>
    <w:rsid w:val="00001197"/>
    <w:rsid w:val="000011ED"/>
    <w:rsid w:val="00002353"/>
    <w:rsid w:val="00002811"/>
    <w:rsid w:val="00002C8B"/>
    <w:rsid w:val="000032D5"/>
    <w:rsid w:val="00003889"/>
    <w:rsid w:val="00005C09"/>
    <w:rsid w:val="00010475"/>
    <w:rsid w:val="0001063E"/>
    <w:rsid w:val="00011FD8"/>
    <w:rsid w:val="000129D4"/>
    <w:rsid w:val="00012B80"/>
    <w:rsid w:val="00012DBC"/>
    <w:rsid w:val="0001726D"/>
    <w:rsid w:val="00017765"/>
    <w:rsid w:val="00017B7E"/>
    <w:rsid w:val="000215D7"/>
    <w:rsid w:val="0002698E"/>
    <w:rsid w:val="0002720E"/>
    <w:rsid w:val="0002788F"/>
    <w:rsid w:val="00030271"/>
    <w:rsid w:val="00030445"/>
    <w:rsid w:val="0003081B"/>
    <w:rsid w:val="00030910"/>
    <w:rsid w:val="00030AA3"/>
    <w:rsid w:val="00032048"/>
    <w:rsid w:val="000327E0"/>
    <w:rsid w:val="000328E0"/>
    <w:rsid w:val="00033001"/>
    <w:rsid w:val="00035248"/>
    <w:rsid w:val="000360ED"/>
    <w:rsid w:val="00037ABE"/>
    <w:rsid w:val="0004070D"/>
    <w:rsid w:val="00041D8B"/>
    <w:rsid w:val="000422F3"/>
    <w:rsid w:val="0004334B"/>
    <w:rsid w:val="000435FD"/>
    <w:rsid w:val="00043913"/>
    <w:rsid w:val="000451CB"/>
    <w:rsid w:val="00046350"/>
    <w:rsid w:val="000467CF"/>
    <w:rsid w:val="0004728B"/>
    <w:rsid w:val="000473BC"/>
    <w:rsid w:val="00047D1A"/>
    <w:rsid w:val="00047FC2"/>
    <w:rsid w:val="0005034D"/>
    <w:rsid w:val="000516A3"/>
    <w:rsid w:val="0005296A"/>
    <w:rsid w:val="00052A0B"/>
    <w:rsid w:val="00053CF3"/>
    <w:rsid w:val="000549F3"/>
    <w:rsid w:val="00054F24"/>
    <w:rsid w:val="00054FC9"/>
    <w:rsid w:val="00060DE9"/>
    <w:rsid w:val="00061EEF"/>
    <w:rsid w:val="00062982"/>
    <w:rsid w:val="00065943"/>
    <w:rsid w:val="00067162"/>
    <w:rsid w:val="00067918"/>
    <w:rsid w:val="00067A85"/>
    <w:rsid w:val="00067C65"/>
    <w:rsid w:val="000702B8"/>
    <w:rsid w:val="0007215A"/>
    <w:rsid w:val="00072834"/>
    <w:rsid w:val="00072B06"/>
    <w:rsid w:val="000731B6"/>
    <w:rsid w:val="0007339A"/>
    <w:rsid w:val="0007446E"/>
    <w:rsid w:val="000749D1"/>
    <w:rsid w:val="0007738A"/>
    <w:rsid w:val="00077ED2"/>
    <w:rsid w:val="00080047"/>
    <w:rsid w:val="00083164"/>
    <w:rsid w:val="00083BF6"/>
    <w:rsid w:val="000848B2"/>
    <w:rsid w:val="00085234"/>
    <w:rsid w:val="00085DA3"/>
    <w:rsid w:val="0008601A"/>
    <w:rsid w:val="00087BD3"/>
    <w:rsid w:val="00091A5E"/>
    <w:rsid w:val="00091AC8"/>
    <w:rsid w:val="0009202F"/>
    <w:rsid w:val="000924CC"/>
    <w:rsid w:val="000927A6"/>
    <w:rsid w:val="00092BD4"/>
    <w:rsid w:val="00092C2F"/>
    <w:rsid w:val="00093E8D"/>
    <w:rsid w:val="00094416"/>
    <w:rsid w:val="0009494D"/>
    <w:rsid w:val="00094E54"/>
    <w:rsid w:val="00096595"/>
    <w:rsid w:val="0009703C"/>
    <w:rsid w:val="00097FE7"/>
    <w:rsid w:val="000A07B6"/>
    <w:rsid w:val="000A10D1"/>
    <w:rsid w:val="000A1FE7"/>
    <w:rsid w:val="000A4DE3"/>
    <w:rsid w:val="000A5629"/>
    <w:rsid w:val="000A5BF3"/>
    <w:rsid w:val="000A66A7"/>
    <w:rsid w:val="000A7B20"/>
    <w:rsid w:val="000B052E"/>
    <w:rsid w:val="000B07B4"/>
    <w:rsid w:val="000B1216"/>
    <w:rsid w:val="000B2CE5"/>
    <w:rsid w:val="000B2F1C"/>
    <w:rsid w:val="000B30BB"/>
    <w:rsid w:val="000B7AA8"/>
    <w:rsid w:val="000C2BEE"/>
    <w:rsid w:val="000C2F42"/>
    <w:rsid w:val="000C329A"/>
    <w:rsid w:val="000C3533"/>
    <w:rsid w:val="000C3E5E"/>
    <w:rsid w:val="000C4F08"/>
    <w:rsid w:val="000C54AF"/>
    <w:rsid w:val="000C60A2"/>
    <w:rsid w:val="000C61CB"/>
    <w:rsid w:val="000C6DAC"/>
    <w:rsid w:val="000D0BCA"/>
    <w:rsid w:val="000D0F79"/>
    <w:rsid w:val="000D1F72"/>
    <w:rsid w:val="000D226B"/>
    <w:rsid w:val="000D2BA1"/>
    <w:rsid w:val="000D3713"/>
    <w:rsid w:val="000D378B"/>
    <w:rsid w:val="000D4927"/>
    <w:rsid w:val="000D4E87"/>
    <w:rsid w:val="000D4EEF"/>
    <w:rsid w:val="000D5D94"/>
    <w:rsid w:val="000D7F7F"/>
    <w:rsid w:val="000E3521"/>
    <w:rsid w:val="000E35DF"/>
    <w:rsid w:val="000E36C0"/>
    <w:rsid w:val="000E4660"/>
    <w:rsid w:val="000E54D3"/>
    <w:rsid w:val="000E5750"/>
    <w:rsid w:val="000F03BD"/>
    <w:rsid w:val="000F091F"/>
    <w:rsid w:val="000F3F63"/>
    <w:rsid w:val="000F4988"/>
    <w:rsid w:val="000F4DE8"/>
    <w:rsid w:val="000F4ED0"/>
    <w:rsid w:val="000F5F4C"/>
    <w:rsid w:val="000F6892"/>
    <w:rsid w:val="000F6A92"/>
    <w:rsid w:val="000F6C1D"/>
    <w:rsid w:val="000F72FC"/>
    <w:rsid w:val="00101800"/>
    <w:rsid w:val="0010237F"/>
    <w:rsid w:val="00103FBD"/>
    <w:rsid w:val="00104035"/>
    <w:rsid w:val="00104392"/>
    <w:rsid w:val="00105276"/>
    <w:rsid w:val="00105BA3"/>
    <w:rsid w:val="0010731E"/>
    <w:rsid w:val="00110768"/>
    <w:rsid w:val="00111166"/>
    <w:rsid w:val="0011143E"/>
    <w:rsid w:val="00111506"/>
    <w:rsid w:val="0011312E"/>
    <w:rsid w:val="001150F2"/>
    <w:rsid w:val="00117F7C"/>
    <w:rsid w:val="00120DD3"/>
    <w:rsid w:val="00122C83"/>
    <w:rsid w:val="00123CC2"/>
    <w:rsid w:val="00124F47"/>
    <w:rsid w:val="001250B6"/>
    <w:rsid w:val="001258D8"/>
    <w:rsid w:val="00127A0C"/>
    <w:rsid w:val="00127E61"/>
    <w:rsid w:val="00130767"/>
    <w:rsid w:val="001308AD"/>
    <w:rsid w:val="00130DF6"/>
    <w:rsid w:val="0013175E"/>
    <w:rsid w:val="00131A1A"/>
    <w:rsid w:val="001336ED"/>
    <w:rsid w:val="00133798"/>
    <w:rsid w:val="00134239"/>
    <w:rsid w:val="001342DE"/>
    <w:rsid w:val="00135085"/>
    <w:rsid w:val="00136575"/>
    <w:rsid w:val="001371F1"/>
    <w:rsid w:val="001373B7"/>
    <w:rsid w:val="00137CEE"/>
    <w:rsid w:val="00140DA1"/>
    <w:rsid w:val="001413B3"/>
    <w:rsid w:val="001438E1"/>
    <w:rsid w:val="00145589"/>
    <w:rsid w:val="00146410"/>
    <w:rsid w:val="0015078D"/>
    <w:rsid w:val="001526F0"/>
    <w:rsid w:val="00153477"/>
    <w:rsid w:val="00153561"/>
    <w:rsid w:val="0015368C"/>
    <w:rsid w:val="00154A11"/>
    <w:rsid w:val="00156390"/>
    <w:rsid w:val="00156F11"/>
    <w:rsid w:val="00157223"/>
    <w:rsid w:val="00157537"/>
    <w:rsid w:val="001602A0"/>
    <w:rsid w:val="001603C9"/>
    <w:rsid w:val="001606B5"/>
    <w:rsid w:val="00162407"/>
    <w:rsid w:val="00162B6D"/>
    <w:rsid w:val="00162F4F"/>
    <w:rsid w:val="0016398C"/>
    <w:rsid w:val="00163A0D"/>
    <w:rsid w:val="00163D9A"/>
    <w:rsid w:val="0016522C"/>
    <w:rsid w:val="00165710"/>
    <w:rsid w:val="001703BA"/>
    <w:rsid w:val="00170484"/>
    <w:rsid w:val="0017155A"/>
    <w:rsid w:val="0017306B"/>
    <w:rsid w:val="00173459"/>
    <w:rsid w:val="00174E6D"/>
    <w:rsid w:val="00175918"/>
    <w:rsid w:val="00175F60"/>
    <w:rsid w:val="00176B2C"/>
    <w:rsid w:val="00176C77"/>
    <w:rsid w:val="00176F18"/>
    <w:rsid w:val="001802AE"/>
    <w:rsid w:val="00180678"/>
    <w:rsid w:val="00183D9C"/>
    <w:rsid w:val="0018434F"/>
    <w:rsid w:val="00184404"/>
    <w:rsid w:val="00184B6B"/>
    <w:rsid w:val="001855A5"/>
    <w:rsid w:val="001858AE"/>
    <w:rsid w:val="00185B12"/>
    <w:rsid w:val="001873D9"/>
    <w:rsid w:val="001878BC"/>
    <w:rsid w:val="00191CEC"/>
    <w:rsid w:val="001930BE"/>
    <w:rsid w:val="00194D45"/>
    <w:rsid w:val="00194D73"/>
    <w:rsid w:val="001952F0"/>
    <w:rsid w:val="00196065"/>
    <w:rsid w:val="001969C9"/>
    <w:rsid w:val="001970DB"/>
    <w:rsid w:val="00197448"/>
    <w:rsid w:val="00197C57"/>
    <w:rsid w:val="001A166B"/>
    <w:rsid w:val="001A28D6"/>
    <w:rsid w:val="001A2FE6"/>
    <w:rsid w:val="001A3360"/>
    <w:rsid w:val="001A46D7"/>
    <w:rsid w:val="001A62DE"/>
    <w:rsid w:val="001A6478"/>
    <w:rsid w:val="001A6E7F"/>
    <w:rsid w:val="001B1A71"/>
    <w:rsid w:val="001B46E4"/>
    <w:rsid w:val="001B4A8B"/>
    <w:rsid w:val="001B7941"/>
    <w:rsid w:val="001C0C47"/>
    <w:rsid w:val="001C1F1B"/>
    <w:rsid w:val="001C3F75"/>
    <w:rsid w:val="001C7A47"/>
    <w:rsid w:val="001D022A"/>
    <w:rsid w:val="001D1195"/>
    <w:rsid w:val="001D2F7D"/>
    <w:rsid w:val="001D320E"/>
    <w:rsid w:val="001D3C17"/>
    <w:rsid w:val="001D4412"/>
    <w:rsid w:val="001D4FF4"/>
    <w:rsid w:val="001D683C"/>
    <w:rsid w:val="001E1F1D"/>
    <w:rsid w:val="001E24E5"/>
    <w:rsid w:val="001E2991"/>
    <w:rsid w:val="001E395A"/>
    <w:rsid w:val="001E3F74"/>
    <w:rsid w:val="001E542E"/>
    <w:rsid w:val="001E6AEE"/>
    <w:rsid w:val="001E6C7A"/>
    <w:rsid w:val="001E7A0F"/>
    <w:rsid w:val="001F3F77"/>
    <w:rsid w:val="001F4427"/>
    <w:rsid w:val="001F4EA8"/>
    <w:rsid w:val="001F6604"/>
    <w:rsid w:val="00200D9E"/>
    <w:rsid w:val="0020122C"/>
    <w:rsid w:val="00201846"/>
    <w:rsid w:val="002022C4"/>
    <w:rsid w:val="00202F0F"/>
    <w:rsid w:val="002059EE"/>
    <w:rsid w:val="00207A60"/>
    <w:rsid w:val="002107C5"/>
    <w:rsid w:val="002112D7"/>
    <w:rsid w:val="00213FF2"/>
    <w:rsid w:val="002163F8"/>
    <w:rsid w:val="00220879"/>
    <w:rsid w:val="00220E2B"/>
    <w:rsid w:val="00222445"/>
    <w:rsid w:val="00222FC5"/>
    <w:rsid w:val="00224E50"/>
    <w:rsid w:val="00226975"/>
    <w:rsid w:val="0023082A"/>
    <w:rsid w:val="00230ACE"/>
    <w:rsid w:val="00230C3A"/>
    <w:rsid w:val="00232417"/>
    <w:rsid w:val="002324F7"/>
    <w:rsid w:val="00232B98"/>
    <w:rsid w:val="00235D97"/>
    <w:rsid w:val="002370B6"/>
    <w:rsid w:val="00240584"/>
    <w:rsid w:val="002411CE"/>
    <w:rsid w:val="00241E36"/>
    <w:rsid w:val="00241EE1"/>
    <w:rsid w:val="0024322B"/>
    <w:rsid w:val="0024373A"/>
    <w:rsid w:val="002443E5"/>
    <w:rsid w:val="00244C76"/>
    <w:rsid w:val="00245F56"/>
    <w:rsid w:val="002465F8"/>
    <w:rsid w:val="002503DF"/>
    <w:rsid w:val="0025054C"/>
    <w:rsid w:val="00252E99"/>
    <w:rsid w:val="00252EAC"/>
    <w:rsid w:val="00252EC5"/>
    <w:rsid w:val="00254707"/>
    <w:rsid w:val="00255D01"/>
    <w:rsid w:val="00260A07"/>
    <w:rsid w:val="002611CD"/>
    <w:rsid w:val="00261778"/>
    <w:rsid w:val="00263D0D"/>
    <w:rsid w:val="0026569E"/>
    <w:rsid w:val="00265A22"/>
    <w:rsid w:val="002665A9"/>
    <w:rsid w:val="002669C3"/>
    <w:rsid w:val="002672A5"/>
    <w:rsid w:val="002705F9"/>
    <w:rsid w:val="002722ED"/>
    <w:rsid w:val="00272FB6"/>
    <w:rsid w:val="0027378F"/>
    <w:rsid w:val="00274FB1"/>
    <w:rsid w:val="00277161"/>
    <w:rsid w:val="0027725D"/>
    <w:rsid w:val="00281AA1"/>
    <w:rsid w:val="00282D93"/>
    <w:rsid w:val="00283202"/>
    <w:rsid w:val="00284AE6"/>
    <w:rsid w:val="00285931"/>
    <w:rsid w:val="00285A70"/>
    <w:rsid w:val="00285C82"/>
    <w:rsid w:val="002867D0"/>
    <w:rsid w:val="0028784E"/>
    <w:rsid w:val="00287DB0"/>
    <w:rsid w:val="00290099"/>
    <w:rsid w:val="00290F98"/>
    <w:rsid w:val="0029167E"/>
    <w:rsid w:val="00292A79"/>
    <w:rsid w:val="00292BED"/>
    <w:rsid w:val="00293B4B"/>
    <w:rsid w:val="00296315"/>
    <w:rsid w:val="00296B89"/>
    <w:rsid w:val="00297AD0"/>
    <w:rsid w:val="002A174A"/>
    <w:rsid w:val="002A20BA"/>
    <w:rsid w:val="002A2226"/>
    <w:rsid w:val="002A2262"/>
    <w:rsid w:val="002A27FE"/>
    <w:rsid w:val="002A3223"/>
    <w:rsid w:val="002A4859"/>
    <w:rsid w:val="002A4890"/>
    <w:rsid w:val="002A7656"/>
    <w:rsid w:val="002A7BE8"/>
    <w:rsid w:val="002B0326"/>
    <w:rsid w:val="002B08F9"/>
    <w:rsid w:val="002B22FC"/>
    <w:rsid w:val="002B28F1"/>
    <w:rsid w:val="002B45E2"/>
    <w:rsid w:val="002B5591"/>
    <w:rsid w:val="002C03D9"/>
    <w:rsid w:val="002C08BA"/>
    <w:rsid w:val="002C28B9"/>
    <w:rsid w:val="002C3B53"/>
    <w:rsid w:val="002C3FCA"/>
    <w:rsid w:val="002C43AB"/>
    <w:rsid w:val="002C510C"/>
    <w:rsid w:val="002C56F0"/>
    <w:rsid w:val="002C5FC7"/>
    <w:rsid w:val="002C6D5C"/>
    <w:rsid w:val="002D023C"/>
    <w:rsid w:val="002D0469"/>
    <w:rsid w:val="002D0959"/>
    <w:rsid w:val="002D0EBD"/>
    <w:rsid w:val="002D12FD"/>
    <w:rsid w:val="002D3562"/>
    <w:rsid w:val="002D3D2F"/>
    <w:rsid w:val="002E0182"/>
    <w:rsid w:val="002E078D"/>
    <w:rsid w:val="002E2796"/>
    <w:rsid w:val="002E29E5"/>
    <w:rsid w:val="002F0606"/>
    <w:rsid w:val="002F1CEC"/>
    <w:rsid w:val="002F4D54"/>
    <w:rsid w:val="002F4DC7"/>
    <w:rsid w:val="002F5631"/>
    <w:rsid w:val="002F5CE4"/>
    <w:rsid w:val="002F6089"/>
    <w:rsid w:val="002F65A5"/>
    <w:rsid w:val="002F7694"/>
    <w:rsid w:val="003006D1"/>
    <w:rsid w:val="00301A1E"/>
    <w:rsid w:val="00305153"/>
    <w:rsid w:val="003055A1"/>
    <w:rsid w:val="003074FC"/>
    <w:rsid w:val="00307D02"/>
    <w:rsid w:val="00310CAA"/>
    <w:rsid w:val="0031141D"/>
    <w:rsid w:val="00311958"/>
    <w:rsid w:val="00312049"/>
    <w:rsid w:val="003131E0"/>
    <w:rsid w:val="0031505C"/>
    <w:rsid w:val="00315CE3"/>
    <w:rsid w:val="00316A08"/>
    <w:rsid w:val="00320244"/>
    <w:rsid w:val="00320BFE"/>
    <w:rsid w:val="00320E44"/>
    <w:rsid w:val="00321891"/>
    <w:rsid w:val="00324487"/>
    <w:rsid w:val="0032524A"/>
    <w:rsid w:val="00330609"/>
    <w:rsid w:val="00330C02"/>
    <w:rsid w:val="00331143"/>
    <w:rsid w:val="003314C9"/>
    <w:rsid w:val="00331B4F"/>
    <w:rsid w:val="00331BF4"/>
    <w:rsid w:val="003325A2"/>
    <w:rsid w:val="00332D60"/>
    <w:rsid w:val="003351CE"/>
    <w:rsid w:val="003353F1"/>
    <w:rsid w:val="00336533"/>
    <w:rsid w:val="0033679D"/>
    <w:rsid w:val="00337536"/>
    <w:rsid w:val="00340D0C"/>
    <w:rsid w:val="003428E4"/>
    <w:rsid w:val="00345112"/>
    <w:rsid w:val="0034560A"/>
    <w:rsid w:val="003459B5"/>
    <w:rsid w:val="00345C8A"/>
    <w:rsid w:val="00347353"/>
    <w:rsid w:val="0035034B"/>
    <w:rsid w:val="00350562"/>
    <w:rsid w:val="003507AB"/>
    <w:rsid w:val="00351A57"/>
    <w:rsid w:val="00351D81"/>
    <w:rsid w:val="00353F70"/>
    <w:rsid w:val="00355A1C"/>
    <w:rsid w:val="00356B68"/>
    <w:rsid w:val="00356D40"/>
    <w:rsid w:val="0035705E"/>
    <w:rsid w:val="003577FD"/>
    <w:rsid w:val="00357B6A"/>
    <w:rsid w:val="00360AFB"/>
    <w:rsid w:val="00360CA7"/>
    <w:rsid w:val="0036340D"/>
    <w:rsid w:val="00364855"/>
    <w:rsid w:val="00364A0C"/>
    <w:rsid w:val="00365232"/>
    <w:rsid w:val="00365C8D"/>
    <w:rsid w:val="00366894"/>
    <w:rsid w:val="00366B51"/>
    <w:rsid w:val="00366E21"/>
    <w:rsid w:val="00367866"/>
    <w:rsid w:val="0037193F"/>
    <w:rsid w:val="003728AC"/>
    <w:rsid w:val="003730CA"/>
    <w:rsid w:val="00373215"/>
    <w:rsid w:val="003732D1"/>
    <w:rsid w:val="003733C2"/>
    <w:rsid w:val="00373C6F"/>
    <w:rsid w:val="0037448D"/>
    <w:rsid w:val="00374629"/>
    <w:rsid w:val="00374796"/>
    <w:rsid w:val="00374FE9"/>
    <w:rsid w:val="00375D02"/>
    <w:rsid w:val="00375E2A"/>
    <w:rsid w:val="0037691E"/>
    <w:rsid w:val="00377FB1"/>
    <w:rsid w:val="003803CE"/>
    <w:rsid w:val="00381BCB"/>
    <w:rsid w:val="00381E11"/>
    <w:rsid w:val="00383656"/>
    <w:rsid w:val="00385987"/>
    <w:rsid w:val="0038660A"/>
    <w:rsid w:val="00386847"/>
    <w:rsid w:val="00387185"/>
    <w:rsid w:val="00387A0D"/>
    <w:rsid w:val="0039067F"/>
    <w:rsid w:val="00392633"/>
    <w:rsid w:val="00393AAB"/>
    <w:rsid w:val="003940C0"/>
    <w:rsid w:val="0039434F"/>
    <w:rsid w:val="00395295"/>
    <w:rsid w:val="00395BEE"/>
    <w:rsid w:val="0039617B"/>
    <w:rsid w:val="003966DA"/>
    <w:rsid w:val="003A0EF0"/>
    <w:rsid w:val="003A3788"/>
    <w:rsid w:val="003A3974"/>
    <w:rsid w:val="003A4E50"/>
    <w:rsid w:val="003A4ED9"/>
    <w:rsid w:val="003A5F47"/>
    <w:rsid w:val="003A684F"/>
    <w:rsid w:val="003B08C9"/>
    <w:rsid w:val="003B11FF"/>
    <w:rsid w:val="003B149C"/>
    <w:rsid w:val="003B1586"/>
    <w:rsid w:val="003B303C"/>
    <w:rsid w:val="003B516B"/>
    <w:rsid w:val="003B7B26"/>
    <w:rsid w:val="003C133E"/>
    <w:rsid w:val="003C24FD"/>
    <w:rsid w:val="003C58C6"/>
    <w:rsid w:val="003C59D6"/>
    <w:rsid w:val="003C7137"/>
    <w:rsid w:val="003D0772"/>
    <w:rsid w:val="003D15E7"/>
    <w:rsid w:val="003D1B5D"/>
    <w:rsid w:val="003D1E5F"/>
    <w:rsid w:val="003D496A"/>
    <w:rsid w:val="003D5138"/>
    <w:rsid w:val="003D7865"/>
    <w:rsid w:val="003E0368"/>
    <w:rsid w:val="003E079A"/>
    <w:rsid w:val="003E0B29"/>
    <w:rsid w:val="003E219E"/>
    <w:rsid w:val="003E25CA"/>
    <w:rsid w:val="003E3426"/>
    <w:rsid w:val="003E36DB"/>
    <w:rsid w:val="003E5F4E"/>
    <w:rsid w:val="003E67D0"/>
    <w:rsid w:val="003F0431"/>
    <w:rsid w:val="003F060E"/>
    <w:rsid w:val="003F1461"/>
    <w:rsid w:val="003F1D19"/>
    <w:rsid w:val="003F3787"/>
    <w:rsid w:val="003F3E1E"/>
    <w:rsid w:val="003F407D"/>
    <w:rsid w:val="003F4C84"/>
    <w:rsid w:val="003F530E"/>
    <w:rsid w:val="003F6827"/>
    <w:rsid w:val="003F6AB9"/>
    <w:rsid w:val="003F6C85"/>
    <w:rsid w:val="003F6DC8"/>
    <w:rsid w:val="003F79AE"/>
    <w:rsid w:val="003F7B9B"/>
    <w:rsid w:val="00400EB3"/>
    <w:rsid w:val="0040174E"/>
    <w:rsid w:val="00402D8C"/>
    <w:rsid w:val="00406910"/>
    <w:rsid w:val="0041117B"/>
    <w:rsid w:val="00411676"/>
    <w:rsid w:val="004121AF"/>
    <w:rsid w:val="004128E4"/>
    <w:rsid w:val="00416854"/>
    <w:rsid w:val="00416A87"/>
    <w:rsid w:val="00416B4F"/>
    <w:rsid w:val="0041746A"/>
    <w:rsid w:val="00417D3E"/>
    <w:rsid w:val="00417E6E"/>
    <w:rsid w:val="00420EFD"/>
    <w:rsid w:val="00424FDF"/>
    <w:rsid w:val="00425390"/>
    <w:rsid w:val="004270AE"/>
    <w:rsid w:val="00430897"/>
    <w:rsid w:val="0043312F"/>
    <w:rsid w:val="00433163"/>
    <w:rsid w:val="0043682C"/>
    <w:rsid w:val="004407D8"/>
    <w:rsid w:val="00441CAA"/>
    <w:rsid w:val="00442BD9"/>
    <w:rsid w:val="004440B6"/>
    <w:rsid w:val="004454D5"/>
    <w:rsid w:val="00445669"/>
    <w:rsid w:val="00446174"/>
    <w:rsid w:val="004468CC"/>
    <w:rsid w:val="00447B68"/>
    <w:rsid w:val="00447B84"/>
    <w:rsid w:val="00452D5F"/>
    <w:rsid w:val="004549BB"/>
    <w:rsid w:val="00455FC9"/>
    <w:rsid w:val="0045683C"/>
    <w:rsid w:val="00460F52"/>
    <w:rsid w:val="00461A06"/>
    <w:rsid w:val="00461A1E"/>
    <w:rsid w:val="00461D3E"/>
    <w:rsid w:val="0046258A"/>
    <w:rsid w:val="00462F52"/>
    <w:rsid w:val="00464C09"/>
    <w:rsid w:val="00466A50"/>
    <w:rsid w:val="00466A74"/>
    <w:rsid w:val="00467F00"/>
    <w:rsid w:val="00467FA6"/>
    <w:rsid w:val="0047070F"/>
    <w:rsid w:val="00471D7F"/>
    <w:rsid w:val="00471E3B"/>
    <w:rsid w:val="004737C0"/>
    <w:rsid w:val="00473EE2"/>
    <w:rsid w:val="004752DE"/>
    <w:rsid w:val="0047543A"/>
    <w:rsid w:val="004759D6"/>
    <w:rsid w:val="00475BFE"/>
    <w:rsid w:val="00477633"/>
    <w:rsid w:val="00477D5F"/>
    <w:rsid w:val="0048012F"/>
    <w:rsid w:val="0048050D"/>
    <w:rsid w:val="00481DA6"/>
    <w:rsid w:val="00481FC1"/>
    <w:rsid w:val="00482A65"/>
    <w:rsid w:val="00482E72"/>
    <w:rsid w:val="00483103"/>
    <w:rsid w:val="004908AB"/>
    <w:rsid w:val="0049129F"/>
    <w:rsid w:val="0049155A"/>
    <w:rsid w:val="0049258E"/>
    <w:rsid w:val="004932F9"/>
    <w:rsid w:val="00496B88"/>
    <w:rsid w:val="00496EC1"/>
    <w:rsid w:val="004979FC"/>
    <w:rsid w:val="00497D13"/>
    <w:rsid w:val="004A2706"/>
    <w:rsid w:val="004A3DB6"/>
    <w:rsid w:val="004A4B32"/>
    <w:rsid w:val="004A67E8"/>
    <w:rsid w:val="004A6A43"/>
    <w:rsid w:val="004A7814"/>
    <w:rsid w:val="004B0317"/>
    <w:rsid w:val="004B0CD6"/>
    <w:rsid w:val="004B1D07"/>
    <w:rsid w:val="004B1E54"/>
    <w:rsid w:val="004B2382"/>
    <w:rsid w:val="004B2B9B"/>
    <w:rsid w:val="004B3746"/>
    <w:rsid w:val="004B41DE"/>
    <w:rsid w:val="004B5989"/>
    <w:rsid w:val="004C17E4"/>
    <w:rsid w:val="004C1A6D"/>
    <w:rsid w:val="004C1C1B"/>
    <w:rsid w:val="004C494E"/>
    <w:rsid w:val="004C4C92"/>
    <w:rsid w:val="004C4F95"/>
    <w:rsid w:val="004C6375"/>
    <w:rsid w:val="004D0478"/>
    <w:rsid w:val="004D094A"/>
    <w:rsid w:val="004D10F8"/>
    <w:rsid w:val="004D4FE9"/>
    <w:rsid w:val="004E01F2"/>
    <w:rsid w:val="004E1934"/>
    <w:rsid w:val="004E480B"/>
    <w:rsid w:val="004E561D"/>
    <w:rsid w:val="004E709F"/>
    <w:rsid w:val="004E7875"/>
    <w:rsid w:val="004F2191"/>
    <w:rsid w:val="004F2780"/>
    <w:rsid w:val="004F2828"/>
    <w:rsid w:val="004F5324"/>
    <w:rsid w:val="004F642C"/>
    <w:rsid w:val="004F7954"/>
    <w:rsid w:val="00500247"/>
    <w:rsid w:val="0050141E"/>
    <w:rsid w:val="00503CB5"/>
    <w:rsid w:val="00504E84"/>
    <w:rsid w:val="00507804"/>
    <w:rsid w:val="00510A5A"/>
    <w:rsid w:val="00511A3A"/>
    <w:rsid w:val="00513741"/>
    <w:rsid w:val="00513E4D"/>
    <w:rsid w:val="00514727"/>
    <w:rsid w:val="00514BDD"/>
    <w:rsid w:val="00516F07"/>
    <w:rsid w:val="00526E17"/>
    <w:rsid w:val="00527EC7"/>
    <w:rsid w:val="005308BB"/>
    <w:rsid w:val="00530CDB"/>
    <w:rsid w:val="00531259"/>
    <w:rsid w:val="00531726"/>
    <w:rsid w:val="00531DE8"/>
    <w:rsid w:val="00532003"/>
    <w:rsid w:val="00533D61"/>
    <w:rsid w:val="00534BAA"/>
    <w:rsid w:val="00535142"/>
    <w:rsid w:val="00535401"/>
    <w:rsid w:val="00535C9D"/>
    <w:rsid w:val="005367A4"/>
    <w:rsid w:val="005368D7"/>
    <w:rsid w:val="00536D43"/>
    <w:rsid w:val="00540B0B"/>
    <w:rsid w:val="00541426"/>
    <w:rsid w:val="00543948"/>
    <w:rsid w:val="0054404B"/>
    <w:rsid w:val="005452D4"/>
    <w:rsid w:val="00545595"/>
    <w:rsid w:val="00547BC9"/>
    <w:rsid w:val="005501A5"/>
    <w:rsid w:val="00550C65"/>
    <w:rsid w:val="005521A7"/>
    <w:rsid w:val="00552E71"/>
    <w:rsid w:val="00552FB6"/>
    <w:rsid w:val="005538E5"/>
    <w:rsid w:val="00553A39"/>
    <w:rsid w:val="005561B8"/>
    <w:rsid w:val="00557346"/>
    <w:rsid w:val="005573DA"/>
    <w:rsid w:val="00557561"/>
    <w:rsid w:val="00562724"/>
    <w:rsid w:val="00563170"/>
    <w:rsid w:val="00564C84"/>
    <w:rsid w:val="00565A3D"/>
    <w:rsid w:val="00566233"/>
    <w:rsid w:val="00567A5F"/>
    <w:rsid w:val="00572955"/>
    <w:rsid w:val="00572F7F"/>
    <w:rsid w:val="005764A6"/>
    <w:rsid w:val="00577F25"/>
    <w:rsid w:val="0058136B"/>
    <w:rsid w:val="00581E01"/>
    <w:rsid w:val="00584F04"/>
    <w:rsid w:val="0059154B"/>
    <w:rsid w:val="005924DD"/>
    <w:rsid w:val="00593927"/>
    <w:rsid w:val="00593DCC"/>
    <w:rsid w:val="00597EF1"/>
    <w:rsid w:val="005A01F2"/>
    <w:rsid w:val="005A02D9"/>
    <w:rsid w:val="005A0586"/>
    <w:rsid w:val="005A0ACB"/>
    <w:rsid w:val="005A0DE4"/>
    <w:rsid w:val="005A10FD"/>
    <w:rsid w:val="005A1902"/>
    <w:rsid w:val="005A33F9"/>
    <w:rsid w:val="005A3863"/>
    <w:rsid w:val="005A4564"/>
    <w:rsid w:val="005A467A"/>
    <w:rsid w:val="005A47F5"/>
    <w:rsid w:val="005A5308"/>
    <w:rsid w:val="005A5611"/>
    <w:rsid w:val="005A6D32"/>
    <w:rsid w:val="005A760F"/>
    <w:rsid w:val="005B04CC"/>
    <w:rsid w:val="005B2625"/>
    <w:rsid w:val="005B3E3F"/>
    <w:rsid w:val="005B48C1"/>
    <w:rsid w:val="005B65F1"/>
    <w:rsid w:val="005B758F"/>
    <w:rsid w:val="005B77B4"/>
    <w:rsid w:val="005C221F"/>
    <w:rsid w:val="005C270C"/>
    <w:rsid w:val="005C2A9C"/>
    <w:rsid w:val="005C3827"/>
    <w:rsid w:val="005C5C26"/>
    <w:rsid w:val="005C5C69"/>
    <w:rsid w:val="005C68AE"/>
    <w:rsid w:val="005C77AA"/>
    <w:rsid w:val="005D0084"/>
    <w:rsid w:val="005D23BA"/>
    <w:rsid w:val="005D30E8"/>
    <w:rsid w:val="005D4336"/>
    <w:rsid w:val="005D542B"/>
    <w:rsid w:val="005D5D55"/>
    <w:rsid w:val="005D6AA4"/>
    <w:rsid w:val="005D7908"/>
    <w:rsid w:val="005E1D83"/>
    <w:rsid w:val="005E492A"/>
    <w:rsid w:val="005E593B"/>
    <w:rsid w:val="005E5EA5"/>
    <w:rsid w:val="005E723A"/>
    <w:rsid w:val="005F0280"/>
    <w:rsid w:val="005F051D"/>
    <w:rsid w:val="005F09AC"/>
    <w:rsid w:val="005F1DAF"/>
    <w:rsid w:val="005F2124"/>
    <w:rsid w:val="005F23D8"/>
    <w:rsid w:val="005F2842"/>
    <w:rsid w:val="005F6388"/>
    <w:rsid w:val="005F7454"/>
    <w:rsid w:val="005F7A19"/>
    <w:rsid w:val="00601639"/>
    <w:rsid w:val="006018AE"/>
    <w:rsid w:val="00601A41"/>
    <w:rsid w:val="00601C5D"/>
    <w:rsid w:val="00602BC6"/>
    <w:rsid w:val="00603AC9"/>
    <w:rsid w:val="00603C2A"/>
    <w:rsid w:val="00605A12"/>
    <w:rsid w:val="00607E4C"/>
    <w:rsid w:val="00607F95"/>
    <w:rsid w:val="006122B4"/>
    <w:rsid w:val="00612687"/>
    <w:rsid w:val="006128EC"/>
    <w:rsid w:val="00612D84"/>
    <w:rsid w:val="006160F4"/>
    <w:rsid w:val="00616102"/>
    <w:rsid w:val="00616FC0"/>
    <w:rsid w:val="00617112"/>
    <w:rsid w:val="006204FF"/>
    <w:rsid w:val="00620B18"/>
    <w:rsid w:val="00620C71"/>
    <w:rsid w:val="00622FEE"/>
    <w:rsid w:val="00624930"/>
    <w:rsid w:val="00624EFA"/>
    <w:rsid w:val="006300CC"/>
    <w:rsid w:val="00630247"/>
    <w:rsid w:val="00631C71"/>
    <w:rsid w:val="006335DB"/>
    <w:rsid w:val="006344F2"/>
    <w:rsid w:val="006348A4"/>
    <w:rsid w:val="00636C88"/>
    <w:rsid w:val="00637322"/>
    <w:rsid w:val="00641C14"/>
    <w:rsid w:val="00642CDC"/>
    <w:rsid w:val="00642D96"/>
    <w:rsid w:val="00642FA7"/>
    <w:rsid w:val="00643151"/>
    <w:rsid w:val="00643921"/>
    <w:rsid w:val="0064413A"/>
    <w:rsid w:val="00647F29"/>
    <w:rsid w:val="0065000E"/>
    <w:rsid w:val="006501B6"/>
    <w:rsid w:val="0065038D"/>
    <w:rsid w:val="00650AA6"/>
    <w:rsid w:val="00651189"/>
    <w:rsid w:val="00651637"/>
    <w:rsid w:val="00651F02"/>
    <w:rsid w:val="00651FFB"/>
    <w:rsid w:val="0065350B"/>
    <w:rsid w:val="006546B2"/>
    <w:rsid w:val="006558CB"/>
    <w:rsid w:val="0065645D"/>
    <w:rsid w:val="00657FF8"/>
    <w:rsid w:val="00661817"/>
    <w:rsid w:val="0066199B"/>
    <w:rsid w:val="00663A56"/>
    <w:rsid w:val="006707B3"/>
    <w:rsid w:val="0067109C"/>
    <w:rsid w:val="0067170C"/>
    <w:rsid w:val="00672DEB"/>
    <w:rsid w:val="0067456A"/>
    <w:rsid w:val="00675F64"/>
    <w:rsid w:val="00675FAC"/>
    <w:rsid w:val="006829FE"/>
    <w:rsid w:val="00683F68"/>
    <w:rsid w:val="0068487A"/>
    <w:rsid w:val="00685CAD"/>
    <w:rsid w:val="00691A95"/>
    <w:rsid w:val="00692F71"/>
    <w:rsid w:val="006948D2"/>
    <w:rsid w:val="006963A1"/>
    <w:rsid w:val="00697313"/>
    <w:rsid w:val="00697A58"/>
    <w:rsid w:val="00697D89"/>
    <w:rsid w:val="006A0108"/>
    <w:rsid w:val="006A0382"/>
    <w:rsid w:val="006A0674"/>
    <w:rsid w:val="006A2FD6"/>
    <w:rsid w:val="006A4B1C"/>
    <w:rsid w:val="006A56AC"/>
    <w:rsid w:val="006A60CE"/>
    <w:rsid w:val="006A65B6"/>
    <w:rsid w:val="006A6EB7"/>
    <w:rsid w:val="006A7CC3"/>
    <w:rsid w:val="006B0CE2"/>
    <w:rsid w:val="006B1785"/>
    <w:rsid w:val="006B1E7D"/>
    <w:rsid w:val="006B2CB5"/>
    <w:rsid w:val="006B3DED"/>
    <w:rsid w:val="006B420C"/>
    <w:rsid w:val="006B4C95"/>
    <w:rsid w:val="006B5532"/>
    <w:rsid w:val="006B5B74"/>
    <w:rsid w:val="006C0CAC"/>
    <w:rsid w:val="006C1457"/>
    <w:rsid w:val="006C1F2B"/>
    <w:rsid w:val="006C2A10"/>
    <w:rsid w:val="006C2A39"/>
    <w:rsid w:val="006C2B8C"/>
    <w:rsid w:val="006C2CF5"/>
    <w:rsid w:val="006C2ED4"/>
    <w:rsid w:val="006C37E0"/>
    <w:rsid w:val="006C4C79"/>
    <w:rsid w:val="006C4F01"/>
    <w:rsid w:val="006C575E"/>
    <w:rsid w:val="006C7462"/>
    <w:rsid w:val="006C7BED"/>
    <w:rsid w:val="006D1ED1"/>
    <w:rsid w:val="006D2075"/>
    <w:rsid w:val="006D27D9"/>
    <w:rsid w:val="006D29B0"/>
    <w:rsid w:val="006D34E4"/>
    <w:rsid w:val="006D42A5"/>
    <w:rsid w:val="006D47A3"/>
    <w:rsid w:val="006E1AA0"/>
    <w:rsid w:val="006E2C4F"/>
    <w:rsid w:val="006E49FE"/>
    <w:rsid w:val="006E4EE5"/>
    <w:rsid w:val="006E51DA"/>
    <w:rsid w:val="006E5996"/>
    <w:rsid w:val="006E647D"/>
    <w:rsid w:val="006E6854"/>
    <w:rsid w:val="006F0229"/>
    <w:rsid w:val="006F07D6"/>
    <w:rsid w:val="006F0FAE"/>
    <w:rsid w:val="006F0FD1"/>
    <w:rsid w:val="006F28B0"/>
    <w:rsid w:val="006F2EBD"/>
    <w:rsid w:val="006F3488"/>
    <w:rsid w:val="006F35CF"/>
    <w:rsid w:val="006F413B"/>
    <w:rsid w:val="006F47BF"/>
    <w:rsid w:val="006F5616"/>
    <w:rsid w:val="006F5B99"/>
    <w:rsid w:val="006F7612"/>
    <w:rsid w:val="006F7C18"/>
    <w:rsid w:val="006F7C74"/>
    <w:rsid w:val="006F7C87"/>
    <w:rsid w:val="00700C5F"/>
    <w:rsid w:val="00701200"/>
    <w:rsid w:val="00701794"/>
    <w:rsid w:val="00703DDB"/>
    <w:rsid w:val="007047AC"/>
    <w:rsid w:val="007049D8"/>
    <w:rsid w:val="0070569F"/>
    <w:rsid w:val="00707538"/>
    <w:rsid w:val="00707FFA"/>
    <w:rsid w:val="00711FB6"/>
    <w:rsid w:val="007141F3"/>
    <w:rsid w:val="00715901"/>
    <w:rsid w:val="007169EA"/>
    <w:rsid w:val="00716BF8"/>
    <w:rsid w:val="00716CBB"/>
    <w:rsid w:val="007177F3"/>
    <w:rsid w:val="007224AC"/>
    <w:rsid w:val="00722878"/>
    <w:rsid w:val="00722A31"/>
    <w:rsid w:val="007247A9"/>
    <w:rsid w:val="007273AE"/>
    <w:rsid w:val="00730993"/>
    <w:rsid w:val="00730FB3"/>
    <w:rsid w:val="00732221"/>
    <w:rsid w:val="00732423"/>
    <w:rsid w:val="0073314E"/>
    <w:rsid w:val="00734868"/>
    <w:rsid w:val="00734914"/>
    <w:rsid w:val="00735D3B"/>
    <w:rsid w:val="00737390"/>
    <w:rsid w:val="007375DA"/>
    <w:rsid w:val="00737A31"/>
    <w:rsid w:val="00742AF6"/>
    <w:rsid w:val="007435AD"/>
    <w:rsid w:val="00743856"/>
    <w:rsid w:val="007441BC"/>
    <w:rsid w:val="007458D3"/>
    <w:rsid w:val="00746B80"/>
    <w:rsid w:val="007509CB"/>
    <w:rsid w:val="00750B6C"/>
    <w:rsid w:val="00753295"/>
    <w:rsid w:val="0075362C"/>
    <w:rsid w:val="00753EE2"/>
    <w:rsid w:val="007544E8"/>
    <w:rsid w:val="00755496"/>
    <w:rsid w:val="007557B3"/>
    <w:rsid w:val="007559C7"/>
    <w:rsid w:val="00755FFD"/>
    <w:rsid w:val="007562E0"/>
    <w:rsid w:val="007566E0"/>
    <w:rsid w:val="0076056D"/>
    <w:rsid w:val="00760F2E"/>
    <w:rsid w:val="007617C1"/>
    <w:rsid w:val="007620EF"/>
    <w:rsid w:val="00762BD0"/>
    <w:rsid w:val="0076328E"/>
    <w:rsid w:val="00764970"/>
    <w:rsid w:val="00764F4B"/>
    <w:rsid w:val="00772698"/>
    <w:rsid w:val="00774B39"/>
    <w:rsid w:val="0077534F"/>
    <w:rsid w:val="00775E3F"/>
    <w:rsid w:val="007769A8"/>
    <w:rsid w:val="0077737A"/>
    <w:rsid w:val="00777F03"/>
    <w:rsid w:val="007805C3"/>
    <w:rsid w:val="00780B5A"/>
    <w:rsid w:val="007819A5"/>
    <w:rsid w:val="007821BB"/>
    <w:rsid w:val="00785E90"/>
    <w:rsid w:val="007862D8"/>
    <w:rsid w:val="00786423"/>
    <w:rsid w:val="00786C73"/>
    <w:rsid w:val="00791B26"/>
    <w:rsid w:val="0079431A"/>
    <w:rsid w:val="00794567"/>
    <w:rsid w:val="00796774"/>
    <w:rsid w:val="007A0243"/>
    <w:rsid w:val="007A0CF8"/>
    <w:rsid w:val="007A1E0C"/>
    <w:rsid w:val="007A42F1"/>
    <w:rsid w:val="007A6AB0"/>
    <w:rsid w:val="007A6ECD"/>
    <w:rsid w:val="007B1F6D"/>
    <w:rsid w:val="007B3474"/>
    <w:rsid w:val="007B54BE"/>
    <w:rsid w:val="007B5B40"/>
    <w:rsid w:val="007B5FDE"/>
    <w:rsid w:val="007B65A5"/>
    <w:rsid w:val="007B6C5E"/>
    <w:rsid w:val="007C07C8"/>
    <w:rsid w:val="007C32F6"/>
    <w:rsid w:val="007C3A6D"/>
    <w:rsid w:val="007C42E3"/>
    <w:rsid w:val="007C55FB"/>
    <w:rsid w:val="007D010D"/>
    <w:rsid w:val="007D0372"/>
    <w:rsid w:val="007D193E"/>
    <w:rsid w:val="007D26C7"/>
    <w:rsid w:val="007D3FA5"/>
    <w:rsid w:val="007D71F7"/>
    <w:rsid w:val="007E0619"/>
    <w:rsid w:val="007E13D8"/>
    <w:rsid w:val="007E1C9D"/>
    <w:rsid w:val="007E44EB"/>
    <w:rsid w:val="007E66E4"/>
    <w:rsid w:val="007E6F5D"/>
    <w:rsid w:val="007E7707"/>
    <w:rsid w:val="007F23EE"/>
    <w:rsid w:val="007F283D"/>
    <w:rsid w:val="007F2B34"/>
    <w:rsid w:val="007F4D49"/>
    <w:rsid w:val="007F4DBC"/>
    <w:rsid w:val="00800C8D"/>
    <w:rsid w:val="00800F98"/>
    <w:rsid w:val="00805ABB"/>
    <w:rsid w:val="008068B0"/>
    <w:rsid w:val="0080773C"/>
    <w:rsid w:val="00807D65"/>
    <w:rsid w:val="00810883"/>
    <w:rsid w:val="00811FCD"/>
    <w:rsid w:val="00812D50"/>
    <w:rsid w:val="0081790F"/>
    <w:rsid w:val="00820CAD"/>
    <w:rsid w:val="00821852"/>
    <w:rsid w:val="008220E5"/>
    <w:rsid w:val="008224DF"/>
    <w:rsid w:val="00823385"/>
    <w:rsid w:val="008236BB"/>
    <w:rsid w:val="008245B5"/>
    <w:rsid w:val="00825876"/>
    <w:rsid w:val="00825AAA"/>
    <w:rsid w:val="00826674"/>
    <w:rsid w:val="00830066"/>
    <w:rsid w:val="00830665"/>
    <w:rsid w:val="00831513"/>
    <w:rsid w:val="00832DEA"/>
    <w:rsid w:val="00832F49"/>
    <w:rsid w:val="0083407F"/>
    <w:rsid w:val="00835407"/>
    <w:rsid w:val="0083576D"/>
    <w:rsid w:val="00836106"/>
    <w:rsid w:val="00836A33"/>
    <w:rsid w:val="008374F5"/>
    <w:rsid w:val="00837C3C"/>
    <w:rsid w:val="0084417B"/>
    <w:rsid w:val="00844D35"/>
    <w:rsid w:val="00845482"/>
    <w:rsid w:val="00845DF5"/>
    <w:rsid w:val="00846103"/>
    <w:rsid w:val="00847147"/>
    <w:rsid w:val="00847D79"/>
    <w:rsid w:val="00850DA5"/>
    <w:rsid w:val="00851890"/>
    <w:rsid w:val="00852F97"/>
    <w:rsid w:val="00853A1E"/>
    <w:rsid w:val="00854338"/>
    <w:rsid w:val="00854FDB"/>
    <w:rsid w:val="00856E16"/>
    <w:rsid w:val="008602AD"/>
    <w:rsid w:val="00861E49"/>
    <w:rsid w:val="008621B5"/>
    <w:rsid w:val="008679EC"/>
    <w:rsid w:val="00867AD9"/>
    <w:rsid w:val="008747A2"/>
    <w:rsid w:val="00874F37"/>
    <w:rsid w:val="00877DFE"/>
    <w:rsid w:val="00877E47"/>
    <w:rsid w:val="00877FB5"/>
    <w:rsid w:val="00880822"/>
    <w:rsid w:val="00881072"/>
    <w:rsid w:val="00881614"/>
    <w:rsid w:val="008816B5"/>
    <w:rsid w:val="00882838"/>
    <w:rsid w:val="00882943"/>
    <w:rsid w:val="00882A9A"/>
    <w:rsid w:val="00882B02"/>
    <w:rsid w:val="00884EF6"/>
    <w:rsid w:val="008871D1"/>
    <w:rsid w:val="008873E1"/>
    <w:rsid w:val="00890453"/>
    <w:rsid w:val="00891076"/>
    <w:rsid w:val="00891E07"/>
    <w:rsid w:val="00893F16"/>
    <w:rsid w:val="00894514"/>
    <w:rsid w:val="00894CB0"/>
    <w:rsid w:val="008950DA"/>
    <w:rsid w:val="00895185"/>
    <w:rsid w:val="00897962"/>
    <w:rsid w:val="008A0B73"/>
    <w:rsid w:val="008A1C6F"/>
    <w:rsid w:val="008A2458"/>
    <w:rsid w:val="008A2DB6"/>
    <w:rsid w:val="008A4671"/>
    <w:rsid w:val="008B040A"/>
    <w:rsid w:val="008B0955"/>
    <w:rsid w:val="008B0C5D"/>
    <w:rsid w:val="008B19CC"/>
    <w:rsid w:val="008B2245"/>
    <w:rsid w:val="008B23B9"/>
    <w:rsid w:val="008B410F"/>
    <w:rsid w:val="008B4430"/>
    <w:rsid w:val="008B4B33"/>
    <w:rsid w:val="008B5A38"/>
    <w:rsid w:val="008B629D"/>
    <w:rsid w:val="008B67C6"/>
    <w:rsid w:val="008B6E00"/>
    <w:rsid w:val="008B7A9F"/>
    <w:rsid w:val="008C150D"/>
    <w:rsid w:val="008C6ECB"/>
    <w:rsid w:val="008C79D2"/>
    <w:rsid w:val="008D0A4E"/>
    <w:rsid w:val="008D1660"/>
    <w:rsid w:val="008D234A"/>
    <w:rsid w:val="008D2F33"/>
    <w:rsid w:val="008D4F77"/>
    <w:rsid w:val="008D5507"/>
    <w:rsid w:val="008D55D0"/>
    <w:rsid w:val="008D79D6"/>
    <w:rsid w:val="008D7BAF"/>
    <w:rsid w:val="008E0CCD"/>
    <w:rsid w:val="008E2028"/>
    <w:rsid w:val="008E238D"/>
    <w:rsid w:val="008E382E"/>
    <w:rsid w:val="008E403B"/>
    <w:rsid w:val="008E4331"/>
    <w:rsid w:val="008E476A"/>
    <w:rsid w:val="008F06D8"/>
    <w:rsid w:val="008F2186"/>
    <w:rsid w:val="008F294F"/>
    <w:rsid w:val="008F31E0"/>
    <w:rsid w:val="008F36A8"/>
    <w:rsid w:val="008F6763"/>
    <w:rsid w:val="009002AC"/>
    <w:rsid w:val="0090063D"/>
    <w:rsid w:val="009006DF"/>
    <w:rsid w:val="009022C1"/>
    <w:rsid w:val="009024E5"/>
    <w:rsid w:val="00903055"/>
    <w:rsid w:val="0090401F"/>
    <w:rsid w:val="0090438C"/>
    <w:rsid w:val="009060C7"/>
    <w:rsid w:val="0090668A"/>
    <w:rsid w:val="009076FD"/>
    <w:rsid w:val="00910A3C"/>
    <w:rsid w:val="00910E8A"/>
    <w:rsid w:val="00911EBD"/>
    <w:rsid w:val="009137E6"/>
    <w:rsid w:val="009155FC"/>
    <w:rsid w:val="009161B8"/>
    <w:rsid w:val="00917210"/>
    <w:rsid w:val="00922261"/>
    <w:rsid w:val="00922B84"/>
    <w:rsid w:val="00924628"/>
    <w:rsid w:val="00924E1E"/>
    <w:rsid w:val="00925A3B"/>
    <w:rsid w:val="00926455"/>
    <w:rsid w:val="00930381"/>
    <w:rsid w:val="00930D28"/>
    <w:rsid w:val="00931836"/>
    <w:rsid w:val="00931A05"/>
    <w:rsid w:val="00931D2D"/>
    <w:rsid w:val="009353B7"/>
    <w:rsid w:val="00935580"/>
    <w:rsid w:val="009355E0"/>
    <w:rsid w:val="00935866"/>
    <w:rsid w:val="0094040D"/>
    <w:rsid w:val="0094257F"/>
    <w:rsid w:val="009429CB"/>
    <w:rsid w:val="00942CE5"/>
    <w:rsid w:val="009474CC"/>
    <w:rsid w:val="00947A2B"/>
    <w:rsid w:val="00947A8D"/>
    <w:rsid w:val="009522DE"/>
    <w:rsid w:val="00954E6E"/>
    <w:rsid w:val="0095719E"/>
    <w:rsid w:val="00957F79"/>
    <w:rsid w:val="0096173B"/>
    <w:rsid w:val="00964098"/>
    <w:rsid w:val="009644B1"/>
    <w:rsid w:val="00967A18"/>
    <w:rsid w:val="00970D34"/>
    <w:rsid w:val="00971927"/>
    <w:rsid w:val="00971952"/>
    <w:rsid w:val="009724F1"/>
    <w:rsid w:val="0097303C"/>
    <w:rsid w:val="00973BE6"/>
    <w:rsid w:val="00973C05"/>
    <w:rsid w:val="00974155"/>
    <w:rsid w:val="009741E5"/>
    <w:rsid w:val="00974D95"/>
    <w:rsid w:val="00974F61"/>
    <w:rsid w:val="009750A6"/>
    <w:rsid w:val="009806F5"/>
    <w:rsid w:val="00980CEA"/>
    <w:rsid w:val="0098134D"/>
    <w:rsid w:val="009868A3"/>
    <w:rsid w:val="00987198"/>
    <w:rsid w:val="00987F9F"/>
    <w:rsid w:val="0099027E"/>
    <w:rsid w:val="009905AE"/>
    <w:rsid w:val="00990AFD"/>
    <w:rsid w:val="00990D8C"/>
    <w:rsid w:val="009915CB"/>
    <w:rsid w:val="00992543"/>
    <w:rsid w:val="009930E3"/>
    <w:rsid w:val="00993E48"/>
    <w:rsid w:val="0099416E"/>
    <w:rsid w:val="009943C1"/>
    <w:rsid w:val="00995853"/>
    <w:rsid w:val="0099699B"/>
    <w:rsid w:val="00997FC1"/>
    <w:rsid w:val="009A02DE"/>
    <w:rsid w:val="009A1289"/>
    <w:rsid w:val="009A1A0A"/>
    <w:rsid w:val="009A421C"/>
    <w:rsid w:val="009A4BFD"/>
    <w:rsid w:val="009B0E03"/>
    <w:rsid w:val="009B1F5D"/>
    <w:rsid w:val="009B209E"/>
    <w:rsid w:val="009B2763"/>
    <w:rsid w:val="009B367B"/>
    <w:rsid w:val="009B44BE"/>
    <w:rsid w:val="009B499F"/>
    <w:rsid w:val="009B5E70"/>
    <w:rsid w:val="009C122E"/>
    <w:rsid w:val="009C241C"/>
    <w:rsid w:val="009C2DC8"/>
    <w:rsid w:val="009C3610"/>
    <w:rsid w:val="009C50AD"/>
    <w:rsid w:val="009D18D1"/>
    <w:rsid w:val="009D33AD"/>
    <w:rsid w:val="009D3444"/>
    <w:rsid w:val="009D417C"/>
    <w:rsid w:val="009D4C12"/>
    <w:rsid w:val="009D719C"/>
    <w:rsid w:val="009D7964"/>
    <w:rsid w:val="009D7C4C"/>
    <w:rsid w:val="009E0857"/>
    <w:rsid w:val="009E0AEF"/>
    <w:rsid w:val="009E30FA"/>
    <w:rsid w:val="009E5AB6"/>
    <w:rsid w:val="009E5BD4"/>
    <w:rsid w:val="009F09BB"/>
    <w:rsid w:val="009F0E08"/>
    <w:rsid w:val="009F196D"/>
    <w:rsid w:val="009F2D91"/>
    <w:rsid w:val="009F3A8C"/>
    <w:rsid w:val="009F48FA"/>
    <w:rsid w:val="009F4E82"/>
    <w:rsid w:val="009F633D"/>
    <w:rsid w:val="009F74D4"/>
    <w:rsid w:val="00A012C0"/>
    <w:rsid w:val="00A01EB8"/>
    <w:rsid w:val="00A02D1A"/>
    <w:rsid w:val="00A05295"/>
    <w:rsid w:val="00A06FA2"/>
    <w:rsid w:val="00A0755F"/>
    <w:rsid w:val="00A10FD1"/>
    <w:rsid w:val="00A12CA8"/>
    <w:rsid w:val="00A15B07"/>
    <w:rsid w:val="00A174F9"/>
    <w:rsid w:val="00A17515"/>
    <w:rsid w:val="00A212C9"/>
    <w:rsid w:val="00A23811"/>
    <w:rsid w:val="00A23FD2"/>
    <w:rsid w:val="00A2456B"/>
    <w:rsid w:val="00A26324"/>
    <w:rsid w:val="00A26E6B"/>
    <w:rsid w:val="00A30A5B"/>
    <w:rsid w:val="00A30CEB"/>
    <w:rsid w:val="00A31A3E"/>
    <w:rsid w:val="00A31E5A"/>
    <w:rsid w:val="00A32F87"/>
    <w:rsid w:val="00A3381D"/>
    <w:rsid w:val="00A350FA"/>
    <w:rsid w:val="00A35297"/>
    <w:rsid w:val="00A354ED"/>
    <w:rsid w:val="00A36612"/>
    <w:rsid w:val="00A36B76"/>
    <w:rsid w:val="00A41D7F"/>
    <w:rsid w:val="00A41E90"/>
    <w:rsid w:val="00A424A6"/>
    <w:rsid w:val="00A42672"/>
    <w:rsid w:val="00A43582"/>
    <w:rsid w:val="00A44286"/>
    <w:rsid w:val="00A4535E"/>
    <w:rsid w:val="00A45E0C"/>
    <w:rsid w:val="00A46F11"/>
    <w:rsid w:val="00A479FA"/>
    <w:rsid w:val="00A508A2"/>
    <w:rsid w:val="00A51477"/>
    <w:rsid w:val="00A51544"/>
    <w:rsid w:val="00A52A57"/>
    <w:rsid w:val="00A52F38"/>
    <w:rsid w:val="00A52FD7"/>
    <w:rsid w:val="00A53D70"/>
    <w:rsid w:val="00A5475B"/>
    <w:rsid w:val="00A55F70"/>
    <w:rsid w:val="00A60291"/>
    <w:rsid w:val="00A60851"/>
    <w:rsid w:val="00A60AD4"/>
    <w:rsid w:val="00A612C2"/>
    <w:rsid w:val="00A6396F"/>
    <w:rsid w:val="00A651B6"/>
    <w:rsid w:val="00A65A9E"/>
    <w:rsid w:val="00A715B2"/>
    <w:rsid w:val="00A7176D"/>
    <w:rsid w:val="00A719C7"/>
    <w:rsid w:val="00A71F65"/>
    <w:rsid w:val="00A7537F"/>
    <w:rsid w:val="00A81872"/>
    <w:rsid w:val="00A84966"/>
    <w:rsid w:val="00A85BBF"/>
    <w:rsid w:val="00A86CE8"/>
    <w:rsid w:val="00A94CE5"/>
    <w:rsid w:val="00A967E7"/>
    <w:rsid w:val="00A97832"/>
    <w:rsid w:val="00AA1295"/>
    <w:rsid w:val="00AA1A7E"/>
    <w:rsid w:val="00AA2FB6"/>
    <w:rsid w:val="00AA4659"/>
    <w:rsid w:val="00AA4D9A"/>
    <w:rsid w:val="00AA55DB"/>
    <w:rsid w:val="00AA6656"/>
    <w:rsid w:val="00AA7833"/>
    <w:rsid w:val="00AB03C7"/>
    <w:rsid w:val="00AB43CB"/>
    <w:rsid w:val="00AB4904"/>
    <w:rsid w:val="00AB4EBA"/>
    <w:rsid w:val="00AB4EE0"/>
    <w:rsid w:val="00AB5347"/>
    <w:rsid w:val="00AB5B38"/>
    <w:rsid w:val="00AB62DB"/>
    <w:rsid w:val="00AB7F35"/>
    <w:rsid w:val="00AC02C6"/>
    <w:rsid w:val="00AC0F1B"/>
    <w:rsid w:val="00AC13BF"/>
    <w:rsid w:val="00AC13CA"/>
    <w:rsid w:val="00AC16D4"/>
    <w:rsid w:val="00AC16F0"/>
    <w:rsid w:val="00AC1F3C"/>
    <w:rsid w:val="00AC1F98"/>
    <w:rsid w:val="00AC25C6"/>
    <w:rsid w:val="00AC39E7"/>
    <w:rsid w:val="00AC4232"/>
    <w:rsid w:val="00AC55F8"/>
    <w:rsid w:val="00AC5BAF"/>
    <w:rsid w:val="00AC6AF6"/>
    <w:rsid w:val="00AC6D2A"/>
    <w:rsid w:val="00AC7A19"/>
    <w:rsid w:val="00AD006E"/>
    <w:rsid w:val="00AD1708"/>
    <w:rsid w:val="00AD2473"/>
    <w:rsid w:val="00AD24D8"/>
    <w:rsid w:val="00AD2663"/>
    <w:rsid w:val="00AD2CB0"/>
    <w:rsid w:val="00AD37A8"/>
    <w:rsid w:val="00AD4231"/>
    <w:rsid w:val="00AD432C"/>
    <w:rsid w:val="00AD4E08"/>
    <w:rsid w:val="00AD59C2"/>
    <w:rsid w:val="00AD7309"/>
    <w:rsid w:val="00AE053E"/>
    <w:rsid w:val="00AE0F83"/>
    <w:rsid w:val="00AE1C75"/>
    <w:rsid w:val="00AE1D5D"/>
    <w:rsid w:val="00AE25A6"/>
    <w:rsid w:val="00AE2C9C"/>
    <w:rsid w:val="00AE46EB"/>
    <w:rsid w:val="00AE48DA"/>
    <w:rsid w:val="00AE517D"/>
    <w:rsid w:val="00AE524F"/>
    <w:rsid w:val="00AE63F4"/>
    <w:rsid w:val="00AE6646"/>
    <w:rsid w:val="00AE672D"/>
    <w:rsid w:val="00AF0A08"/>
    <w:rsid w:val="00AF236A"/>
    <w:rsid w:val="00AF2679"/>
    <w:rsid w:val="00AF45D6"/>
    <w:rsid w:val="00AF60CC"/>
    <w:rsid w:val="00AF7062"/>
    <w:rsid w:val="00B0082B"/>
    <w:rsid w:val="00B00A2A"/>
    <w:rsid w:val="00B00EFD"/>
    <w:rsid w:val="00B105A8"/>
    <w:rsid w:val="00B1188C"/>
    <w:rsid w:val="00B12B80"/>
    <w:rsid w:val="00B17675"/>
    <w:rsid w:val="00B17D20"/>
    <w:rsid w:val="00B17FAF"/>
    <w:rsid w:val="00B20547"/>
    <w:rsid w:val="00B20FFE"/>
    <w:rsid w:val="00B212AA"/>
    <w:rsid w:val="00B25BFE"/>
    <w:rsid w:val="00B261A9"/>
    <w:rsid w:val="00B264AD"/>
    <w:rsid w:val="00B301E8"/>
    <w:rsid w:val="00B30BA2"/>
    <w:rsid w:val="00B30D8F"/>
    <w:rsid w:val="00B31426"/>
    <w:rsid w:val="00B32312"/>
    <w:rsid w:val="00B32D1C"/>
    <w:rsid w:val="00B352B9"/>
    <w:rsid w:val="00B361AA"/>
    <w:rsid w:val="00B40935"/>
    <w:rsid w:val="00B40D08"/>
    <w:rsid w:val="00B42721"/>
    <w:rsid w:val="00B42D0D"/>
    <w:rsid w:val="00B4657F"/>
    <w:rsid w:val="00B46905"/>
    <w:rsid w:val="00B469F1"/>
    <w:rsid w:val="00B50169"/>
    <w:rsid w:val="00B51B4D"/>
    <w:rsid w:val="00B52888"/>
    <w:rsid w:val="00B56A6A"/>
    <w:rsid w:val="00B56BFD"/>
    <w:rsid w:val="00B63AED"/>
    <w:rsid w:val="00B64B1D"/>
    <w:rsid w:val="00B64CE4"/>
    <w:rsid w:val="00B662A0"/>
    <w:rsid w:val="00B662AC"/>
    <w:rsid w:val="00B664E9"/>
    <w:rsid w:val="00B6685D"/>
    <w:rsid w:val="00B6697A"/>
    <w:rsid w:val="00B67BD4"/>
    <w:rsid w:val="00B70783"/>
    <w:rsid w:val="00B7113D"/>
    <w:rsid w:val="00B72990"/>
    <w:rsid w:val="00B72FD7"/>
    <w:rsid w:val="00B732B7"/>
    <w:rsid w:val="00B7331E"/>
    <w:rsid w:val="00B753B4"/>
    <w:rsid w:val="00B7573D"/>
    <w:rsid w:val="00B7608F"/>
    <w:rsid w:val="00B76255"/>
    <w:rsid w:val="00B81C2B"/>
    <w:rsid w:val="00B83A73"/>
    <w:rsid w:val="00B853AE"/>
    <w:rsid w:val="00B85584"/>
    <w:rsid w:val="00B85C13"/>
    <w:rsid w:val="00B85F57"/>
    <w:rsid w:val="00B862EB"/>
    <w:rsid w:val="00B86313"/>
    <w:rsid w:val="00B8723E"/>
    <w:rsid w:val="00B87358"/>
    <w:rsid w:val="00B903A8"/>
    <w:rsid w:val="00B90CF8"/>
    <w:rsid w:val="00B934FD"/>
    <w:rsid w:val="00B95EE9"/>
    <w:rsid w:val="00B969ED"/>
    <w:rsid w:val="00B96BF8"/>
    <w:rsid w:val="00B975F3"/>
    <w:rsid w:val="00BA16A0"/>
    <w:rsid w:val="00BA1E52"/>
    <w:rsid w:val="00BA2DE5"/>
    <w:rsid w:val="00BA41C3"/>
    <w:rsid w:val="00BA4470"/>
    <w:rsid w:val="00BA4A41"/>
    <w:rsid w:val="00BA56F4"/>
    <w:rsid w:val="00BB1882"/>
    <w:rsid w:val="00BB36E0"/>
    <w:rsid w:val="00BB422A"/>
    <w:rsid w:val="00BB5B63"/>
    <w:rsid w:val="00BB64BA"/>
    <w:rsid w:val="00BC26D9"/>
    <w:rsid w:val="00BC2792"/>
    <w:rsid w:val="00BC5F32"/>
    <w:rsid w:val="00BC6D06"/>
    <w:rsid w:val="00BC7527"/>
    <w:rsid w:val="00BC7C9B"/>
    <w:rsid w:val="00BD0371"/>
    <w:rsid w:val="00BD080B"/>
    <w:rsid w:val="00BD0CE4"/>
    <w:rsid w:val="00BD1785"/>
    <w:rsid w:val="00BD1BB9"/>
    <w:rsid w:val="00BD247C"/>
    <w:rsid w:val="00BD2E8F"/>
    <w:rsid w:val="00BD3327"/>
    <w:rsid w:val="00BD4357"/>
    <w:rsid w:val="00BD5E89"/>
    <w:rsid w:val="00BD649E"/>
    <w:rsid w:val="00BD6BC2"/>
    <w:rsid w:val="00BD7C58"/>
    <w:rsid w:val="00BE0F0E"/>
    <w:rsid w:val="00BE3C77"/>
    <w:rsid w:val="00BE44FA"/>
    <w:rsid w:val="00BE5A1F"/>
    <w:rsid w:val="00BE7DD4"/>
    <w:rsid w:val="00BF0AA2"/>
    <w:rsid w:val="00BF2C4E"/>
    <w:rsid w:val="00BF40A6"/>
    <w:rsid w:val="00BF445A"/>
    <w:rsid w:val="00BF7074"/>
    <w:rsid w:val="00BF7F85"/>
    <w:rsid w:val="00C03D4F"/>
    <w:rsid w:val="00C04F1D"/>
    <w:rsid w:val="00C05450"/>
    <w:rsid w:val="00C057FA"/>
    <w:rsid w:val="00C10D81"/>
    <w:rsid w:val="00C11480"/>
    <w:rsid w:val="00C117A8"/>
    <w:rsid w:val="00C11A9B"/>
    <w:rsid w:val="00C11BBA"/>
    <w:rsid w:val="00C1249D"/>
    <w:rsid w:val="00C146E2"/>
    <w:rsid w:val="00C16616"/>
    <w:rsid w:val="00C16ABB"/>
    <w:rsid w:val="00C17AC3"/>
    <w:rsid w:val="00C202E3"/>
    <w:rsid w:val="00C20FE0"/>
    <w:rsid w:val="00C22B42"/>
    <w:rsid w:val="00C2345B"/>
    <w:rsid w:val="00C2427E"/>
    <w:rsid w:val="00C25A8A"/>
    <w:rsid w:val="00C25DB8"/>
    <w:rsid w:val="00C26B91"/>
    <w:rsid w:val="00C26C5D"/>
    <w:rsid w:val="00C276FE"/>
    <w:rsid w:val="00C301DA"/>
    <w:rsid w:val="00C33DD5"/>
    <w:rsid w:val="00C340F4"/>
    <w:rsid w:val="00C36DAE"/>
    <w:rsid w:val="00C36F55"/>
    <w:rsid w:val="00C41952"/>
    <w:rsid w:val="00C44802"/>
    <w:rsid w:val="00C44FF1"/>
    <w:rsid w:val="00C455CD"/>
    <w:rsid w:val="00C45E1C"/>
    <w:rsid w:val="00C45EFC"/>
    <w:rsid w:val="00C4633A"/>
    <w:rsid w:val="00C47711"/>
    <w:rsid w:val="00C47AB5"/>
    <w:rsid w:val="00C47B14"/>
    <w:rsid w:val="00C50876"/>
    <w:rsid w:val="00C524FD"/>
    <w:rsid w:val="00C526FD"/>
    <w:rsid w:val="00C53A4F"/>
    <w:rsid w:val="00C53B03"/>
    <w:rsid w:val="00C53D48"/>
    <w:rsid w:val="00C54A5F"/>
    <w:rsid w:val="00C54CF3"/>
    <w:rsid w:val="00C55CB7"/>
    <w:rsid w:val="00C576C3"/>
    <w:rsid w:val="00C601A6"/>
    <w:rsid w:val="00C61B09"/>
    <w:rsid w:val="00C6315B"/>
    <w:rsid w:val="00C640BC"/>
    <w:rsid w:val="00C6469F"/>
    <w:rsid w:val="00C667B9"/>
    <w:rsid w:val="00C67EFF"/>
    <w:rsid w:val="00C70182"/>
    <w:rsid w:val="00C704A1"/>
    <w:rsid w:val="00C748CD"/>
    <w:rsid w:val="00C76BC3"/>
    <w:rsid w:val="00C77BB7"/>
    <w:rsid w:val="00C77C61"/>
    <w:rsid w:val="00C77E29"/>
    <w:rsid w:val="00C8081C"/>
    <w:rsid w:val="00C80B48"/>
    <w:rsid w:val="00C80D48"/>
    <w:rsid w:val="00C8328A"/>
    <w:rsid w:val="00C836F8"/>
    <w:rsid w:val="00C84E1F"/>
    <w:rsid w:val="00C85522"/>
    <w:rsid w:val="00C85BD1"/>
    <w:rsid w:val="00C904E4"/>
    <w:rsid w:val="00C90B4E"/>
    <w:rsid w:val="00C90BC0"/>
    <w:rsid w:val="00C91546"/>
    <w:rsid w:val="00C91719"/>
    <w:rsid w:val="00C9269D"/>
    <w:rsid w:val="00C9336D"/>
    <w:rsid w:val="00C93797"/>
    <w:rsid w:val="00C961B4"/>
    <w:rsid w:val="00CA06E4"/>
    <w:rsid w:val="00CA2D7F"/>
    <w:rsid w:val="00CA2FBA"/>
    <w:rsid w:val="00CA3068"/>
    <w:rsid w:val="00CA34CF"/>
    <w:rsid w:val="00CA3500"/>
    <w:rsid w:val="00CA3ED7"/>
    <w:rsid w:val="00CA5303"/>
    <w:rsid w:val="00CA6AA2"/>
    <w:rsid w:val="00CB0B1D"/>
    <w:rsid w:val="00CB13DC"/>
    <w:rsid w:val="00CB23B1"/>
    <w:rsid w:val="00CB2A8C"/>
    <w:rsid w:val="00CB30DF"/>
    <w:rsid w:val="00CB40A9"/>
    <w:rsid w:val="00CB4836"/>
    <w:rsid w:val="00CB59CE"/>
    <w:rsid w:val="00CB765D"/>
    <w:rsid w:val="00CC146F"/>
    <w:rsid w:val="00CC15E1"/>
    <w:rsid w:val="00CC17C1"/>
    <w:rsid w:val="00CC2DC5"/>
    <w:rsid w:val="00CC38A3"/>
    <w:rsid w:val="00CC6D75"/>
    <w:rsid w:val="00CD1136"/>
    <w:rsid w:val="00CD3C38"/>
    <w:rsid w:val="00CD407B"/>
    <w:rsid w:val="00CD4882"/>
    <w:rsid w:val="00CD5352"/>
    <w:rsid w:val="00CD6CBA"/>
    <w:rsid w:val="00CE090C"/>
    <w:rsid w:val="00CE132B"/>
    <w:rsid w:val="00CE2F3B"/>
    <w:rsid w:val="00CE350B"/>
    <w:rsid w:val="00CE624F"/>
    <w:rsid w:val="00CE7136"/>
    <w:rsid w:val="00CE73A3"/>
    <w:rsid w:val="00CF1B91"/>
    <w:rsid w:val="00CF1DB1"/>
    <w:rsid w:val="00CF1FF9"/>
    <w:rsid w:val="00CF48E7"/>
    <w:rsid w:val="00CF5183"/>
    <w:rsid w:val="00CF6545"/>
    <w:rsid w:val="00D0047A"/>
    <w:rsid w:val="00D02D10"/>
    <w:rsid w:val="00D041B3"/>
    <w:rsid w:val="00D04AC1"/>
    <w:rsid w:val="00D07184"/>
    <w:rsid w:val="00D07B53"/>
    <w:rsid w:val="00D123F5"/>
    <w:rsid w:val="00D14497"/>
    <w:rsid w:val="00D14931"/>
    <w:rsid w:val="00D15C42"/>
    <w:rsid w:val="00D15D24"/>
    <w:rsid w:val="00D16A8E"/>
    <w:rsid w:val="00D17510"/>
    <w:rsid w:val="00D17EB9"/>
    <w:rsid w:val="00D20E5E"/>
    <w:rsid w:val="00D21FC0"/>
    <w:rsid w:val="00D22F94"/>
    <w:rsid w:val="00D2546E"/>
    <w:rsid w:val="00D315C4"/>
    <w:rsid w:val="00D31C35"/>
    <w:rsid w:val="00D3337F"/>
    <w:rsid w:val="00D33750"/>
    <w:rsid w:val="00D337C1"/>
    <w:rsid w:val="00D345EA"/>
    <w:rsid w:val="00D34895"/>
    <w:rsid w:val="00D34F31"/>
    <w:rsid w:val="00D358F5"/>
    <w:rsid w:val="00D36917"/>
    <w:rsid w:val="00D3736F"/>
    <w:rsid w:val="00D37E40"/>
    <w:rsid w:val="00D41EB0"/>
    <w:rsid w:val="00D41F45"/>
    <w:rsid w:val="00D442D9"/>
    <w:rsid w:val="00D44DD6"/>
    <w:rsid w:val="00D457D6"/>
    <w:rsid w:val="00D459CB"/>
    <w:rsid w:val="00D46205"/>
    <w:rsid w:val="00D47F6C"/>
    <w:rsid w:val="00D47FE7"/>
    <w:rsid w:val="00D527B5"/>
    <w:rsid w:val="00D5387E"/>
    <w:rsid w:val="00D57657"/>
    <w:rsid w:val="00D57712"/>
    <w:rsid w:val="00D577EF"/>
    <w:rsid w:val="00D60D73"/>
    <w:rsid w:val="00D61BC1"/>
    <w:rsid w:val="00D63B4B"/>
    <w:rsid w:val="00D63C7B"/>
    <w:rsid w:val="00D65C22"/>
    <w:rsid w:val="00D66337"/>
    <w:rsid w:val="00D67059"/>
    <w:rsid w:val="00D67C4D"/>
    <w:rsid w:val="00D73482"/>
    <w:rsid w:val="00D73903"/>
    <w:rsid w:val="00D75071"/>
    <w:rsid w:val="00D7513E"/>
    <w:rsid w:val="00D7589C"/>
    <w:rsid w:val="00D762D2"/>
    <w:rsid w:val="00D76561"/>
    <w:rsid w:val="00D76D32"/>
    <w:rsid w:val="00D76EF5"/>
    <w:rsid w:val="00D77454"/>
    <w:rsid w:val="00D777E1"/>
    <w:rsid w:val="00D80990"/>
    <w:rsid w:val="00D80F3E"/>
    <w:rsid w:val="00D81CE8"/>
    <w:rsid w:val="00D81F8B"/>
    <w:rsid w:val="00D84047"/>
    <w:rsid w:val="00D86602"/>
    <w:rsid w:val="00D918AD"/>
    <w:rsid w:val="00D91E4C"/>
    <w:rsid w:val="00D93A08"/>
    <w:rsid w:val="00D95364"/>
    <w:rsid w:val="00DA00C3"/>
    <w:rsid w:val="00DA067A"/>
    <w:rsid w:val="00DA1563"/>
    <w:rsid w:val="00DA16C3"/>
    <w:rsid w:val="00DA1C6D"/>
    <w:rsid w:val="00DA253C"/>
    <w:rsid w:val="00DA3321"/>
    <w:rsid w:val="00DA3F3F"/>
    <w:rsid w:val="00DA6FA8"/>
    <w:rsid w:val="00DB48F2"/>
    <w:rsid w:val="00DB68F0"/>
    <w:rsid w:val="00DB6BA6"/>
    <w:rsid w:val="00DB71C7"/>
    <w:rsid w:val="00DB7213"/>
    <w:rsid w:val="00DB7E46"/>
    <w:rsid w:val="00DC0CDC"/>
    <w:rsid w:val="00DC2BE9"/>
    <w:rsid w:val="00DC2CD5"/>
    <w:rsid w:val="00DC4508"/>
    <w:rsid w:val="00DC4A84"/>
    <w:rsid w:val="00DC728D"/>
    <w:rsid w:val="00DD086C"/>
    <w:rsid w:val="00DD0A37"/>
    <w:rsid w:val="00DD0E17"/>
    <w:rsid w:val="00DD33CB"/>
    <w:rsid w:val="00DD43E8"/>
    <w:rsid w:val="00DD46FB"/>
    <w:rsid w:val="00DD54A9"/>
    <w:rsid w:val="00DD60E2"/>
    <w:rsid w:val="00DD6694"/>
    <w:rsid w:val="00DD6C64"/>
    <w:rsid w:val="00DD6FF4"/>
    <w:rsid w:val="00DD7421"/>
    <w:rsid w:val="00DD783C"/>
    <w:rsid w:val="00DE3C26"/>
    <w:rsid w:val="00DE407E"/>
    <w:rsid w:val="00DE41C6"/>
    <w:rsid w:val="00DE59F1"/>
    <w:rsid w:val="00DE5AFA"/>
    <w:rsid w:val="00DE5F22"/>
    <w:rsid w:val="00DE76E3"/>
    <w:rsid w:val="00DF01D0"/>
    <w:rsid w:val="00DF1106"/>
    <w:rsid w:val="00DF18F5"/>
    <w:rsid w:val="00DF1FB6"/>
    <w:rsid w:val="00DF2F2E"/>
    <w:rsid w:val="00DF507F"/>
    <w:rsid w:val="00E00E08"/>
    <w:rsid w:val="00E01F3C"/>
    <w:rsid w:val="00E02925"/>
    <w:rsid w:val="00E048BF"/>
    <w:rsid w:val="00E05571"/>
    <w:rsid w:val="00E05820"/>
    <w:rsid w:val="00E074DF"/>
    <w:rsid w:val="00E10EAF"/>
    <w:rsid w:val="00E12EDA"/>
    <w:rsid w:val="00E1324C"/>
    <w:rsid w:val="00E135A5"/>
    <w:rsid w:val="00E1408D"/>
    <w:rsid w:val="00E16456"/>
    <w:rsid w:val="00E17836"/>
    <w:rsid w:val="00E205AB"/>
    <w:rsid w:val="00E20A44"/>
    <w:rsid w:val="00E2184B"/>
    <w:rsid w:val="00E21AB1"/>
    <w:rsid w:val="00E21B83"/>
    <w:rsid w:val="00E22301"/>
    <w:rsid w:val="00E22825"/>
    <w:rsid w:val="00E25123"/>
    <w:rsid w:val="00E30953"/>
    <w:rsid w:val="00E31CAB"/>
    <w:rsid w:val="00E343A4"/>
    <w:rsid w:val="00E350F1"/>
    <w:rsid w:val="00E3695A"/>
    <w:rsid w:val="00E36E30"/>
    <w:rsid w:val="00E404F0"/>
    <w:rsid w:val="00E40A57"/>
    <w:rsid w:val="00E40BBD"/>
    <w:rsid w:val="00E4311F"/>
    <w:rsid w:val="00E43CCC"/>
    <w:rsid w:val="00E44013"/>
    <w:rsid w:val="00E44EA5"/>
    <w:rsid w:val="00E45216"/>
    <w:rsid w:val="00E452E5"/>
    <w:rsid w:val="00E456E6"/>
    <w:rsid w:val="00E45CB1"/>
    <w:rsid w:val="00E47A75"/>
    <w:rsid w:val="00E50BCB"/>
    <w:rsid w:val="00E5120D"/>
    <w:rsid w:val="00E51573"/>
    <w:rsid w:val="00E540ED"/>
    <w:rsid w:val="00E5425A"/>
    <w:rsid w:val="00E549A3"/>
    <w:rsid w:val="00E56AF0"/>
    <w:rsid w:val="00E571B4"/>
    <w:rsid w:val="00E602B7"/>
    <w:rsid w:val="00E6034B"/>
    <w:rsid w:val="00E61F40"/>
    <w:rsid w:val="00E61FCC"/>
    <w:rsid w:val="00E634E0"/>
    <w:rsid w:val="00E63E6A"/>
    <w:rsid w:val="00E649AA"/>
    <w:rsid w:val="00E673BC"/>
    <w:rsid w:val="00E67B87"/>
    <w:rsid w:val="00E7114C"/>
    <w:rsid w:val="00E71211"/>
    <w:rsid w:val="00E7133A"/>
    <w:rsid w:val="00E73605"/>
    <w:rsid w:val="00E73E32"/>
    <w:rsid w:val="00E74A87"/>
    <w:rsid w:val="00E751BF"/>
    <w:rsid w:val="00E75C5F"/>
    <w:rsid w:val="00E77774"/>
    <w:rsid w:val="00E77DB0"/>
    <w:rsid w:val="00E8096B"/>
    <w:rsid w:val="00E8106C"/>
    <w:rsid w:val="00E81087"/>
    <w:rsid w:val="00E8135A"/>
    <w:rsid w:val="00E819D8"/>
    <w:rsid w:val="00E8202D"/>
    <w:rsid w:val="00E82A21"/>
    <w:rsid w:val="00E82E5F"/>
    <w:rsid w:val="00E86B3B"/>
    <w:rsid w:val="00E8724C"/>
    <w:rsid w:val="00E87D5C"/>
    <w:rsid w:val="00E904B4"/>
    <w:rsid w:val="00E91C10"/>
    <w:rsid w:val="00E92C71"/>
    <w:rsid w:val="00E93CBB"/>
    <w:rsid w:val="00E9640A"/>
    <w:rsid w:val="00E96888"/>
    <w:rsid w:val="00E96B41"/>
    <w:rsid w:val="00EA10BC"/>
    <w:rsid w:val="00EA30B2"/>
    <w:rsid w:val="00EA38B6"/>
    <w:rsid w:val="00EA46E8"/>
    <w:rsid w:val="00EA5A76"/>
    <w:rsid w:val="00EA5B21"/>
    <w:rsid w:val="00EA5C41"/>
    <w:rsid w:val="00EA6543"/>
    <w:rsid w:val="00EA7A86"/>
    <w:rsid w:val="00EA7B93"/>
    <w:rsid w:val="00EB058A"/>
    <w:rsid w:val="00EB27B0"/>
    <w:rsid w:val="00EB294A"/>
    <w:rsid w:val="00EB3860"/>
    <w:rsid w:val="00EB4AF2"/>
    <w:rsid w:val="00EB519F"/>
    <w:rsid w:val="00EB6499"/>
    <w:rsid w:val="00EB7DC3"/>
    <w:rsid w:val="00EC03DA"/>
    <w:rsid w:val="00EC084B"/>
    <w:rsid w:val="00EC26BC"/>
    <w:rsid w:val="00EC3253"/>
    <w:rsid w:val="00EC41D8"/>
    <w:rsid w:val="00EC6AE6"/>
    <w:rsid w:val="00EC715A"/>
    <w:rsid w:val="00EC7644"/>
    <w:rsid w:val="00EC79E7"/>
    <w:rsid w:val="00ED0AFC"/>
    <w:rsid w:val="00ED1B86"/>
    <w:rsid w:val="00ED1FF9"/>
    <w:rsid w:val="00ED2294"/>
    <w:rsid w:val="00ED25AA"/>
    <w:rsid w:val="00ED2B15"/>
    <w:rsid w:val="00ED2B32"/>
    <w:rsid w:val="00ED2B48"/>
    <w:rsid w:val="00ED41D9"/>
    <w:rsid w:val="00ED43C3"/>
    <w:rsid w:val="00ED58B7"/>
    <w:rsid w:val="00ED5B4F"/>
    <w:rsid w:val="00ED6A50"/>
    <w:rsid w:val="00ED6C56"/>
    <w:rsid w:val="00ED6E93"/>
    <w:rsid w:val="00ED7145"/>
    <w:rsid w:val="00EE0B35"/>
    <w:rsid w:val="00EE29A8"/>
    <w:rsid w:val="00EE4412"/>
    <w:rsid w:val="00EE59C9"/>
    <w:rsid w:val="00EE6ECF"/>
    <w:rsid w:val="00EE700B"/>
    <w:rsid w:val="00EE77E7"/>
    <w:rsid w:val="00EE7E88"/>
    <w:rsid w:val="00EF0366"/>
    <w:rsid w:val="00EF0BC2"/>
    <w:rsid w:val="00EF300F"/>
    <w:rsid w:val="00EF32C1"/>
    <w:rsid w:val="00EF32D7"/>
    <w:rsid w:val="00EF616A"/>
    <w:rsid w:val="00EF619D"/>
    <w:rsid w:val="00EF6383"/>
    <w:rsid w:val="00EF7C08"/>
    <w:rsid w:val="00F0000E"/>
    <w:rsid w:val="00F00168"/>
    <w:rsid w:val="00F011D2"/>
    <w:rsid w:val="00F01CDC"/>
    <w:rsid w:val="00F0213B"/>
    <w:rsid w:val="00F03310"/>
    <w:rsid w:val="00F06A60"/>
    <w:rsid w:val="00F06ADC"/>
    <w:rsid w:val="00F07651"/>
    <w:rsid w:val="00F10AD1"/>
    <w:rsid w:val="00F11209"/>
    <w:rsid w:val="00F11B9C"/>
    <w:rsid w:val="00F12298"/>
    <w:rsid w:val="00F1428A"/>
    <w:rsid w:val="00F1623D"/>
    <w:rsid w:val="00F21010"/>
    <w:rsid w:val="00F25046"/>
    <w:rsid w:val="00F309F8"/>
    <w:rsid w:val="00F309FE"/>
    <w:rsid w:val="00F31325"/>
    <w:rsid w:val="00F334E3"/>
    <w:rsid w:val="00F34A8B"/>
    <w:rsid w:val="00F34C40"/>
    <w:rsid w:val="00F350E5"/>
    <w:rsid w:val="00F35FFD"/>
    <w:rsid w:val="00F378E4"/>
    <w:rsid w:val="00F37D05"/>
    <w:rsid w:val="00F410BB"/>
    <w:rsid w:val="00F41A5E"/>
    <w:rsid w:val="00F45B57"/>
    <w:rsid w:val="00F4739A"/>
    <w:rsid w:val="00F5035B"/>
    <w:rsid w:val="00F50D4A"/>
    <w:rsid w:val="00F518D6"/>
    <w:rsid w:val="00F5198E"/>
    <w:rsid w:val="00F52168"/>
    <w:rsid w:val="00F52A49"/>
    <w:rsid w:val="00F52B40"/>
    <w:rsid w:val="00F541E4"/>
    <w:rsid w:val="00F55D4F"/>
    <w:rsid w:val="00F562B4"/>
    <w:rsid w:val="00F56364"/>
    <w:rsid w:val="00F60A8C"/>
    <w:rsid w:val="00F612B5"/>
    <w:rsid w:val="00F61BD3"/>
    <w:rsid w:val="00F65976"/>
    <w:rsid w:val="00F66169"/>
    <w:rsid w:val="00F66972"/>
    <w:rsid w:val="00F66A7B"/>
    <w:rsid w:val="00F67A78"/>
    <w:rsid w:val="00F70373"/>
    <w:rsid w:val="00F718CB"/>
    <w:rsid w:val="00F72549"/>
    <w:rsid w:val="00F72C19"/>
    <w:rsid w:val="00F73C05"/>
    <w:rsid w:val="00F7502C"/>
    <w:rsid w:val="00F76C8E"/>
    <w:rsid w:val="00F76E8B"/>
    <w:rsid w:val="00F778CA"/>
    <w:rsid w:val="00F807F3"/>
    <w:rsid w:val="00F80995"/>
    <w:rsid w:val="00F818E5"/>
    <w:rsid w:val="00F84173"/>
    <w:rsid w:val="00F84689"/>
    <w:rsid w:val="00F8490C"/>
    <w:rsid w:val="00F864AF"/>
    <w:rsid w:val="00F90A68"/>
    <w:rsid w:val="00F92826"/>
    <w:rsid w:val="00F93728"/>
    <w:rsid w:val="00F93C74"/>
    <w:rsid w:val="00F95A8A"/>
    <w:rsid w:val="00F9607C"/>
    <w:rsid w:val="00FA04F3"/>
    <w:rsid w:val="00FA06D9"/>
    <w:rsid w:val="00FA234B"/>
    <w:rsid w:val="00FA3DBF"/>
    <w:rsid w:val="00FA5785"/>
    <w:rsid w:val="00FA5810"/>
    <w:rsid w:val="00FA5F20"/>
    <w:rsid w:val="00FB085D"/>
    <w:rsid w:val="00FB1AB2"/>
    <w:rsid w:val="00FB29D1"/>
    <w:rsid w:val="00FB41EE"/>
    <w:rsid w:val="00FB48FD"/>
    <w:rsid w:val="00FB4AEB"/>
    <w:rsid w:val="00FB53E0"/>
    <w:rsid w:val="00FB5E12"/>
    <w:rsid w:val="00FB7193"/>
    <w:rsid w:val="00FB7B5D"/>
    <w:rsid w:val="00FC0068"/>
    <w:rsid w:val="00FC0B7C"/>
    <w:rsid w:val="00FC2000"/>
    <w:rsid w:val="00FC2462"/>
    <w:rsid w:val="00FC3733"/>
    <w:rsid w:val="00FC3880"/>
    <w:rsid w:val="00FC6A13"/>
    <w:rsid w:val="00FC6D7A"/>
    <w:rsid w:val="00FC7363"/>
    <w:rsid w:val="00FD1237"/>
    <w:rsid w:val="00FD2119"/>
    <w:rsid w:val="00FD2612"/>
    <w:rsid w:val="00FD3905"/>
    <w:rsid w:val="00FD3DDC"/>
    <w:rsid w:val="00FD48DD"/>
    <w:rsid w:val="00FD4B1C"/>
    <w:rsid w:val="00FD54D0"/>
    <w:rsid w:val="00FD5DF7"/>
    <w:rsid w:val="00FD6FC3"/>
    <w:rsid w:val="00FE339A"/>
    <w:rsid w:val="00FE6AF2"/>
    <w:rsid w:val="00FE6B7A"/>
    <w:rsid w:val="00FE7362"/>
    <w:rsid w:val="00FE7731"/>
    <w:rsid w:val="00FE7C8E"/>
    <w:rsid w:val="00FE7DEA"/>
    <w:rsid w:val="00FE7F84"/>
    <w:rsid w:val="00FF0430"/>
    <w:rsid w:val="00FF15D9"/>
    <w:rsid w:val="00FF26B7"/>
    <w:rsid w:val="00FF2FB0"/>
    <w:rsid w:val="00FF3EB3"/>
    <w:rsid w:val="00FF67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4:docId w14:val="692274EB"/>
  <w15:chartTrackingRefBased/>
  <w15:docId w15:val="{3DA2AD09-C8E7-4387-8D50-2CC1D81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Default Paragraph Font" w:uiPriority="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INMA Standard"/>
    <w:qFormat/>
    <w:rsid w:val="000A7B20"/>
    <w:pPr>
      <w:spacing w:line="260" w:lineRule="atLeast"/>
    </w:pPr>
    <w:rPr>
      <w:rFonts w:ascii="Arial" w:eastAsia="SimSun" w:hAnsi="Arial"/>
      <w:sz w:val="22"/>
      <w:lang w:eastAsia="zh-CN"/>
    </w:rPr>
  </w:style>
  <w:style w:type="paragraph" w:styleId="Heading1">
    <w:name w:val="heading 1"/>
    <w:aliases w:val="FINMA Überschrift 1"/>
    <w:basedOn w:val="Normal"/>
    <w:next w:val="FINMAStandardAbsatz"/>
    <w:link w:val="Heading1Char"/>
    <w:qFormat/>
    <w:rsid w:val="003B516B"/>
    <w:pPr>
      <w:keepNext/>
      <w:numPr>
        <w:numId w:val="1"/>
      </w:numPr>
      <w:pBdr>
        <w:bottom w:val="single" w:sz="4" w:space="1" w:color="auto"/>
      </w:pBdr>
      <w:shd w:val="clear" w:color="auto" w:fill="A6A6A6"/>
      <w:tabs>
        <w:tab w:val="clear" w:pos="574"/>
        <w:tab w:val="num" w:pos="432"/>
      </w:tabs>
      <w:spacing w:before="600" w:after="480"/>
      <w:ind w:left="432"/>
      <w:outlineLvl w:val="0"/>
    </w:pPr>
    <w:rPr>
      <w:rFonts w:cs="Arial"/>
      <w:bCs/>
      <w:kern w:val="32"/>
      <w:sz w:val="24"/>
      <w:szCs w:val="24"/>
    </w:rPr>
  </w:style>
  <w:style w:type="paragraph" w:styleId="Heading2">
    <w:name w:val="heading 2"/>
    <w:aliases w:val="FINMA Überschrift 2"/>
    <w:basedOn w:val="Normal"/>
    <w:next w:val="FINMAStandardAbsatz"/>
    <w:link w:val="Heading2Char"/>
    <w:qFormat/>
    <w:rsid w:val="00336533"/>
    <w:pPr>
      <w:keepNext/>
      <w:numPr>
        <w:ilvl w:val="1"/>
        <w:numId w:val="1"/>
      </w:numPr>
      <w:tabs>
        <w:tab w:val="clear" w:pos="1285"/>
        <w:tab w:val="num" w:pos="576"/>
      </w:tabs>
      <w:spacing w:before="360" w:after="240"/>
      <w:ind w:left="576" w:right="-23"/>
      <w:outlineLvl w:val="1"/>
    </w:pPr>
    <w:rPr>
      <w:rFonts w:cs="Arial"/>
      <w:sz w:val="24"/>
    </w:rPr>
  </w:style>
  <w:style w:type="paragraph" w:styleId="Heading3">
    <w:name w:val="heading 3"/>
    <w:aliases w:val="FINMA Überschrift 3"/>
    <w:basedOn w:val="Normal"/>
    <w:next w:val="FINMAStandardAbsatz"/>
    <w:link w:val="Heading3Char"/>
    <w:qFormat/>
    <w:rsid w:val="006B1E7D"/>
    <w:pPr>
      <w:keepNext/>
      <w:numPr>
        <w:ilvl w:val="2"/>
        <w:numId w:val="1"/>
      </w:numPr>
      <w:tabs>
        <w:tab w:val="clear" w:pos="6107"/>
        <w:tab w:val="num" w:pos="720"/>
      </w:tabs>
      <w:spacing w:before="360" w:after="240"/>
      <w:ind w:left="720"/>
      <w:outlineLvl w:val="2"/>
    </w:pPr>
    <w:rPr>
      <w:rFonts w:cs="Arial"/>
      <w:bCs/>
      <w:sz w:val="20"/>
      <w:szCs w:val="26"/>
      <w:u w:val="single"/>
    </w:rPr>
  </w:style>
  <w:style w:type="paragraph" w:styleId="Heading4">
    <w:name w:val="heading 4"/>
    <w:aliases w:val="FINMA Überschrift 4"/>
    <w:basedOn w:val="Normal"/>
    <w:next w:val="FINMAStandardAbsatz"/>
    <w:qFormat/>
    <w:rsid w:val="00F66972"/>
    <w:pPr>
      <w:keepNext/>
      <w:numPr>
        <w:ilvl w:val="3"/>
        <w:numId w:val="1"/>
      </w:numPr>
      <w:spacing w:before="360" w:after="240"/>
      <w:outlineLvl w:val="3"/>
    </w:pPr>
    <w:rPr>
      <w:rFonts w:cs="Arial"/>
      <w:bCs/>
      <w:szCs w:val="28"/>
    </w:rPr>
  </w:style>
  <w:style w:type="paragraph" w:styleId="Heading5">
    <w:name w:val="heading 5"/>
    <w:aliases w:val="FINMA Überschrift 5"/>
    <w:basedOn w:val="Normal"/>
    <w:next w:val="FINMAStandardAbsatz"/>
    <w:qFormat/>
    <w:rsid w:val="00F66972"/>
    <w:pPr>
      <w:numPr>
        <w:ilvl w:val="4"/>
        <w:numId w:val="1"/>
      </w:numPr>
      <w:spacing w:before="360" w:after="240"/>
      <w:outlineLvl w:val="4"/>
    </w:pPr>
    <w:rPr>
      <w:bCs/>
      <w:szCs w:val="26"/>
    </w:rPr>
  </w:style>
  <w:style w:type="paragraph" w:styleId="Heading6">
    <w:name w:val="heading 6"/>
    <w:aliases w:val="FINMA Überschrift 6"/>
    <w:basedOn w:val="Normal"/>
    <w:next w:val="FINMAStandardAbsatz"/>
    <w:qFormat/>
    <w:rsid w:val="00F66972"/>
    <w:pPr>
      <w:numPr>
        <w:ilvl w:val="5"/>
        <w:numId w:val="1"/>
      </w:numPr>
      <w:spacing w:before="360" w:after="240"/>
      <w:outlineLvl w:val="5"/>
    </w:pPr>
    <w:rPr>
      <w:rFonts w:cs="Arial"/>
      <w:bCs/>
    </w:rPr>
  </w:style>
  <w:style w:type="paragraph" w:styleId="Heading7">
    <w:name w:val="heading 7"/>
    <w:aliases w:val="FINMA Überschrift 7"/>
    <w:basedOn w:val="Normal"/>
    <w:next w:val="FINMAStandardAbsatz"/>
    <w:qFormat/>
    <w:rsid w:val="00F66972"/>
    <w:pPr>
      <w:numPr>
        <w:ilvl w:val="6"/>
        <w:numId w:val="1"/>
      </w:numPr>
      <w:spacing w:before="360" w:after="240"/>
      <w:outlineLvl w:val="6"/>
    </w:pPr>
    <w:rPr>
      <w:rFonts w:cs="Arial"/>
      <w:bCs/>
      <w:szCs w:val="24"/>
    </w:rPr>
  </w:style>
  <w:style w:type="paragraph" w:styleId="Heading8">
    <w:name w:val="heading 8"/>
    <w:aliases w:val="FINMA Überschrift 8"/>
    <w:basedOn w:val="Normal"/>
    <w:next w:val="FINMAStandardAbsatz"/>
    <w:qFormat/>
    <w:rsid w:val="00F66972"/>
    <w:pPr>
      <w:numPr>
        <w:ilvl w:val="7"/>
        <w:numId w:val="1"/>
      </w:numPr>
      <w:spacing w:before="360" w:after="240"/>
      <w:outlineLvl w:val="7"/>
    </w:pPr>
    <w:rPr>
      <w:rFonts w:cs="Arial"/>
      <w:bCs/>
      <w:szCs w:val="24"/>
    </w:rPr>
  </w:style>
  <w:style w:type="paragraph" w:styleId="Heading9">
    <w:name w:val="heading 9"/>
    <w:aliases w:val="FINMA Überschrift 9"/>
    <w:basedOn w:val="Normal"/>
    <w:next w:val="FINMAStandardAbsatz"/>
    <w:qFormat/>
    <w:rsid w:val="00F66972"/>
    <w:pPr>
      <w:numPr>
        <w:ilvl w:val="8"/>
        <w:numId w:val="1"/>
      </w:numPr>
      <w:spacing w:before="360" w:after="24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MAStandardAbsatz">
    <w:name w:val="FINMA Standard Absatz"/>
    <w:basedOn w:val="Normal"/>
    <w:qFormat/>
    <w:rsid w:val="000702B8"/>
    <w:pPr>
      <w:spacing w:before="260" w:after="260"/>
      <w:jc w:val="both"/>
    </w:pPr>
    <w:rPr>
      <w:sz w:val="20"/>
    </w:rPr>
  </w:style>
  <w:style w:type="paragraph" w:styleId="Salutation">
    <w:name w:val="Salutation"/>
    <w:aliases w:val="FINMA Anrede"/>
    <w:basedOn w:val="Normal"/>
    <w:next w:val="FINMAStandardAbsatz"/>
    <w:link w:val="SalutationChar"/>
    <w:rsid w:val="003F4C84"/>
    <w:pPr>
      <w:spacing w:before="260" w:after="260"/>
    </w:pPr>
    <w:rPr>
      <w:noProof/>
    </w:rPr>
  </w:style>
  <w:style w:type="character" w:customStyle="1" w:styleId="SalutationChar">
    <w:name w:val="Salutation Char"/>
    <w:aliases w:val="FINMA Anrede Char"/>
    <w:link w:val="Salutation"/>
    <w:rsid w:val="001C3F75"/>
    <w:rPr>
      <w:rFonts w:ascii="Arial" w:hAnsi="Arial"/>
      <w:noProof/>
      <w:lang w:eastAsia="de-DE"/>
    </w:rPr>
  </w:style>
  <w:style w:type="paragraph" w:customStyle="1" w:styleId="FINMABeilagen">
    <w:name w:val="FINMA Beilagen"/>
    <w:basedOn w:val="Normal"/>
    <w:next w:val="FINMAStandardAbsatz"/>
    <w:rsid w:val="000C54AF"/>
    <w:pPr>
      <w:tabs>
        <w:tab w:val="left" w:pos="1260"/>
      </w:tabs>
      <w:spacing w:before="840" w:after="260"/>
      <w:ind w:left="1259" w:hanging="1259"/>
    </w:pPr>
    <w:rPr>
      <w:szCs w:val="22"/>
    </w:rPr>
  </w:style>
  <w:style w:type="paragraph" w:customStyle="1" w:styleId="FINMAGrussformelFINMA">
    <w:name w:val="FINMA Grussformel FINMA"/>
    <w:basedOn w:val="Normal"/>
    <w:next w:val="FINMABeilagen"/>
    <w:rsid w:val="000C54AF"/>
    <w:pPr>
      <w:tabs>
        <w:tab w:val="left" w:pos="5400"/>
      </w:tabs>
      <w:spacing w:before="520"/>
    </w:pPr>
    <w:rPr>
      <w:rFonts w:cs="Arial"/>
      <w:szCs w:val="22"/>
    </w:rPr>
  </w:style>
  <w:style w:type="paragraph" w:styleId="TOC1">
    <w:name w:val="toc 1"/>
    <w:basedOn w:val="Normal"/>
    <w:next w:val="Normal"/>
    <w:autoRedefine/>
    <w:uiPriority w:val="39"/>
    <w:rsid w:val="000702B8"/>
    <w:pPr>
      <w:tabs>
        <w:tab w:val="left" w:pos="360"/>
        <w:tab w:val="right" w:leader="dot" w:pos="9072"/>
      </w:tabs>
      <w:spacing w:before="480" w:after="240"/>
      <w:ind w:left="357" w:hanging="357"/>
    </w:pPr>
    <w:rPr>
      <w:rFonts w:cs="Arial"/>
      <w:b/>
      <w:bCs/>
      <w:noProof/>
      <w:szCs w:val="22"/>
      <w:lang w:eastAsia="de-CH"/>
    </w:rPr>
  </w:style>
  <w:style w:type="paragraph" w:styleId="TOC2">
    <w:name w:val="toc 2"/>
    <w:basedOn w:val="Normal"/>
    <w:next w:val="FINMAStandardAbsatz"/>
    <w:autoRedefine/>
    <w:uiPriority w:val="39"/>
    <w:rsid w:val="000702B8"/>
    <w:pPr>
      <w:tabs>
        <w:tab w:val="left" w:pos="900"/>
        <w:tab w:val="right" w:leader="dot" w:pos="9072"/>
      </w:tabs>
      <w:spacing w:after="120"/>
      <w:ind w:left="896" w:hanging="561"/>
    </w:pPr>
    <w:rPr>
      <w:rFonts w:cs="Arial"/>
      <w:iCs/>
      <w:noProof/>
      <w:sz w:val="20"/>
      <w:lang w:eastAsia="de-CH"/>
    </w:rPr>
  </w:style>
  <w:style w:type="paragraph" w:styleId="TOC3">
    <w:name w:val="toc 3"/>
    <w:basedOn w:val="Normal"/>
    <w:next w:val="FINMAStandardAbsatz"/>
    <w:autoRedefine/>
    <w:uiPriority w:val="39"/>
    <w:rsid w:val="000702B8"/>
    <w:pPr>
      <w:tabs>
        <w:tab w:val="left" w:pos="1980"/>
        <w:tab w:val="right" w:leader="dot" w:pos="9072"/>
      </w:tabs>
      <w:spacing w:after="120"/>
      <w:ind w:left="1979" w:hanging="1077"/>
    </w:pPr>
    <w:rPr>
      <w:rFonts w:cs="Arial"/>
      <w:sz w:val="20"/>
      <w:lang w:eastAsia="de-CH"/>
    </w:rPr>
  </w:style>
  <w:style w:type="paragraph" w:styleId="TOC4">
    <w:name w:val="toc 4"/>
    <w:basedOn w:val="Normal"/>
    <w:next w:val="FINMAStandardAbsatz"/>
    <w:autoRedefine/>
    <w:semiHidden/>
    <w:rsid w:val="00F66972"/>
    <w:pPr>
      <w:tabs>
        <w:tab w:val="left" w:pos="1980"/>
        <w:tab w:val="right" w:leader="dot" w:pos="8278"/>
      </w:tabs>
      <w:spacing w:after="120"/>
      <w:ind w:left="1979" w:right="822" w:hanging="1077"/>
    </w:pPr>
    <w:rPr>
      <w:rFonts w:cs="Arial"/>
      <w:lang w:eastAsia="de-CH"/>
    </w:rPr>
  </w:style>
  <w:style w:type="paragraph" w:styleId="TOC5">
    <w:name w:val="toc 5"/>
    <w:basedOn w:val="Normal"/>
    <w:next w:val="FINMAStandardAbsatz"/>
    <w:autoRedefine/>
    <w:semiHidden/>
    <w:rsid w:val="00F66972"/>
    <w:pPr>
      <w:tabs>
        <w:tab w:val="left" w:pos="1980"/>
        <w:tab w:val="right" w:leader="dot" w:pos="8278"/>
      </w:tabs>
      <w:spacing w:after="120"/>
      <w:ind w:left="1979" w:right="822" w:hanging="1100"/>
    </w:pPr>
  </w:style>
  <w:style w:type="paragraph" w:styleId="TOC6">
    <w:name w:val="toc 6"/>
    <w:basedOn w:val="Normal"/>
    <w:next w:val="FINMAStandardAbsatz"/>
    <w:autoRedefine/>
    <w:semiHidden/>
    <w:rsid w:val="00F66972"/>
    <w:pPr>
      <w:tabs>
        <w:tab w:val="left" w:pos="1980"/>
        <w:tab w:val="right" w:leader="dot" w:pos="8273"/>
      </w:tabs>
      <w:spacing w:after="120"/>
      <w:ind w:left="1979" w:right="822" w:hanging="1072"/>
    </w:pPr>
    <w:rPr>
      <w:rFonts w:cs="Arial"/>
      <w:noProof/>
    </w:rPr>
  </w:style>
  <w:style w:type="paragraph" w:styleId="TOC7">
    <w:name w:val="toc 7"/>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styleId="TOC8">
    <w:name w:val="toc 8"/>
    <w:basedOn w:val="Normal"/>
    <w:next w:val="Normal"/>
    <w:autoRedefine/>
    <w:semiHidden/>
    <w:rsid w:val="00F66972"/>
    <w:pPr>
      <w:tabs>
        <w:tab w:val="left" w:pos="2520"/>
        <w:tab w:val="right" w:leader="dot" w:pos="8278"/>
      </w:tabs>
      <w:spacing w:after="120"/>
      <w:ind w:left="2524" w:right="822" w:hanging="1622"/>
    </w:pPr>
    <w:rPr>
      <w:rFonts w:cs="Arial"/>
    </w:rPr>
  </w:style>
  <w:style w:type="paragraph" w:styleId="TOC9">
    <w:name w:val="toc 9"/>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customStyle="1" w:styleId="FINMAKopie">
    <w:name w:val="FINMA Kopie"/>
    <w:basedOn w:val="FINMAStandardAbsatz"/>
    <w:next w:val="Kopieeinzug"/>
    <w:rsid w:val="008873E1"/>
    <w:pPr>
      <w:tabs>
        <w:tab w:val="left" w:pos="1260"/>
      </w:tabs>
      <w:spacing w:after="0"/>
      <w:ind w:left="1259" w:hanging="1259"/>
      <w:jc w:val="left"/>
    </w:pPr>
  </w:style>
  <w:style w:type="paragraph" w:customStyle="1" w:styleId="Kopieeinzug">
    <w:name w:val="Kopieeinzug"/>
    <w:basedOn w:val="Normal"/>
    <w:semiHidden/>
    <w:rsid w:val="00F66972"/>
    <w:pPr>
      <w:tabs>
        <w:tab w:val="left" w:pos="1260"/>
      </w:tabs>
      <w:ind w:left="1259"/>
    </w:pPr>
  </w:style>
  <w:style w:type="paragraph" w:styleId="TableofFigures">
    <w:name w:val="table of figures"/>
    <w:basedOn w:val="Normal"/>
    <w:next w:val="Normal"/>
    <w:semiHidden/>
    <w:rsid w:val="00F66972"/>
    <w:pPr>
      <w:ind w:left="440" w:hanging="440"/>
    </w:pPr>
  </w:style>
  <w:style w:type="paragraph" w:customStyle="1" w:styleId="FINMABetreff">
    <w:name w:val="FINMA Betreff"/>
    <w:basedOn w:val="Normal"/>
    <w:rsid w:val="00F66972"/>
    <w:pPr>
      <w:spacing w:before="360"/>
    </w:pPr>
    <w:rPr>
      <w:rFonts w:cs="Arial"/>
      <w:b/>
      <w:szCs w:val="22"/>
    </w:rPr>
  </w:style>
  <w:style w:type="paragraph" w:customStyle="1" w:styleId="FINMAStandardAbsatznachAufzzeichen">
    <w:name w:val="FINMA Standard Absatz nach Aufz.zeichen"/>
    <w:basedOn w:val="FINMAStandardAbsatz"/>
    <w:next w:val="FINMAStandardAbsatz"/>
    <w:rsid w:val="00F66972"/>
  </w:style>
  <w:style w:type="paragraph" w:customStyle="1" w:styleId="FINMATabellemitAufzzeichen">
    <w:name w:val="FINMA Tabelle mit Aufz.zeichen"/>
    <w:basedOn w:val="Normal"/>
    <w:rsid w:val="006B1E7D"/>
    <w:pPr>
      <w:tabs>
        <w:tab w:val="num" w:pos="360"/>
      </w:tabs>
      <w:spacing w:before="60" w:after="60"/>
      <w:ind w:left="360" w:hanging="360"/>
    </w:pPr>
    <w:rPr>
      <w:rFonts w:cs="Arial"/>
      <w:sz w:val="20"/>
      <w:szCs w:val="24"/>
    </w:rPr>
  </w:style>
  <w:style w:type="paragraph" w:customStyle="1" w:styleId="FINMATabelleohneAufzzeichen">
    <w:name w:val="FINMA Tabelle ohne Aufz.zeichen"/>
    <w:basedOn w:val="Normal"/>
    <w:rsid w:val="006B1E7D"/>
    <w:pPr>
      <w:widowControl w:val="0"/>
      <w:spacing w:before="60" w:after="60"/>
    </w:pPr>
    <w:rPr>
      <w:rFonts w:cs="Arial"/>
      <w:sz w:val="20"/>
    </w:rPr>
  </w:style>
  <w:style w:type="paragraph" w:customStyle="1" w:styleId="FINMATabelleTitel">
    <w:name w:val="FINMA Tabelle Titel"/>
    <w:basedOn w:val="Normal"/>
    <w:next w:val="FINMATabellemitAufzzeichen"/>
    <w:rsid w:val="00F66972"/>
    <w:pPr>
      <w:spacing w:before="60" w:after="60"/>
    </w:pPr>
    <w:rPr>
      <w:b/>
      <w:bCs/>
      <w:szCs w:val="24"/>
    </w:rPr>
  </w:style>
  <w:style w:type="paragraph" w:styleId="Header">
    <w:name w:val="header"/>
    <w:aliases w:val="FINMA Kopfzeile"/>
    <w:basedOn w:val="Normal"/>
    <w:link w:val="HeaderChar"/>
    <w:uiPriority w:val="99"/>
    <w:rsid w:val="00F66972"/>
    <w:pPr>
      <w:tabs>
        <w:tab w:val="center" w:pos="4536"/>
        <w:tab w:val="right" w:pos="9072"/>
      </w:tabs>
    </w:pPr>
  </w:style>
  <w:style w:type="paragraph" w:styleId="Footer">
    <w:name w:val="footer"/>
    <w:aliases w:val="FINMA Fußzeile"/>
    <w:basedOn w:val="Normal"/>
    <w:link w:val="FooterChar"/>
    <w:rsid w:val="00F66972"/>
    <w:pPr>
      <w:tabs>
        <w:tab w:val="right" w:pos="8618"/>
      </w:tabs>
    </w:pPr>
    <w:rPr>
      <w:sz w:val="16"/>
    </w:rPr>
  </w:style>
  <w:style w:type="character" w:customStyle="1" w:styleId="FooterChar">
    <w:name w:val="Footer Char"/>
    <w:aliases w:val="FINMA Fußzeile Char"/>
    <w:link w:val="Footer"/>
    <w:rsid w:val="00277161"/>
    <w:rPr>
      <w:rFonts w:ascii="Arial" w:hAnsi="Arial"/>
      <w:sz w:val="16"/>
      <w:lang w:eastAsia="de-DE"/>
    </w:rPr>
  </w:style>
  <w:style w:type="paragraph" w:styleId="FootnoteText">
    <w:name w:val="footnote text"/>
    <w:basedOn w:val="Normal"/>
    <w:semiHidden/>
    <w:rsid w:val="00F66972"/>
    <w:pPr>
      <w:tabs>
        <w:tab w:val="left" w:pos="113"/>
      </w:tabs>
      <w:spacing w:after="60" w:line="240" w:lineRule="auto"/>
      <w:ind w:left="113" w:hanging="113"/>
    </w:pPr>
    <w:rPr>
      <w:sz w:val="18"/>
    </w:rPr>
  </w:style>
  <w:style w:type="character" w:styleId="FootnoteReference">
    <w:name w:val="footnote reference"/>
    <w:semiHidden/>
    <w:rsid w:val="00F66972"/>
    <w:rPr>
      <w:vertAlign w:val="superscript"/>
    </w:rPr>
  </w:style>
  <w:style w:type="paragraph" w:customStyle="1" w:styleId="FINMAAufzhlungEbene1">
    <w:name w:val="FINMA Aufzählung Ebene 1"/>
    <w:basedOn w:val="Normal"/>
    <w:qFormat/>
    <w:rsid w:val="006B1E7D"/>
    <w:pPr>
      <w:numPr>
        <w:numId w:val="2"/>
      </w:numPr>
      <w:spacing w:after="80"/>
      <w:jc w:val="both"/>
    </w:pPr>
    <w:rPr>
      <w:sz w:val="20"/>
    </w:rPr>
  </w:style>
  <w:style w:type="paragraph" w:customStyle="1" w:styleId="FINMAAufzhlungEbene2">
    <w:name w:val="FINMA Aufzählung Ebene 2"/>
    <w:basedOn w:val="Normal"/>
    <w:qFormat/>
    <w:rsid w:val="006B1E7D"/>
    <w:pPr>
      <w:numPr>
        <w:numId w:val="7"/>
      </w:numPr>
      <w:tabs>
        <w:tab w:val="left" w:pos="312"/>
      </w:tabs>
      <w:spacing w:after="80"/>
      <w:ind w:left="765" w:hanging="357"/>
      <w:jc w:val="both"/>
    </w:pPr>
    <w:rPr>
      <w:sz w:val="20"/>
    </w:rPr>
  </w:style>
  <w:style w:type="paragraph" w:customStyle="1" w:styleId="FINMAAufzhlungEbene3">
    <w:name w:val="FINMA Aufzählung Ebene 3"/>
    <w:basedOn w:val="Normal"/>
    <w:qFormat/>
    <w:rsid w:val="000A7B20"/>
    <w:pPr>
      <w:numPr>
        <w:numId w:val="4"/>
      </w:numPr>
      <w:tabs>
        <w:tab w:val="left" w:pos="1038"/>
      </w:tabs>
      <w:spacing w:after="80"/>
      <w:ind w:left="1111" w:hanging="357"/>
      <w:jc w:val="both"/>
    </w:pPr>
    <w:rPr>
      <w:sz w:val="20"/>
    </w:rPr>
  </w:style>
  <w:style w:type="paragraph" w:customStyle="1" w:styleId="FINMAAufzhlungEbene4">
    <w:name w:val="FINMA Aufzählung Ebene 4"/>
    <w:basedOn w:val="FINMAAufzhlungEbene3"/>
    <w:rsid w:val="009B5E70"/>
    <w:pPr>
      <w:numPr>
        <w:numId w:val="5"/>
      </w:numPr>
      <w:tabs>
        <w:tab w:val="clear" w:pos="1038"/>
        <w:tab w:val="left" w:pos="1315"/>
      </w:tabs>
      <w:ind w:left="1406" w:hanging="357"/>
    </w:pPr>
  </w:style>
  <w:style w:type="paragraph" w:customStyle="1" w:styleId="TabelleBlocksatz">
    <w:name w:val="Tabelle Blocksatz"/>
    <w:basedOn w:val="Normal"/>
    <w:semiHidden/>
    <w:rsid w:val="00F66972"/>
    <w:pPr>
      <w:spacing w:before="60" w:after="60"/>
      <w:jc w:val="both"/>
    </w:pPr>
  </w:style>
  <w:style w:type="character" w:styleId="PlaceholderText">
    <w:name w:val="Placeholder Text"/>
    <w:uiPriority w:val="99"/>
    <w:semiHidden/>
    <w:rsid w:val="00F66972"/>
    <w:rPr>
      <w:color w:val="808080"/>
    </w:rPr>
  </w:style>
  <w:style w:type="paragraph" w:customStyle="1" w:styleId="FINMAGeheim">
    <w:name w:val="FINMA Geheim"/>
    <w:basedOn w:val="FINMAStandardAbsatz"/>
    <w:next w:val="FINMAStandardAbsatz"/>
    <w:rsid w:val="00F66972"/>
    <w:pPr>
      <w:spacing w:after="0"/>
    </w:pPr>
    <w:rPr>
      <w:b/>
    </w:rPr>
  </w:style>
  <w:style w:type="paragraph" w:customStyle="1" w:styleId="FINMARf-Aktnr">
    <w:name w:val="FINMA Rf-Akt.nr."/>
    <w:basedOn w:val="FINMAReferenz"/>
    <w:next w:val="Normal"/>
    <w:rsid w:val="00F66972"/>
    <w:pPr>
      <w:framePr w:wrap="around"/>
    </w:pPr>
  </w:style>
  <w:style w:type="paragraph" w:customStyle="1" w:styleId="FINMAReferenz">
    <w:name w:val="FINMA Referenz"/>
    <w:basedOn w:val="Normal"/>
    <w:rsid w:val="00F66972"/>
    <w:pPr>
      <w:framePr w:w="9171" w:h="1654" w:hSpace="142" w:wrap="around" w:vAnchor="text" w:hAnchor="page" w:x="1730" w:y="3034" w:anchorLock="1"/>
      <w:tabs>
        <w:tab w:val="left" w:pos="1276"/>
      </w:tabs>
    </w:pPr>
    <w:rPr>
      <w:sz w:val="16"/>
    </w:rPr>
  </w:style>
  <w:style w:type="character" w:customStyle="1" w:styleId="FINMARf-AktnrZchn">
    <w:name w:val="FINMA Rf-Akt.nr. Zchn"/>
    <w:rsid w:val="00F66972"/>
    <w:rPr>
      <w:rFonts w:ascii="Arial" w:hAnsi="Arial"/>
      <w:sz w:val="16"/>
      <w:szCs w:val="16"/>
      <w:lang w:val="fr-FR" w:eastAsia="de-DE" w:bidi="ar-SA"/>
    </w:rPr>
  </w:style>
  <w:style w:type="paragraph" w:styleId="BalloonText">
    <w:name w:val="Balloon Text"/>
    <w:basedOn w:val="Normal"/>
    <w:link w:val="BalloonTextChar"/>
    <w:rsid w:val="007A0CF8"/>
    <w:pPr>
      <w:spacing w:line="240" w:lineRule="auto"/>
    </w:pPr>
    <w:rPr>
      <w:rFonts w:ascii="Tahoma" w:hAnsi="Tahoma" w:cs="Tahoma"/>
      <w:sz w:val="16"/>
      <w:szCs w:val="16"/>
    </w:rPr>
  </w:style>
  <w:style w:type="character" w:customStyle="1" w:styleId="BalloonTextChar">
    <w:name w:val="Balloon Text Char"/>
    <w:link w:val="BalloonText"/>
    <w:rsid w:val="007A0CF8"/>
    <w:rPr>
      <w:rFonts w:ascii="Tahoma" w:hAnsi="Tahoma" w:cs="Tahoma"/>
      <w:sz w:val="16"/>
      <w:szCs w:val="16"/>
      <w:lang w:eastAsia="de-DE"/>
    </w:rPr>
  </w:style>
  <w:style w:type="paragraph" w:customStyle="1" w:styleId="FINMAVertraulichkeitsvermerk">
    <w:name w:val="FINMA Vertraulichkeitsvermerk"/>
    <w:basedOn w:val="Normal"/>
    <w:qFormat/>
    <w:rsid w:val="00B664E9"/>
    <w:rPr>
      <w:b/>
      <w:sz w:val="16"/>
    </w:rPr>
  </w:style>
  <w:style w:type="table" w:styleId="TableGrid">
    <w:name w:val="Table Grid"/>
    <w:basedOn w:val="TableNormal"/>
    <w:rsid w:val="00F66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ReferenuValue">
    <w:name w:val="FINMA ReferenuValue"/>
    <w:basedOn w:val="Normal"/>
    <w:rsid w:val="00F66972"/>
    <w:rPr>
      <w:sz w:val="16"/>
    </w:rPr>
  </w:style>
  <w:style w:type="paragraph" w:customStyle="1" w:styleId="FINMANameundFunktion">
    <w:name w:val="FINMA Name und Funktion"/>
    <w:basedOn w:val="Normal"/>
    <w:rsid w:val="000C54AF"/>
  </w:style>
  <w:style w:type="character" w:customStyle="1" w:styleId="HeaderChar">
    <w:name w:val="Header Char"/>
    <w:aliases w:val="FINMA Kopfzeile Char"/>
    <w:link w:val="Header"/>
    <w:uiPriority w:val="99"/>
    <w:rsid w:val="00F72549"/>
    <w:rPr>
      <w:rFonts w:ascii="Arial" w:hAnsi="Arial"/>
      <w:sz w:val="22"/>
      <w:lang w:eastAsia="de-DE"/>
    </w:rPr>
  </w:style>
  <w:style w:type="character" w:customStyle="1" w:styleId="Formatvorlage1">
    <w:name w:val="Formatvorlage1"/>
    <w:basedOn w:val="DefaultParagraphFont"/>
    <w:uiPriority w:val="1"/>
    <w:rsid w:val="00A26324"/>
  </w:style>
  <w:style w:type="paragraph" w:customStyle="1" w:styleId="FINMATitel">
    <w:name w:val="FINMA Titel"/>
    <w:basedOn w:val="FINMAStandardAbsatz"/>
    <w:rsid w:val="00B32D1C"/>
    <w:rPr>
      <w:b/>
      <w:sz w:val="42"/>
    </w:rPr>
  </w:style>
  <w:style w:type="paragraph" w:customStyle="1" w:styleId="FINMAUntertitel">
    <w:name w:val="FINMA Untertitel"/>
    <w:basedOn w:val="Salutation"/>
    <w:rsid w:val="00B32D1C"/>
    <w:rPr>
      <w:sz w:val="42"/>
    </w:rPr>
  </w:style>
  <w:style w:type="paragraph" w:customStyle="1" w:styleId="FINMAGliederungEbene1">
    <w:name w:val="FINMA Gliederung Ebene 1"/>
    <w:basedOn w:val="Normal"/>
    <w:qFormat/>
    <w:rsid w:val="0077534F"/>
    <w:pPr>
      <w:numPr>
        <w:numId w:val="6"/>
      </w:numPr>
      <w:spacing w:after="80"/>
      <w:jc w:val="both"/>
    </w:pPr>
    <w:rPr>
      <w:rFonts w:cs="Arial"/>
      <w:szCs w:val="22"/>
    </w:rPr>
  </w:style>
  <w:style w:type="paragraph" w:customStyle="1" w:styleId="FINMAGliederungEbene2">
    <w:name w:val="FINMA Gliederung Ebene 2"/>
    <w:basedOn w:val="Normal"/>
    <w:qFormat/>
    <w:rsid w:val="0077534F"/>
    <w:pPr>
      <w:numPr>
        <w:ilvl w:val="1"/>
        <w:numId w:val="6"/>
      </w:numPr>
      <w:spacing w:after="80"/>
      <w:jc w:val="both"/>
    </w:pPr>
    <w:rPr>
      <w:rFonts w:cs="Arial"/>
      <w:szCs w:val="22"/>
    </w:rPr>
  </w:style>
  <w:style w:type="paragraph" w:customStyle="1" w:styleId="FINMAGliederungEbene3">
    <w:name w:val="FINMA Gliederung Ebene 3"/>
    <w:basedOn w:val="Normal"/>
    <w:qFormat/>
    <w:rsid w:val="0077534F"/>
    <w:pPr>
      <w:numPr>
        <w:ilvl w:val="2"/>
        <w:numId w:val="6"/>
      </w:numPr>
      <w:spacing w:after="80"/>
      <w:jc w:val="both"/>
    </w:pPr>
    <w:rPr>
      <w:rFonts w:cs="Arial"/>
      <w:szCs w:val="22"/>
    </w:rPr>
  </w:style>
  <w:style w:type="paragraph" w:customStyle="1" w:styleId="FINMAGliederungEbene4">
    <w:name w:val="FINMA Gliederung Ebene 4"/>
    <w:basedOn w:val="Normal"/>
    <w:rsid w:val="0077534F"/>
    <w:pPr>
      <w:numPr>
        <w:ilvl w:val="3"/>
        <w:numId w:val="6"/>
      </w:numPr>
      <w:spacing w:after="80"/>
      <w:jc w:val="both"/>
    </w:pPr>
    <w:rPr>
      <w:rFonts w:cs="Arial"/>
      <w:szCs w:val="22"/>
    </w:rPr>
  </w:style>
  <w:style w:type="paragraph" w:customStyle="1" w:styleId="StandardAbsatz">
    <w:name w:val="Standard Absatz"/>
    <w:basedOn w:val="Normal"/>
    <w:qFormat/>
    <w:rsid w:val="003966DA"/>
    <w:pPr>
      <w:spacing w:before="260" w:after="260"/>
      <w:jc w:val="both"/>
    </w:pPr>
  </w:style>
  <w:style w:type="paragraph" w:customStyle="1" w:styleId="FINMAGliederungEbene5">
    <w:name w:val="FINMA Gliederung Ebene 5"/>
    <w:basedOn w:val="Normal"/>
    <w:rsid w:val="008374F5"/>
    <w:pPr>
      <w:numPr>
        <w:numId w:val="8"/>
      </w:numPr>
      <w:tabs>
        <w:tab w:val="left" w:pos="1004"/>
      </w:tabs>
      <w:spacing w:after="80" w:line="240" w:lineRule="auto"/>
      <w:outlineLvl w:val="4"/>
    </w:pPr>
    <w:rPr>
      <w:szCs w:val="16"/>
    </w:rPr>
  </w:style>
  <w:style w:type="character" w:customStyle="1" w:styleId="Heading1Char">
    <w:name w:val="Heading 1 Char"/>
    <w:aliases w:val="FINMA Überschrift 1 Char"/>
    <w:link w:val="Heading1"/>
    <w:rsid w:val="003B516B"/>
    <w:rPr>
      <w:rFonts w:ascii="Arial" w:eastAsia="SimSun" w:hAnsi="Arial" w:cs="Arial"/>
      <w:bCs/>
      <w:kern w:val="32"/>
      <w:sz w:val="24"/>
      <w:szCs w:val="24"/>
      <w:shd w:val="clear" w:color="auto" w:fill="A6A6A6"/>
      <w:lang w:eastAsia="zh-CN"/>
    </w:rPr>
  </w:style>
  <w:style w:type="character" w:customStyle="1" w:styleId="Heading2Char">
    <w:name w:val="Heading 2 Char"/>
    <w:aliases w:val="FINMA Überschrift 2 Char"/>
    <w:link w:val="Heading2"/>
    <w:rsid w:val="00336533"/>
    <w:rPr>
      <w:rFonts w:ascii="Arial" w:eastAsia="SimSun" w:hAnsi="Arial" w:cs="Arial"/>
      <w:sz w:val="24"/>
      <w:lang w:eastAsia="zh-CN"/>
    </w:rPr>
  </w:style>
  <w:style w:type="character" w:customStyle="1" w:styleId="Heading3Char">
    <w:name w:val="Heading 3 Char"/>
    <w:aliases w:val="FINMA Überschrift 3 Char"/>
    <w:link w:val="Heading3"/>
    <w:rsid w:val="006B1E7D"/>
    <w:rPr>
      <w:rFonts w:ascii="Arial" w:eastAsia="SimSun" w:hAnsi="Arial" w:cs="Arial"/>
      <w:bCs/>
      <w:szCs w:val="26"/>
      <w:u w:val="single"/>
      <w:lang w:eastAsia="zh-CN"/>
    </w:rPr>
  </w:style>
  <w:style w:type="paragraph" w:customStyle="1" w:styleId="StandardTalon">
    <w:name w:val="Standard Talon"/>
    <w:basedOn w:val="Normal"/>
    <w:rsid w:val="0076328E"/>
    <w:pPr>
      <w:spacing w:after="260"/>
    </w:pPr>
    <w:rPr>
      <w:sz w:val="20"/>
    </w:rPr>
  </w:style>
  <w:style w:type="paragraph" w:styleId="CommentText">
    <w:name w:val="annotation text"/>
    <w:basedOn w:val="Normal"/>
    <w:link w:val="CommentTextChar"/>
    <w:unhideWhenUsed/>
    <w:rsid w:val="0076328E"/>
    <w:rPr>
      <w:sz w:val="20"/>
    </w:rPr>
  </w:style>
  <w:style w:type="character" w:customStyle="1" w:styleId="CommentTextChar">
    <w:name w:val="Comment Text Char"/>
    <w:link w:val="CommentText"/>
    <w:rsid w:val="0076328E"/>
    <w:rPr>
      <w:rFonts w:ascii="Arial" w:eastAsia="SimSun" w:hAnsi="Arial"/>
      <w:lang w:val="fr-FR" w:eastAsia="zh-CN"/>
    </w:rPr>
  </w:style>
  <w:style w:type="paragraph" w:styleId="ListParagraph">
    <w:name w:val="List Paragraph"/>
    <w:basedOn w:val="Normal"/>
    <w:qFormat/>
    <w:rsid w:val="0076328E"/>
    <w:pPr>
      <w:ind w:left="720"/>
      <w:contextualSpacing/>
    </w:pPr>
  </w:style>
  <w:style w:type="character" w:styleId="CommentReference">
    <w:name w:val="annotation reference"/>
    <w:unhideWhenUsed/>
    <w:rsid w:val="0076328E"/>
    <w:rPr>
      <w:rFonts w:ascii="Times New Roman" w:hAnsi="Times New Roman" w:cs="Times New Roman" w:hint="default"/>
      <w:sz w:val="16"/>
      <w:szCs w:val="16"/>
    </w:rPr>
  </w:style>
  <w:style w:type="paragraph" w:styleId="CommentSubject">
    <w:name w:val="annotation subject"/>
    <w:basedOn w:val="CommentText"/>
    <w:next w:val="CommentText"/>
    <w:link w:val="CommentSubjectChar"/>
    <w:rsid w:val="002E0182"/>
    <w:rPr>
      <w:b/>
      <w:bCs/>
    </w:rPr>
  </w:style>
  <w:style w:type="character" w:customStyle="1" w:styleId="CommentSubjectChar">
    <w:name w:val="Comment Subject Char"/>
    <w:link w:val="CommentSubject"/>
    <w:rsid w:val="002E0182"/>
    <w:rPr>
      <w:rFonts w:ascii="Arial" w:eastAsia="SimSun" w:hAnsi="Arial"/>
      <w:b/>
      <w:bCs/>
      <w:lang w:val="fr-FR" w:eastAsia="zh-CN"/>
    </w:rPr>
  </w:style>
  <w:style w:type="paragraph" w:styleId="Revision">
    <w:name w:val="Revision"/>
    <w:hidden/>
    <w:uiPriority w:val="99"/>
    <w:semiHidden/>
    <w:rsid w:val="00FF3EB3"/>
    <w:rPr>
      <w:rFonts w:ascii="Arial" w:eastAsia="SimSun" w:hAnsi="Arial"/>
      <w:sz w:val="22"/>
      <w:lang w:eastAsia="zh-CN"/>
    </w:rPr>
  </w:style>
  <w:style w:type="paragraph" w:styleId="TOCHeading">
    <w:name w:val="TOC Heading"/>
    <w:basedOn w:val="Heading1"/>
    <w:next w:val="Normal"/>
    <w:uiPriority w:val="39"/>
    <w:unhideWhenUsed/>
    <w:qFormat/>
    <w:rsid w:val="00C20FE0"/>
    <w:pPr>
      <w:keepLines/>
      <w:numPr>
        <w:numId w:val="0"/>
      </w:numPr>
      <w:pBdr>
        <w:bottom w:val="none" w:sz="0" w:space="0" w:color="auto"/>
      </w:pBdr>
      <w:shd w:val="clear" w:color="auto" w:fill="auto"/>
      <w:spacing w:before="240" w:after="0" w:line="259" w:lineRule="auto"/>
      <w:outlineLvl w:val="9"/>
    </w:pPr>
    <w:rPr>
      <w:rFonts w:ascii="Calibri Light" w:eastAsia="DengXian Light" w:hAnsi="Calibri Light" w:cs="Times New Roman"/>
      <w:bCs w:val="0"/>
      <w:color w:val="2E74B5"/>
      <w:kern w:val="0"/>
      <w:sz w:val="32"/>
      <w:szCs w:val="32"/>
      <w:lang w:eastAsia="en-US"/>
    </w:rPr>
  </w:style>
  <w:style w:type="character" w:styleId="Hyperlink">
    <w:name w:val="Hyperlink"/>
    <w:uiPriority w:val="99"/>
    <w:unhideWhenUsed/>
    <w:rsid w:val="00C20FE0"/>
    <w:rPr>
      <w:color w:val="0563C1"/>
      <w:u w:val="single"/>
    </w:rPr>
  </w:style>
  <w:style w:type="paragraph" w:customStyle="1" w:styleId="StyleFINMATabelleohneAufzzeichenBold">
    <w:name w:val="Style FINMA Tabelle ohne Aufz.zeichen + Bold"/>
    <w:basedOn w:val="FINMATabelleohneAufzzeichen"/>
    <w:rsid w:val="006B1E7D"/>
    <w:rPr>
      <w:b/>
      <w:bCs/>
    </w:rPr>
  </w:style>
  <w:style w:type="paragraph" w:customStyle="1" w:styleId="StyleHeading1">
    <w:name w:val="Style Heading 1"/>
    <w:aliases w:val="FINMA Überschrift 1 + Bold"/>
    <w:basedOn w:val="Heading1"/>
    <w:rsid w:val="00336533"/>
    <w:pPr>
      <w:shd w:val="clear" w:color="auto" w:fil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105">
      <w:bodyDiv w:val="1"/>
      <w:marLeft w:val="0"/>
      <w:marRight w:val="0"/>
      <w:marTop w:val="0"/>
      <w:marBottom w:val="0"/>
      <w:divBdr>
        <w:top w:val="none" w:sz="0" w:space="0" w:color="auto"/>
        <w:left w:val="none" w:sz="0" w:space="0" w:color="auto"/>
        <w:bottom w:val="none" w:sz="0" w:space="0" w:color="auto"/>
        <w:right w:val="none" w:sz="0" w:space="0" w:color="auto"/>
      </w:divBdr>
    </w:div>
    <w:div w:id="123620545">
      <w:bodyDiv w:val="1"/>
      <w:marLeft w:val="0"/>
      <w:marRight w:val="0"/>
      <w:marTop w:val="0"/>
      <w:marBottom w:val="0"/>
      <w:divBdr>
        <w:top w:val="none" w:sz="0" w:space="0" w:color="auto"/>
        <w:left w:val="none" w:sz="0" w:space="0" w:color="auto"/>
        <w:bottom w:val="none" w:sz="0" w:space="0" w:color="auto"/>
        <w:right w:val="none" w:sz="0" w:space="0" w:color="auto"/>
      </w:divBdr>
    </w:div>
    <w:div w:id="215438720">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573858104">
      <w:bodyDiv w:val="1"/>
      <w:marLeft w:val="0"/>
      <w:marRight w:val="0"/>
      <w:marTop w:val="0"/>
      <w:marBottom w:val="0"/>
      <w:divBdr>
        <w:top w:val="none" w:sz="0" w:space="0" w:color="auto"/>
        <w:left w:val="none" w:sz="0" w:space="0" w:color="auto"/>
        <w:bottom w:val="none" w:sz="0" w:space="0" w:color="auto"/>
        <w:right w:val="none" w:sz="0" w:space="0" w:color="auto"/>
      </w:divBdr>
    </w:div>
    <w:div w:id="696660323">
      <w:bodyDiv w:val="1"/>
      <w:marLeft w:val="0"/>
      <w:marRight w:val="0"/>
      <w:marTop w:val="0"/>
      <w:marBottom w:val="0"/>
      <w:divBdr>
        <w:top w:val="none" w:sz="0" w:space="0" w:color="auto"/>
        <w:left w:val="none" w:sz="0" w:space="0" w:color="auto"/>
        <w:bottom w:val="none" w:sz="0" w:space="0" w:color="auto"/>
        <w:right w:val="none" w:sz="0" w:space="0" w:color="auto"/>
      </w:divBdr>
    </w:div>
    <w:div w:id="772095142">
      <w:bodyDiv w:val="1"/>
      <w:marLeft w:val="0"/>
      <w:marRight w:val="0"/>
      <w:marTop w:val="0"/>
      <w:marBottom w:val="0"/>
      <w:divBdr>
        <w:top w:val="none" w:sz="0" w:space="0" w:color="auto"/>
        <w:left w:val="none" w:sz="0" w:space="0" w:color="auto"/>
        <w:bottom w:val="none" w:sz="0" w:space="0" w:color="auto"/>
        <w:right w:val="none" w:sz="0" w:space="0" w:color="auto"/>
      </w:divBdr>
    </w:div>
    <w:div w:id="779761660">
      <w:bodyDiv w:val="1"/>
      <w:marLeft w:val="0"/>
      <w:marRight w:val="0"/>
      <w:marTop w:val="0"/>
      <w:marBottom w:val="0"/>
      <w:divBdr>
        <w:top w:val="none" w:sz="0" w:space="0" w:color="auto"/>
        <w:left w:val="none" w:sz="0" w:space="0" w:color="auto"/>
        <w:bottom w:val="none" w:sz="0" w:space="0" w:color="auto"/>
        <w:right w:val="none" w:sz="0" w:space="0" w:color="auto"/>
      </w:divBdr>
    </w:div>
    <w:div w:id="866606159">
      <w:bodyDiv w:val="1"/>
      <w:marLeft w:val="0"/>
      <w:marRight w:val="0"/>
      <w:marTop w:val="0"/>
      <w:marBottom w:val="0"/>
      <w:divBdr>
        <w:top w:val="none" w:sz="0" w:space="0" w:color="auto"/>
        <w:left w:val="none" w:sz="0" w:space="0" w:color="auto"/>
        <w:bottom w:val="none" w:sz="0" w:space="0" w:color="auto"/>
        <w:right w:val="none" w:sz="0" w:space="0" w:color="auto"/>
      </w:divBdr>
    </w:div>
    <w:div w:id="1256746777">
      <w:bodyDiv w:val="1"/>
      <w:marLeft w:val="0"/>
      <w:marRight w:val="0"/>
      <w:marTop w:val="0"/>
      <w:marBottom w:val="0"/>
      <w:divBdr>
        <w:top w:val="none" w:sz="0" w:space="0" w:color="auto"/>
        <w:left w:val="none" w:sz="0" w:space="0" w:color="auto"/>
        <w:bottom w:val="none" w:sz="0" w:space="0" w:color="auto"/>
        <w:right w:val="none" w:sz="0" w:space="0" w:color="auto"/>
      </w:divBdr>
    </w:div>
    <w:div w:id="1333492400">
      <w:bodyDiv w:val="1"/>
      <w:marLeft w:val="0"/>
      <w:marRight w:val="0"/>
      <w:marTop w:val="0"/>
      <w:marBottom w:val="0"/>
      <w:divBdr>
        <w:top w:val="none" w:sz="0" w:space="0" w:color="auto"/>
        <w:left w:val="none" w:sz="0" w:space="0" w:color="auto"/>
        <w:bottom w:val="none" w:sz="0" w:space="0" w:color="auto"/>
        <w:right w:val="none" w:sz="0" w:space="0" w:color="auto"/>
      </w:divBdr>
    </w:div>
    <w:div w:id="1466118618">
      <w:bodyDiv w:val="1"/>
      <w:marLeft w:val="0"/>
      <w:marRight w:val="0"/>
      <w:marTop w:val="0"/>
      <w:marBottom w:val="0"/>
      <w:divBdr>
        <w:top w:val="none" w:sz="0" w:space="0" w:color="auto"/>
        <w:left w:val="none" w:sz="0" w:space="0" w:color="auto"/>
        <w:bottom w:val="none" w:sz="0" w:space="0" w:color="auto"/>
        <w:right w:val="none" w:sz="0" w:space="0" w:color="auto"/>
      </w:divBdr>
    </w:div>
    <w:div w:id="1481919397">
      <w:bodyDiv w:val="1"/>
      <w:marLeft w:val="0"/>
      <w:marRight w:val="0"/>
      <w:marTop w:val="0"/>
      <w:marBottom w:val="0"/>
      <w:divBdr>
        <w:top w:val="none" w:sz="0" w:space="0" w:color="auto"/>
        <w:left w:val="none" w:sz="0" w:space="0" w:color="auto"/>
        <w:bottom w:val="none" w:sz="0" w:space="0" w:color="auto"/>
        <w:right w:val="none" w:sz="0" w:space="0" w:color="auto"/>
      </w:divBdr>
    </w:div>
    <w:div w:id="1760322507">
      <w:bodyDiv w:val="1"/>
      <w:marLeft w:val="0"/>
      <w:marRight w:val="0"/>
      <w:marTop w:val="0"/>
      <w:marBottom w:val="0"/>
      <w:divBdr>
        <w:top w:val="none" w:sz="0" w:space="0" w:color="auto"/>
        <w:left w:val="none" w:sz="0" w:space="0" w:color="auto"/>
        <w:bottom w:val="none" w:sz="0" w:space="0" w:color="auto"/>
        <w:right w:val="none" w:sz="0" w:space="0" w:color="auto"/>
      </w:divBdr>
    </w:div>
    <w:div w:id="1790123786">
      <w:bodyDiv w:val="1"/>
      <w:marLeft w:val="0"/>
      <w:marRight w:val="0"/>
      <w:marTop w:val="0"/>
      <w:marBottom w:val="0"/>
      <w:divBdr>
        <w:top w:val="none" w:sz="0" w:space="0" w:color="auto"/>
        <w:left w:val="none" w:sz="0" w:space="0" w:color="auto"/>
        <w:bottom w:val="none" w:sz="0" w:space="0" w:color="auto"/>
        <w:right w:val="none" w:sz="0" w:space="0" w:color="auto"/>
      </w:divBdr>
    </w:div>
    <w:div w:id="19247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2366F3BBC8CE234B84695397A2A93407" ma:contentTypeVersion="10" ma:contentTypeDescription="Ein neues Dokument erstellen." ma:contentTypeScope="" ma:versionID="0568cc6719dc77685f726e99c7c2fb4c">
  <xsd:schema xmlns:xsd="http://www.w3.org/2001/XMLSchema" xmlns:xs="http://www.w3.org/2001/XMLSchema" xmlns:p="http://schemas.microsoft.com/office/2006/metadata/properties" xmlns:ns2="82c37705-afd5-4d11-a1ea-0266d9d1a166" xmlns:ns3="http://schemas.microsoft.com/sharepoint/v3/fields" xmlns:ns4="08F44E9F-55A5-4D8C-81FA-E5E52F0C7A16" xmlns:ns5="08f44e9f-55a5-4d8c-81fa-e5e52f0c7a16" targetNamespace="http://schemas.microsoft.com/office/2006/metadata/properties" ma:root="true" ma:fieldsID="17b5d0fba45ccd7280729390c91a62fb" ns2:_="" ns3:_="" ns4:_="" ns5:_="">
    <xsd:import namespace="82c37705-afd5-4d11-a1ea-0266d9d1a166"/>
    <xsd:import namespace="http://schemas.microsoft.com/sharepoint/v3/fields"/>
    <xsd:import namespace="08F44E9F-55A5-4D8C-81FA-E5E52F0C7A16"/>
    <xsd:import namespace="08f44e9f-55a5-4d8c-81fa-e5e52f0c7a1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7705-afd5-4d11-a1ea-0266d9d1a16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GB-V|f8d7b412-2487-4e9a-b58d-c7490dedd0c5"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Aufsichtsabgabe</TermName>
          <TermId xmlns="http://schemas.microsoft.com/office/infopath/2007/PartnerControls">1bb1ff23-244b-430d-b77e-6c87f49b07f4</TermId>
        </TermInfo>
      </Terms>
    </Topic_Note>
    <OU_Note xmlns="http://schemas.microsoft.com/sharepoint/v3/fields">
      <Terms xmlns="http://schemas.microsoft.com/office/infopath/2007/PartnerControls">
        <TermInfo xmlns="http://schemas.microsoft.com/office/infopath/2007/PartnerControls">
          <TermName xmlns="http://schemas.microsoft.com/office/infopath/2007/PartnerControls">GB-V</TermName>
          <TermId xmlns="http://schemas.microsoft.com/office/infopath/2007/PartnerControls">f8d7b412-2487-4e9a-b58d-c7490dedd0c5</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4-02.9 Verschiedenes</TermName>
          <TermId xmlns="http://schemas.microsoft.com/office/infopath/2007/PartnerControls">b7add63a-7a8a-4b8a-bfff-6c9ce2cbce07</TermId>
        </TermInfo>
      </Terms>
    </OSP_Note>
    <RetentionPeriod xmlns="08F44E9F-55A5-4D8C-81FA-E5E52F0C7A16">15</RetentionPeriod>
    <DocumentDate xmlns="08F44E9F-55A5-4D8C-81FA-E5E52F0C7A16">2011-01-27T23:00:00+00:00</DocumentDate>
    <ToBeArchived xmlns="08f44e9f-55a5-4d8c-81fa-e5e52f0c7a16">Nein</ToBeArchived>
    <_dlc_DocId xmlns="82c37705-afd5-4d11-a1ea-0266d9d1a166">6009-P-2-5405</_dlc_DocId>
    <_dlc_DocIdUrl xmlns="82c37705-afd5-4d11-a1ea-0266d9d1a166">
      <Url>https://dok.finma.ch/sites/6009-P/_layouts/15/DocIdRedir.aspx?ID=6009-P-2-5405</Url>
      <Description>6009-P-2-5405</Description>
    </_dlc_DocIdUrl>
    <AgendaItemGUID xmlns="08f44e9f-55a5-4d8c-81fa-e5e52f0c7a16" xsi:nil="true"/>
    <SeqenceNumber xmlns="08f44e9f-55a5-4d8c-81fa-e5e52f0c7a16"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0D830C-F8CC-418E-86B0-41EB985F4334}"/>
</file>

<file path=customXml/itemProps2.xml><?xml version="1.0" encoding="utf-8"?>
<ds:datastoreItem xmlns:ds="http://schemas.openxmlformats.org/officeDocument/2006/customXml" ds:itemID="{DDA78523-DD60-43A4-9869-9FA48BD501FF}">
  <ds:schemaRefs>
    <ds:schemaRef ds:uri="http://schemas.microsoft.com/office/2006/metadata/longProperties"/>
  </ds:schemaRefs>
</ds:datastoreItem>
</file>

<file path=customXml/itemProps3.xml><?xml version="1.0" encoding="utf-8"?>
<ds:datastoreItem xmlns:ds="http://schemas.openxmlformats.org/officeDocument/2006/customXml" ds:itemID="{9305A530-0991-455F-8E95-6E0D85D38216}">
  <ds:schemaRefs>
    <ds:schemaRef ds:uri="http://schemas.openxmlformats.org/officeDocument/2006/bibliography"/>
  </ds:schemaRefs>
</ds:datastoreItem>
</file>

<file path=customXml/itemProps4.xml><?xml version="1.0" encoding="utf-8"?>
<ds:datastoreItem xmlns:ds="http://schemas.openxmlformats.org/officeDocument/2006/customXml" ds:itemID="{483E9175-003F-4F35-B708-C7D06D664883}">
  <ds:schemaRefs>
    <ds:schemaRef ds:uri="http://schemas.microsoft.com/sharepoint/v3/contenttype/forms"/>
  </ds:schemaRefs>
</ds:datastoreItem>
</file>

<file path=customXml/itemProps5.xml><?xml version="1.0" encoding="utf-8"?>
<ds:datastoreItem xmlns:ds="http://schemas.openxmlformats.org/officeDocument/2006/customXml" ds:itemID="{313AD178-3FE8-43DB-9804-5CDCB9F3C577}">
  <ds:schemaRefs>
    <ds:schemaRef ds:uri="http://purl.org/dc/terms/"/>
    <ds:schemaRef ds:uri="1ab9bbcc-83c6-4736-b39b-aba04a32d413"/>
    <ds:schemaRef ds:uri="http://schemas.microsoft.com/office/2006/documentManagement/types"/>
    <ds:schemaRef ds:uri="1AB9BBCC-83C6-4736-B39B-ABA04A32D413"/>
    <ds:schemaRef ds:uri="http://purl.org/dc/elements/1.1/"/>
    <ds:schemaRef ds:uri="http://schemas.microsoft.com/office/2006/metadata/properties"/>
    <ds:schemaRef ds:uri="a13ce8e2-0bfa-4ae3-b62f-afeb61f48330"/>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3DF6C280-52F3-47C3-80D2-EE4FC5060F06}">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3926</ap:Words>
  <ap:Characters>26018</ap:Characters>
  <ap:Application>Microsoft Office Word</ap:Application>
  <ap:DocSecurity>0</ap:DocSecurity>
  <ap:Lines>216</ap:Lines>
  <ap:Paragraphs>59</ap:Paragraphs>
  <ap:ScaleCrop>false</ap:ScaleCrop>
  <ap:HeadingPairs>
    <vt:vector baseType="variant" size="6">
      <vt:variant>
        <vt:lpstr>Title</vt:lpstr>
      </vt:variant>
      <vt:variant>
        <vt:i4>1</vt:i4>
      </vt:variant>
      <vt:variant>
        <vt:lpstr>Titre</vt:lpstr>
      </vt:variant>
      <vt:variant>
        <vt:i4>1</vt:i4>
      </vt:variant>
      <vt:variant>
        <vt:lpstr>Titel</vt:lpstr>
      </vt:variant>
      <vt:variant>
        <vt:i4>1</vt:i4>
      </vt:variant>
    </vt:vector>
  </ap:HeadingPairs>
  <ap:TitlesOfParts>
    <vt:vector baseType="lpstr" size="3">
      <vt:lpstr>D Basis Hoch</vt:lpstr>
      <vt:lpstr>D Basis Hoch</vt:lpstr>
      <vt:lpstr>D Basis Hoch</vt:lpstr>
    </vt:vector>
  </ap:TitlesOfParts>
  <ap:LinksUpToDate>false</ap:LinksUpToDate>
  <ap:CharactersWithSpaces>29885</ap:CharactersWithSpaces>
  <ap:SharedDoc>false</ap:SharedDoc>
  <ap:HLinks>
    <vt:vector baseType="variant" size="144">
      <vt:variant>
        <vt:i4>1900597</vt:i4>
      </vt:variant>
      <vt:variant>
        <vt:i4>140</vt:i4>
      </vt:variant>
      <vt:variant>
        <vt:i4>0</vt:i4>
      </vt:variant>
      <vt:variant>
        <vt:i4>5</vt:i4>
      </vt:variant>
      <vt:variant>
        <vt:lpwstr/>
      </vt:variant>
      <vt:variant>
        <vt:lpwstr>_Toc500944473</vt:lpwstr>
      </vt:variant>
      <vt:variant>
        <vt:i4>1900597</vt:i4>
      </vt:variant>
      <vt:variant>
        <vt:i4>134</vt:i4>
      </vt:variant>
      <vt:variant>
        <vt:i4>0</vt:i4>
      </vt:variant>
      <vt:variant>
        <vt:i4>5</vt:i4>
      </vt:variant>
      <vt:variant>
        <vt:lpwstr/>
      </vt:variant>
      <vt:variant>
        <vt:lpwstr>_Toc500944472</vt:lpwstr>
      </vt:variant>
      <vt:variant>
        <vt:i4>1900597</vt:i4>
      </vt:variant>
      <vt:variant>
        <vt:i4>128</vt:i4>
      </vt:variant>
      <vt:variant>
        <vt:i4>0</vt:i4>
      </vt:variant>
      <vt:variant>
        <vt:i4>5</vt:i4>
      </vt:variant>
      <vt:variant>
        <vt:lpwstr/>
      </vt:variant>
      <vt:variant>
        <vt:lpwstr>_Toc500944471</vt:lpwstr>
      </vt:variant>
      <vt:variant>
        <vt:i4>1900597</vt:i4>
      </vt:variant>
      <vt:variant>
        <vt:i4>122</vt:i4>
      </vt:variant>
      <vt:variant>
        <vt:i4>0</vt:i4>
      </vt:variant>
      <vt:variant>
        <vt:i4>5</vt:i4>
      </vt:variant>
      <vt:variant>
        <vt:lpwstr/>
      </vt:variant>
      <vt:variant>
        <vt:lpwstr>_Toc500944470</vt:lpwstr>
      </vt:variant>
      <vt:variant>
        <vt:i4>1835061</vt:i4>
      </vt:variant>
      <vt:variant>
        <vt:i4>116</vt:i4>
      </vt:variant>
      <vt:variant>
        <vt:i4>0</vt:i4>
      </vt:variant>
      <vt:variant>
        <vt:i4>5</vt:i4>
      </vt:variant>
      <vt:variant>
        <vt:lpwstr/>
      </vt:variant>
      <vt:variant>
        <vt:lpwstr>_Toc500944469</vt:lpwstr>
      </vt:variant>
      <vt:variant>
        <vt:i4>1835061</vt:i4>
      </vt:variant>
      <vt:variant>
        <vt:i4>110</vt:i4>
      </vt:variant>
      <vt:variant>
        <vt:i4>0</vt:i4>
      </vt:variant>
      <vt:variant>
        <vt:i4>5</vt:i4>
      </vt:variant>
      <vt:variant>
        <vt:lpwstr/>
      </vt:variant>
      <vt:variant>
        <vt:lpwstr>_Toc500944468</vt:lpwstr>
      </vt:variant>
      <vt:variant>
        <vt:i4>1835061</vt:i4>
      </vt:variant>
      <vt:variant>
        <vt:i4>104</vt:i4>
      </vt:variant>
      <vt:variant>
        <vt:i4>0</vt:i4>
      </vt:variant>
      <vt:variant>
        <vt:i4>5</vt:i4>
      </vt:variant>
      <vt:variant>
        <vt:lpwstr/>
      </vt:variant>
      <vt:variant>
        <vt:lpwstr>_Toc500944467</vt:lpwstr>
      </vt:variant>
      <vt:variant>
        <vt:i4>1835061</vt:i4>
      </vt:variant>
      <vt:variant>
        <vt:i4>98</vt:i4>
      </vt:variant>
      <vt:variant>
        <vt:i4>0</vt:i4>
      </vt:variant>
      <vt:variant>
        <vt:i4>5</vt:i4>
      </vt:variant>
      <vt:variant>
        <vt:lpwstr/>
      </vt:variant>
      <vt:variant>
        <vt:lpwstr>_Toc500944466</vt:lpwstr>
      </vt:variant>
      <vt:variant>
        <vt:i4>1835061</vt:i4>
      </vt:variant>
      <vt:variant>
        <vt:i4>92</vt:i4>
      </vt:variant>
      <vt:variant>
        <vt:i4>0</vt:i4>
      </vt:variant>
      <vt:variant>
        <vt:i4>5</vt:i4>
      </vt:variant>
      <vt:variant>
        <vt:lpwstr/>
      </vt:variant>
      <vt:variant>
        <vt:lpwstr>_Toc500944465</vt:lpwstr>
      </vt:variant>
      <vt:variant>
        <vt:i4>1835061</vt:i4>
      </vt:variant>
      <vt:variant>
        <vt:i4>86</vt:i4>
      </vt:variant>
      <vt:variant>
        <vt:i4>0</vt:i4>
      </vt:variant>
      <vt:variant>
        <vt:i4>5</vt:i4>
      </vt:variant>
      <vt:variant>
        <vt:lpwstr/>
      </vt:variant>
      <vt:variant>
        <vt:lpwstr>_Toc500944464</vt:lpwstr>
      </vt:variant>
      <vt:variant>
        <vt:i4>1835061</vt:i4>
      </vt:variant>
      <vt:variant>
        <vt:i4>80</vt:i4>
      </vt:variant>
      <vt:variant>
        <vt:i4>0</vt:i4>
      </vt:variant>
      <vt:variant>
        <vt:i4>5</vt:i4>
      </vt:variant>
      <vt:variant>
        <vt:lpwstr/>
      </vt:variant>
      <vt:variant>
        <vt:lpwstr>_Toc500944463</vt:lpwstr>
      </vt:variant>
      <vt:variant>
        <vt:i4>1835061</vt:i4>
      </vt:variant>
      <vt:variant>
        <vt:i4>74</vt:i4>
      </vt:variant>
      <vt:variant>
        <vt:i4>0</vt:i4>
      </vt:variant>
      <vt:variant>
        <vt:i4>5</vt:i4>
      </vt:variant>
      <vt:variant>
        <vt:lpwstr/>
      </vt:variant>
      <vt:variant>
        <vt:lpwstr>_Toc500944462</vt:lpwstr>
      </vt:variant>
      <vt:variant>
        <vt:i4>1835061</vt:i4>
      </vt:variant>
      <vt:variant>
        <vt:i4>68</vt:i4>
      </vt:variant>
      <vt:variant>
        <vt:i4>0</vt:i4>
      </vt:variant>
      <vt:variant>
        <vt:i4>5</vt:i4>
      </vt:variant>
      <vt:variant>
        <vt:lpwstr/>
      </vt:variant>
      <vt:variant>
        <vt:lpwstr>_Toc500944461</vt:lpwstr>
      </vt:variant>
      <vt:variant>
        <vt:i4>1835061</vt:i4>
      </vt:variant>
      <vt:variant>
        <vt:i4>62</vt:i4>
      </vt:variant>
      <vt:variant>
        <vt:i4>0</vt:i4>
      </vt:variant>
      <vt:variant>
        <vt:i4>5</vt:i4>
      </vt:variant>
      <vt:variant>
        <vt:lpwstr/>
      </vt:variant>
      <vt:variant>
        <vt:lpwstr>_Toc500944460</vt:lpwstr>
      </vt:variant>
      <vt:variant>
        <vt:i4>2031669</vt:i4>
      </vt:variant>
      <vt:variant>
        <vt:i4>56</vt:i4>
      </vt:variant>
      <vt:variant>
        <vt:i4>0</vt:i4>
      </vt:variant>
      <vt:variant>
        <vt:i4>5</vt:i4>
      </vt:variant>
      <vt:variant>
        <vt:lpwstr/>
      </vt:variant>
      <vt:variant>
        <vt:lpwstr>_Toc500944459</vt:lpwstr>
      </vt:variant>
      <vt:variant>
        <vt:i4>2031669</vt:i4>
      </vt:variant>
      <vt:variant>
        <vt:i4>50</vt:i4>
      </vt:variant>
      <vt:variant>
        <vt:i4>0</vt:i4>
      </vt:variant>
      <vt:variant>
        <vt:i4>5</vt:i4>
      </vt:variant>
      <vt:variant>
        <vt:lpwstr/>
      </vt:variant>
      <vt:variant>
        <vt:lpwstr>_Toc500944458</vt:lpwstr>
      </vt:variant>
      <vt:variant>
        <vt:i4>2031669</vt:i4>
      </vt:variant>
      <vt:variant>
        <vt:i4>44</vt:i4>
      </vt:variant>
      <vt:variant>
        <vt:i4>0</vt:i4>
      </vt:variant>
      <vt:variant>
        <vt:i4>5</vt:i4>
      </vt:variant>
      <vt:variant>
        <vt:lpwstr/>
      </vt:variant>
      <vt:variant>
        <vt:lpwstr>_Toc500944457</vt:lpwstr>
      </vt:variant>
      <vt:variant>
        <vt:i4>2031669</vt:i4>
      </vt:variant>
      <vt:variant>
        <vt:i4>38</vt:i4>
      </vt:variant>
      <vt:variant>
        <vt:i4>0</vt:i4>
      </vt:variant>
      <vt:variant>
        <vt:i4>5</vt:i4>
      </vt:variant>
      <vt:variant>
        <vt:lpwstr/>
      </vt:variant>
      <vt:variant>
        <vt:lpwstr>_Toc500944456</vt:lpwstr>
      </vt:variant>
      <vt:variant>
        <vt:i4>2031669</vt:i4>
      </vt:variant>
      <vt:variant>
        <vt:i4>32</vt:i4>
      </vt:variant>
      <vt:variant>
        <vt:i4>0</vt:i4>
      </vt:variant>
      <vt:variant>
        <vt:i4>5</vt:i4>
      </vt:variant>
      <vt:variant>
        <vt:lpwstr/>
      </vt:variant>
      <vt:variant>
        <vt:lpwstr>_Toc500944455</vt:lpwstr>
      </vt:variant>
      <vt:variant>
        <vt:i4>2031669</vt:i4>
      </vt:variant>
      <vt:variant>
        <vt:i4>26</vt:i4>
      </vt:variant>
      <vt:variant>
        <vt:i4>0</vt:i4>
      </vt:variant>
      <vt:variant>
        <vt:i4>5</vt:i4>
      </vt:variant>
      <vt:variant>
        <vt:lpwstr/>
      </vt:variant>
      <vt:variant>
        <vt:lpwstr>_Toc500944454</vt:lpwstr>
      </vt:variant>
      <vt:variant>
        <vt:i4>2031669</vt:i4>
      </vt:variant>
      <vt:variant>
        <vt:i4>20</vt:i4>
      </vt:variant>
      <vt:variant>
        <vt:i4>0</vt:i4>
      </vt:variant>
      <vt:variant>
        <vt:i4>5</vt:i4>
      </vt:variant>
      <vt:variant>
        <vt:lpwstr/>
      </vt:variant>
      <vt:variant>
        <vt:lpwstr>_Toc500944453</vt:lpwstr>
      </vt:variant>
      <vt:variant>
        <vt:i4>2031669</vt:i4>
      </vt:variant>
      <vt:variant>
        <vt:i4>14</vt:i4>
      </vt:variant>
      <vt:variant>
        <vt:i4>0</vt:i4>
      </vt:variant>
      <vt:variant>
        <vt:i4>5</vt:i4>
      </vt:variant>
      <vt:variant>
        <vt:lpwstr/>
      </vt:variant>
      <vt:variant>
        <vt:lpwstr>_Toc500944452</vt:lpwstr>
      </vt:variant>
      <vt:variant>
        <vt:i4>2031669</vt:i4>
      </vt:variant>
      <vt:variant>
        <vt:i4>8</vt:i4>
      </vt:variant>
      <vt:variant>
        <vt:i4>0</vt:i4>
      </vt:variant>
      <vt:variant>
        <vt:i4>5</vt:i4>
      </vt:variant>
      <vt:variant>
        <vt:lpwstr/>
      </vt:variant>
      <vt:variant>
        <vt:lpwstr>_Toc500944451</vt:lpwstr>
      </vt:variant>
      <vt:variant>
        <vt:i4>2031669</vt:i4>
      </vt:variant>
      <vt:variant>
        <vt:i4>2</vt:i4>
      </vt:variant>
      <vt:variant>
        <vt:i4>0</vt:i4>
      </vt:variant>
      <vt:variant>
        <vt:i4>5</vt:i4>
      </vt:variant>
      <vt:variant>
        <vt:lpwstr/>
      </vt:variant>
      <vt:variant>
        <vt:lpwstr>_Toc500944450</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D Basis Hoch</dc:title>
  <dc:subject/>
  <dc:creator/>
  <keywords/>
  <lastModifiedBy/>
  <revision/>
  <lastPrinted>2022-01-25T16:44:00.0000000Z</lastPrinted>
  <dcterms:created xsi:type="dcterms:W3CDTF">2023-10-27T10:55:00.0000000Z</dcterms:created>
  <dcterms:modified xsi:type="dcterms:W3CDTF">2023-10-27T10:55:00.0000000Z</dcterms:modified>
  <category/>
  <dc:description/>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MP_UpdateVersion">
    <vt:lpwstr>15</vt:lpwstr>
  </op:property>
  <op:property fmtid="{D5CDD505-2E9C-101B-9397-08002B2CF9AE}" pid="4" name="MatchPointUserTags">
    <vt:lpwstr>((2559)(2545)(2396))((2577)(2549)(2396))((2575)(2548)(2396))</vt:lpwstr>
  </op:property>
  <op:property fmtid="{D5CDD505-2E9C-101B-9397-08002B2CF9AE}" pid="5" name="MP_UserTags">
    <vt:lpwstr/>
  </op:property>
  <op:property fmtid="{D5CDD505-2E9C-101B-9397-08002B2CF9AE}" pid="6" name="MP_InheritedTags">
    <vt:lpwstr>((2577)(2549)(2396))</vt:lpwstr>
  </op:property>
  <op:property fmtid="{D5CDD505-2E9C-101B-9397-08002B2CF9AE}" pid="7" name="Topic">
    <vt:lpwstr>12;#Aufsichtsabgabe|1bb1ff23-244b-430d-b77e-6c87f49b07f4</vt:lpwstr>
  </op:property>
  <op:property fmtid="{D5CDD505-2E9C-101B-9397-08002B2CF9AE}" pid="8" name="OSP">
    <vt:lpwstr>13;#4-02.9 Verschiedenes|b7add63a-7a8a-4b8a-bfff-6c9ce2cbce07</vt:lpwstr>
  </op:property>
  <op:property fmtid="{D5CDD505-2E9C-101B-9397-08002B2CF9AE}" pid="9" name="OU">
    <vt:lpwstr>2;#GB-V|f8d7b412-2487-4e9a-b58d-c7490dedd0c5</vt:lpwstr>
  </op:property>
  <op:property fmtid="{D5CDD505-2E9C-101B-9397-08002B2CF9AE}" pid="10" name="_dlc_DocId">
    <vt:lpwstr>6005-T-6-44974</vt:lpwstr>
  </op:property>
  <op:property fmtid="{D5CDD505-2E9C-101B-9397-08002B2CF9AE}" pid="11" name="_dlc_DocIdItemGuid">
    <vt:lpwstr>92baf4d9-586f-4d5a-93b2-8ec427679d17</vt:lpwstr>
  </op:property>
  <op:property fmtid="{D5CDD505-2E9C-101B-9397-08002B2CF9AE}" pid="12" name="_dlc_DocIdUrl">
    <vt:lpwstr>https://org.finma.ch/sites/6005-T/_layouts/15/DocIdRedir.aspx?ID=6005-T-6-44974, 6005-T-6-44974</vt:lpwstr>
  </op:property>
  <op:property fmtid="{D5CDD505-2E9C-101B-9397-08002B2CF9AE}" pid="13" name="Receiver">
    <vt:lpwstr/>
  </op:property>
  <op:property fmtid="{D5CDD505-2E9C-101B-9397-08002B2CF9AE}" pid="14" name="display_urn:schemas-microsoft-com:office:office#Editor">
    <vt:lpwstr>Stober Mark</vt:lpwstr>
  </op:property>
  <op:property fmtid="{D5CDD505-2E9C-101B-9397-08002B2CF9AE}" pid="15" name="Sender">
    <vt:lpwstr/>
  </op:property>
  <op:property fmtid="{D5CDD505-2E9C-101B-9397-08002B2CF9AE}" pid="16" name="DocumentSetDescription">
    <vt:lpwstr/>
  </op:property>
  <op:property fmtid="{D5CDD505-2E9C-101B-9397-08002B2CF9AE}" pid="17" name="display_urn:schemas-microsoft-com:office:office#Author">
    <vt:lpwstr>Jakob Martin</vt:lpwstr>
  </op:property>
  <op:property fmtid="{D5CDD505-2E9C-101B-9397-08002B2CF9AE}" pid="18" name="DossierStatus_Note">
    <vt:lpwstr/>
  </op:property>
  <op:property fmtid="{D5CDD505-2E9C-101B-9397-08002B2CF9AE}" pid="19" name="_docset_NoMedatataSyncRequired">
    <vt:lpwstr>False</vt:lpwstr>
  </op:property>
</op:Properties>
</file>