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5851" w14:textId="626DFE24" w:rsidR="00994315" w:rsidRPr="00DB7CF3" w:rsidRDefault="00BB7ED7" w:rsidP="0093102C">
      <w:pPr>
        <w:spacing w:before="120" w:after="120" w:line="240" w:lineRule="auto"/>
        <w:rPr>
          <w:rFonts w:cs="Arial"/>
          <w:b/>
        </w:rPr>
      </w:pPr>
      <w:bookmarkStart w:id="0" w:name="BkMod_000"/>
      <w:r>
        <w:rPr>
          <w:b/>
        </w:rPr>
        <w:t xml:space="preserve">  </w:t>
      </w:r>
      <w:r w:rsidR="00994315">
        <w:rPr>
          <w:b/>
        </w:rPr>
        <w:t>Übersicht</w:t>
      </w:r>
    </w:p>
    <w:tbl>
      <w:tblPr>
        <w:tblStyle w:val="Tabellenraster"/>
        <w:tblW w:w="0" w:type="auto"/>
        <w:tblInd w:w="108" w:type="dxa"/>
        <w:tblLook w:val="04A0" w:firstRow="1" w:lastRow="0" w:firstColumn="1" w:lastColumn="0" w:noHBand="0" w:noVBand="1"/>
      </w:tblPr>
      <w:tblGrid>
        <w:gridCol w:w="2600"/>
        <w:gridCol w:w="11285"/>
      </w:tblGrid>
      <w:tr w:rsidR="00994315" w:rsidRPr="002A2E08" w14:paraId="50FECCD3" w14:textId="77777777" w:rsidTr="000C7983">
        <w:tc>
          <w:tcPr>
            <w:tcW w:w="2694" w:type="dxa"/>
            <w:shd w:val="pct10" w:color="auto" w:fill="auto"/>
          </w:tcPr>
          <w:p w14:paraId="28CDF7D0" w14:textId="451248F0" w:rsidR="00994315" w:rsidRPr="009438B7" w:rsidRDefault="00994315" w:rsidP="00B87968">
            <w:pPr>
              <w:tabs>
                <w:tab w:val="left" w:pos="1418"/>
              </w:tabs>
              <w:spacing w:before="60" w:after="60" w:line="240" w:lineRule="auto"/>
              <w:rPr>
                <w:rFonts w:cs="Arial"/>
                <w:b/>
                <w:szCs w:val="18"/>
              </w:rPr>
            </w:pPr>
            <w:r>
              <w:rPr>
                <w:b/>
              </w:rPr>
              <w:t>Prüf</w:t>
            </w:r>
            <w:r w:rsidR="00273623">
              <w:rPr>
                <w:b/>
              </w:rPr>
              <w:t>feld</w:t>
            </w:r>
          </w:p>
        </w:tc>
        <w:tc>
          <w:tcPr>
            <w:tcW w:w="11701" w:type="dxa"/>
            <w:shd w:val="pct10" w:color="auto" w:fill="auto"/>
          </w:tcPr>
          <w:p w14:paraId="64B3638C" w14:textId="746375EE" w:rsidR="00994315" w:rsidRPr="002A2E08" w:rsidRDefault="00273623" w:rsidP="000C7983">
            <w:pPr>
              <w:tabs>
                <w:tab w:val="left" w:pos="1859"/>
              </w:tabs>
              <w:spacing w:before="60" w:after="60" w:line="240" w:lineRule="auto"/>
              <w:rPr>
                <w:rFonts w:cs="Arial"/>
                <w:b/>
                <w:szCs w:val="18"/>
              </w:rPr>
            </w:pPr>
            <w:r>
              <w:rPr>
                <w:b/>
              </w:rPr>
              <w:t xml:space="preserve">Verhaltensregeln / </w:t>
            </w:r>
            <w:r w:rsidR="00994315">
              <w:rPr>
                <w:b/>
              </w:rPr>
              <w:t>Risikomanagement im Zusammenhang mit Cross-Border</w:t>
            </w:r>
            <w:r w:rsidR="000C7983">
              <w:rPr>
                <w:b/>
              </w:rPr>
              <w:t>-</w:t>
            </w:r>
            <w:r w:rsidR="00994315">
              <w:rPr>
                <w:b/>
              </w:rPr>
              <w:t>Aktivitäten</w:t>
            </w:r>
          </w:p>
        </w:tc>
      </w:tr>
      <w:tr w:rsidR="00994315" w:rsidRPr="00F6760D" w14:paraId="5C620A68" w14:textId="77777777" w:rsidTr="000C7983">
        <w:tc>
          <w:tcPr>
            <w:tcW w:w="2694" w:type="dxa"/>
            <w:shd w:val="pct10" w:color="auto" w:fill="auto"/>
          </w:tcPr>
          <w:p w14:paraId="5A048D39" w14:textId="3E44CC92" w:rsidR="00994315" w:rsidRPr="009438B7" w:rsidRDefault="00994315" w:rsidP="0093102C">
            <w:pPr>
              <w:tabs>
                <w:tab w:val="left" w:pos="1418"/>
              </w:tabs>
              <w:spacing w:before="60" w:after="60" w:line="240" w:lineRule="auto"/>
              <w:rPr>
                <w:rFonts w:cs="Arial"/>
                <w:b/>
                <w:szCs w:val="18"/>
              </w:rPr>
            </w:pPr>
            <w:r>
              <w:rPr>
                <w:b/>
              </w:rPr>
              <w:t>Prüftiefe</w:t>
            </w:r>
          </w:p>
        </w:tc>
        <w:tc>
          <w:tcPr>
            <w:tcW w:w="11701" w:type="dxa"/>
            <w:shd w:val="pct10" w:color="auto" w:fill="auto"/>
          </w:tcPr>
          <w:p w14:paraId="7BAAA3FD" w14:textId="77777777" w:rsidR="00994315" w:rsidRPr="0045532C" w:rsidRDefault="00994315" w:rsidP="0093102C">
            <w:pPr>
              <w:tabs>
                <w:tab w:val="left" w:pos="1859"/>
              </w:tabs>
              <w:spacing w:before="60" w:after="60" w:line="240" w:lineRule="auto"/>
              <w:rPr>
                <w:rFonts w:cs="Arial"/>
                <w:szCs w:val="18"/>
              </w:rPr>
            </w:pPr>
            <w:r>
              <w:rPr>
                <w:highlight w:val="yellow"/>
              </w:rPr>
              <w:t>[Prüfung / kritische Beurteilung]</w:t>
            </w:r>
          </w:p>
        </w:tc>
      </w:tr>
      <w:tr w:rsidR="00994315" w:rsidRPr="009B54F4" w14:paraId="0ED16548" w14:textId="77777777" w:rsidTr="000C7983">
        <w:tc>
          <w:tcPr>
            <w:tcW w:w="2694" w:type="dxa"/>
          </w:tcPr>
          <w:p w14:paraId="00F73358" w14:textId="078E6972" w:rsidR="0093102C" w:rsidRPr="00EB30C0" w:rsidRDefault="0093102C" w:rsidP="0093102C">
            <w:pPr>
              <w:tabs>
                <w:tab w:val="left" w:pos="1418"/>
              </w:tabs>
              <w:spacing w:before="60" w:after="60" w:line="240" w:lineRule="auto"/>
              <w:rPr>
                <w:rFonts w:cs="Arial"/>
                <w:b/>
              </w:rPr>
            </w:pPr>
            <w:r>
              <w:rPr>
                <w:b/>
              </w:rPr>
              <w:t>Vorschriften</w:t>
            </w:r>
          </w:p>
          <w:p w14:paraId="119EA0C7" w14:textId="01BB5743" w:rsidR="00994315" w:rsidRPr="009438B7" w:rsidRDefault="0093102C" w:rsidP="003776F1">
            <w:pPr>
              <w:tabs>
                <w:tab w:val="left" w:pos="1418"/>
              </w:tabs>
              <w:spacing w:before="60" w:after="60" w:line="240" w:lineRule="auto"/>
              <w:rPr>
                <w:rFonts w:cs="Arial"/>
              </w:rPr>
            </w:pPr>
            <w:r>
              <w:t>(</w:t>
            </w:r>
            <w:r w:rsidR="000A5D71">
              <w:t xml:space="preserve">Liste ist </w:t>
            </w:r>
            <w:r>
              <w:t>nicht</w:t>
            </w:r>
            <w:r w:rsidR="000A5D71">
              <w:t xml:space="preserve"> </w:t>
            </w:r>
            <w:r>
              <w:t>abschliessend)</w:t>
            </w:r>
          </w:p>
        </w:tc>
        <w:tc>
          <w:tcPr>
            <w:tcW w:w="11701" w:type="dxa"/>
          </w:tcPr>
          <w:p w14:paraId="79722B13" w14:textId="77777777" w:rsidR="00273623" w:rsidRDefault="00994315" w:rsidP="00B87968">
            <w:pPr>
              <w:tabs>
                <w:tab w:val="left" w:pos="1859"/>
              </w:tabs>
              <w:spacing w:before="60" w:after="60" w:line="240" w:lineRule="auto"/>
            </w:pPr>
            <w:r>
              <w:t xml:space="preserve">Art. 14 KAG / Art. 12 und 12a KKV / </w:t>
            </w:r>
            <w:r w:rsidR="000A5D71">
              <w:t xml:space="preserve">Art. 67 ff </w:t>
            </w:r>
            <w:r>
              <w:t>KKV-FINMA</w:t>
            </w:r>
          </w:p>
          <w:p w14:paraId="76EE89BC" w14:textId="6985095C" w:rsidR="00994315" w:rsidRDefault="00273623" w:rsidP="00B87968">
            <w:pPr>
              <w:tabs>
                <w:tab w:val="left" w:pos="1859"/>
              </w:tabs>
              <w:spacing w:before="60" w:after="60" w:line="240" w:lineRule="auto"/>
            </w:pPr>
            <w:r>
              <w:t>Art. 9 FINIG</w:t>
            </w:r>
            <w:r w:rsidR="00BA1E99">
              <w:t>, Art. 12, 41 und 57</w:t>
            </w:r>
            <w:r>
              <w:t xml:space="preserve"> FINIV</w:t>
            </w:r>
          </w:p>
          <w:p w14:paraId="2232B834" w14:textId="2C14DCF1" w:rsidR="00FF118E" w:rsidRPr="0093102C" w:rsidRDefault="00FF118E" w:rsidP="00BA1E99">
            <w:pPr>
              <w:tabs>
                <w:tab w:val="left" w:pos="1859"/>
              </w:tabs>
              <w:spacing w:before="60" w:after="60" w:line="240" w:lineRule="auto"/>
              <w:rPr>
                <w:rFonts w:cs="Arial"/>
              </w:rPr>
            </w:pPr>
            <w:r>
              <w:t>FINMA-Rundschreiben 2017/6 Direktübermittlung</w:t>
            </w:r>
          </w:p>
        </w:tc>
      </w:tr>
      <w:tr w:rsidR="00994315" w:rsidRPr="009B54F4" w14:paraId="64C30DDE" w14:textId="77777777" w:rsidTr="000C7983">
        <w:trPr>
          <w:trHeight w:val="627"/>
        </w:trPr>
        <w:tc>
          <w:tcPr>
            <w:tcW w:w="2694" w:type="dxa"/>
          </w:tcPr>
          <w:p w14:paraId="12272C16" w14:textId="77777777" w:rsidR="00994315" w:rsidRPr="009438B7" w:rsidRDefault="00994315" w:rsidP="0093102C">
            <w:pPr>
              <w:tabs>
                <w:tab w:val="left" w:pos="1418"/>
              </w:tabs>
              <w:spacing w:before="60" w:after="60" w:line="240" w:lineRule="auto"/>
              <w:rPr>
                <w:rFonts w:cs="Arial"/>
                <w:b/>
              </w:rPr>
            </w:pPr>
            <w:r>
              <w:rPr>
                <w:b/>
              </w:rPr>
              <w:t>Unterstützende Dokumente</w:t>
            </w:r>
          </w:p>
        </w:tc>
        <w:tc>
          <w:tcPr>
            <w:tcW w:w="11701" w:type="dxa"/>
          </w:tcPr>
          <w:p w14:paraId="5389B3C9" w14:textId="36B586D8" w:rsidR="00994315" w:rsidRPr="0093102C" w:rsidRDefault="00994315" w:rsidP="0093102C">
            <w:pPr>
              <w:tabs>
                <w:tab w:val="left" w:pos="1859"/>
              </w:tabs>
              <w:spacing w:before="60" w:after="60" w:line="240" w:lineRule="auto"/>
              <w:rPr>
                <w:rFonts w:cs="Arial"/>
              </w:rPr>
            </w:pPr>
          </w:p>
        </w:tc>
      </w:tr>
      <w:tr w:rsidR="00994315" w:rsidRPr="0045532C" w14:paraId="2FAA71E9" w14:textId="77777777" w:rsidTr="008D3D79">
        <w:trPr>
          <w:trHeight w:val="1943"/>
        </w:trPr>
        <w:tc>
          <w:tcPr>
            <w:tcW w:w="2694" w:type="dxa"/>
          </w:tcPr>
          <w:p w14:paraId="29F7F469" w14:textId="77777777" w:rsidR="00994315" w:rsidRPr="009438B7" w:rsidRDefault="00994315" w:rsidP="0093102C">
            <w:pPr>
              <w:tabs>
                <w:tab w:val="left" w:pos="1418"/>
              </w:tabs>
              <w:spacing w:before="60" w:after="60" w:line="240" w:lineRule="auto"/>
              <w:rPr>
                <w:rFonts w:cs="Arial"/>
                <w:b/>
              </w:rPr>
            </w:pPr>
            <w:r>
              <w:rPr>
                <w:b/>
              </w:rPr>
              <w:t>Sign-offs:</w:t>
            </w:r>
          </w:p>
        </w:tc>
        <w:tc>
          <w:tcPr>
            <w:tcW w:w="11701" w:type="dxa"/>
          </w:tcPr>
          <w:p w14:paraId="2868362A" w14:textId="77777777" w:rsidR="00994315" w:rsidRPr="0045532C" w:rsidRDefault="00994315" w:rsidP="0093102C">
            <w:pPr>
              <w:tabs>
                <w:tab w:val="left" w:pos="1859"/>
              </w:tabs>
              <w:spacing w:before="60" w:after="60" w:line="240" w:lineRule="auto"/>
              <w:rPr>
                <w:rFonts w:cs="Arial"/>
                <w:sz w:val="2"/>
                <w:szCs w:val="2"/>
              </w:rPr>
            </w:pPr>
          </w:p>
          <w:tbl>
            <w:tblPr>
              <w:tblStyle w:val="Tabellenraster"/>
              <w:tblW w:w="0" w:type="auto"/>
              <w:tblLook w:val="04A0" w:firstRow="1" w:lastRow="0" w:firstColumn="1" w:lastColumn="0" w:noHBand="0" w:noVBand="1"/>
            </w:tblPr>
            <w:tblGrid>
              <w:gridCol w:w="1944"/>
              <w:gridCol w:w="3537"/>
              <w:gridCol w:w="3398"/>
              <w:gridCol w:w="2180"/>
            </w:tblGrid>
            <w:tr w:rsidR="00994315" w:rsidRPr="0045532C" w14:paraId="49575F13" w14:textId="77777777" w:rsidTr="000C7983">
              <w:tc>
                <w:tcPr>
                  <w:tcW w:w="2013" w:type="dxa"/>
                  <w:shd w:val="clear" w:color="auto" w:fill="D9D9D9" w:themeFill="background1" w:themeFillShade="D9"/>
                </w:tcPr>
                <w:p w14:paraId="40F2B0D1" w14:textId="776A80A4" w:rsidR="00994315" w:rsidRPr="0045532C" w:rsidRDefault="00994315" w:rsidP="0093102C">
                  <w:pPr>
                    <w:tabs>
                      <w:tab w:val="left" w:pos="1859"/>
                    </w:tabs>
                    <w:spacing w:before="60" w:after="60" w:line="240" w:lineRule="auto"/>
                    <w:rPr>
                      <w:rFonts w:cs="Arial"/>
                      <w:b/>
                      <w:sz w:val="18"/>
                      <w:szCs w:val="18"/>
                    </w:rPr>
                  </w:pPr>
                  <w:r>
                    <w:rPr>
                      <w:b/>
                      <w:sz w:val="18"/>
                    </w:rPr>
                    <w:t>Sign-offs</w:t>
                  </w:r>
                </w:p>
              </w:tc>
              <w:tc>
                <w:tcPr>
                  <w:tcW w:w="3685" w:type="dxa"/>
                  <w:shd w:val="clear" w:color="auto" w:fill="D9D9D9" w:themeFill="background1" w:themeFillShade="D9"/>
                </w:tcPr>
                <w:p w14:paraId="3976074F" w14:textId="302786C8" w:rsidR="00994315" w:rsidRPr="0045532C" w:rsidRDefault="00994315" w:rsidP="0093102C">
                  <w:pPr>
                    <w:tabs>
                      <w:tab w:val="left" w:pos="1859"/>
                    </w:tabs>
                    <w:spacing w:before="60" w:after="60" w:line="240" w:lineRule="auto"/>
                    <w:jc w:val="center"/>
                    <w:rPr>
                      <w:rFonts w:cs="Arial"/>
                      <w:b/>
                      <w:sz w:val="18"/>
                      <w:szCs w:val="18"/>
                    </w:rPr>
                  </w:pPr>
                  <w:r>
                    <w:rPr>
                      <w:b/>
                      <w:sz w:val="18"/>
                    </w:rPr>
                    <w:t>Name</w:t>
                  </w:r>
                </w:p>
              </w:tc>
              <w:tc>
                <w:tcPr>
                  <w:tcW w:w="3544" w:type="dxa"/>
                  <w:shd w:val="clear" w:color="auto" w:fill="D9D9D9" w:themeFill="background1" w:themeFillShade="D9"/>
                </w:tcPr>
                <w:p w14:paraId="0003432F" w14:textId="4BD6198D" w:rsidR="00994315" w:rsidRPr="0045532C" w:rsidRDefault="00994315" w:rsidP="0093102C">
                  <w:pPr>
                    <w:tabs>
                      <w:tab w:val="left" w:pos="1859"/>
                    </w:tabs>
                    <w:spacing w:before="60" w:after="60" w:line="240" w:lineRule="auto"/>
                    <w:jc w:val="center"/>
                    <w:rPr>
                      <w:rFonts w:cs="Arial"/>
                      <w:b/>
                      <w:sz w:val="18"/>
                      <w:szCs w:val="18"/>
                    </w:rPr>
                  </w:pPr>
                  <w:r>
                    <w:rPr>
                      <w:b/>
                      <w:sz w:val="18"/>
                    </w:rPr>
                    <w:t>Funktion</w:t>
                  </w:r>
                </w:p>
              </w:tc>
              <w:tc>
                <w:tcPr>
                  <w:tcW w:w="2228" w:type="dxa"/>
                  <w:shd w:val="clear" w:color="auto" w:fill="D9D9D9" w:themeFill="background1" w:themeFillShade="D9"/>
                </w:tcPr>
                <w:p w14:paraId="1835219E" w14:textId="6F9F075E" w:rsidR="00994315" w:rsidRPr="0045532C" w:rsidRDefault="00994315" w:rsidP="0093102C">
                  <w:pPr>
                    <w:tabs>
                      <w:tab w:val="left" w:pos="1859"/>
                    </w:tabs>
                    <w:spacing w:before="60" w:after="60" w:line="240" w:lineRule="auto"/>
                    <w:jc w:val="center"/>
                    <w:rPr>
                      <w:rFonts w:cs="Arial"/>
                      <w:b/>
                      <w:sz w:val="18"/>
                      <w:szCs w:val="18"/>
                    </w:rPr>
                  </w:pPr>
                  <w:r>
                    <w:rPr>
                      <w:b/>
                      <w:sz w:val="18"/>
                    </w:rPr>
                    <w:t>Datum</w:t>
                  </w:r>
                </w:p>
              </w:tc>
            </w:tr>
            <w:tr w:rsidR="00994315" w:rsidRPr="0045532C" w14:paraId="2963EB91" w14:textId="77777777" w:rsidTr="000C7983">
              <w:tc>
                <w:tcPr>
                  <w:tcW w:w="2013" w:type="dxa"/>
                </w:tcPr>
                <w:p w14:paraId="37E737CD" w14:textId="7FC474FB" w:rsidR="00994315" w:rsidRPr="0045532C" w:rsidRDefault="00F5523D" w:rsidP="0093102C">
                  <w:pPr>
                    <w:tabs>
                      <w:tab w:val="left" w:pos="1859"/>
                    </w:tabs>
                    <w:spacing w:before="60" w:after="60" w:line="240" w:lineRule="auto"/>
                    <w:rPr>
                      <w:rFonts w:cs="Arial"/>
                      <w:sz w:val="18"/>
                      <w:szCs w:val="18"/>
                    </w:rPr>
                  </w:pPr>
                  <w:r>
                    <w:rPr>
                      <w:sz w:val="18"/>
                    </w:rPr>
                    <w:t>Ersteller:</w:t>
                  </w:r>
                </w:p>
              </w:tc>
              <w:tc>
                <w:tcPr>
                  <w:tcW w:w="3685" w:type="dxa"/>
                </w:tcPr>
                <w:p w14:paraId="3C54982D"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[Name]</w:t>
                  </w:r>
                </w:p>
              </w:tc>
              <w:tc>
                <w:tcPr>
                  <w:tcW w:w="3544" w:type="dxa"/>
                </w:tcPr>
                <w:p w14:paraId="145ED4FC"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[Assistent / Senior / Manager / Senior Manager / Partner]</w:t>
                  </w:r>
                </w:p>
              </w:tc>
              <w:tc>
                <w:tcPr>
                  <w:tcW w:w="2228" w:type="dxa"/>
                </w:tcPr>
                <w:p w14:paraId="151D8AD6" w14:textId="77777777" w:rsidR="00994315" w:rsidRPr="0045532C" w:rsidRDefault="00994315" w:rsidP="0093102C">
                  <w:pPr>
                    <w:tabs>
                      <w:tab w:val="left" w:pos="1859"/>
                    </w:tabs>
                    <w:spacing w:before="60" w:after="60" w:line="240" w:lineRule="auto"/>
                    <w:jc w:val="center"/>
                    <w:rPr>
                      <w:rFonts w:cs="Arial"/>
                      <w:sz w:val="18"/>
                      <w:szCs w:val="18"/>
                    </w:rPr>
                  </w:pPr>
                  <w:r>
                    <w:rPr>
                      <w:sz w:val="18"/>
                      <w:highlight w:val="yellow"/>
                    </w:rPr>
                    <w:t>[TT.MM.JJJJ]</w:t>
                  </w:r>
                </w:p>
              </w:tc>
            </w:tr>
            <w:tr w:rsidR="00994315" w:rsidRPr="0045532C" w14:paraId="4227B650" w14:textId="77777777" w:rsidTr="000C7983">
              <w:tc>
                <w:tcPr>
                  <w:tcW w:w="2013" w:type="dxa"/>
                </w:tcPr>
                <w:p w14:paraId="7950D983" w14:textId="77777777" w:rsidR="00994315" w:rsidRPr="0045532C" w:rsidRDefault="00994315" w:rsidP="0093102C">
                  <w:pPr>
                    <w:tabs>
                      <w:tab w:val="left" w:pos="1859"/>
                    </w:tabs>
                    <w:spacing w:before="60" w:after="60" w:line="240" w:lineRule="auto"/>
                    <w:rPr>
                      <w:rFonts w:cs="Arial"/>
                      <w:sz w:val="18"/>
                      <w:szCs w:val="18"/>
                    </w:rPr>
                  </w:pPr>
                  <w:r>
                    <w:rPr>
                      <w:sz w:val="18"/>
                    </w:rPr>
                    <w:t xml:space="preserve">Reviewer: </w:t>
                  </w:r>
                </w:p>
              </w:tc>
              <w:tc>
                <w:tcPr>
                  <w:tcW w:w="3685" w:type="dxa"/>
                </w:tcPr>
                <w:p w14:paraId="2DB56D81"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[Name]</w:t>
                  </w:r>
                </w:p>
              </w:tc>
              <w:tc>
                <w:tcPr>
                  <w:tcW w:w="3544" w:type="dxa"/>
                </w:tcPr>
                <w:p w14:paraId="2436AB88"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Partner]</w:t>
                  </w:r>
                </w:p>
              </w:tc>
              <w:tc>
                <w:tcPr>
                  <w:tcW w:w="2228" w:type="dxa"/>
                </w:tcPr>
                <w:p w14:paraId="605F46B0" w14:textId="77777777" w:rsidR="00994315" w:rsidRPr="0045532C" w:rsidRDefault="00994315" w:rsidP="0093102C">
                  <w:pPr>
                    <w:tabs>
                      <w:tab w:val="left" w:pos="1859"/>
                    </w:tabs>
                    <w:spacing w:before="60" w:after="60" w:line="240" w:lineRule="auto"/>
                    <w:jc w:val="center"/>
                    <w:rPr>
                      <w:rFonts w:cs="Arial"/>
                      <w:sz w:val="18"/>
                      <w:szCs w:val="18"/>
                      <w:highlight w:val="yellow"/>
                    </w:rPr>
                  </w:pPr>
                  <w:r>
                    <w:rPr>
                      <w:sz w:val="18"/>
                      <w:highlight w:val="yellow"/>
                    </w:rPr>
                    <w:t>[TT.MM.JJJJ]</w:t>
                  </w:r>
                </w:p>
              </w:tc>
            </w:tr>
          </w:tbl>
          <w:p w14:paraId="0889F5E1" w14:textId="77777777" w:rsidR="00994315" w:rsidRPr="0045532C" w:rsidRDefault="00994315" w:rsidP="0093102C">
            <w:pPr>
              <w:tabs>
                <w:tab w:val="left" w:pos="1859"/>
              </w:tabs>
              <w:spacing w:before="60" w:after="60" w:line="240" w:lineRule="auto"/>
              <w:rPr>
                <w:rFonts w:cs="Arial"/>
                <w:sz w:val="18"/>
                <w:szCs w:val="18"/>
              </w:rPr>
            </w:pPr>
          </w:p>
        </w:tc>
      </w:tr>
    </w:tbl>
    <w:p w14:paraId="38E0C1D3" w14:textId="77777777" w:rsidR="00994315" w:rsidRPr="0045532C" w:rsidRDefault="00994315" w:rsidP="0093102C">
      <w:pPr>
        <w:spacing w:before="120" w:after="120" w:line="240" w:lineRule="auto"/>
        <w:rPr>
          <w:rFonts w:cs="Arial"/>
        </w:rPr>
      </w:pPr>
    </w:p>
    <w:p w14:paraId="21788EC0" w14:textId="1F8E947D" w:rsidR="00994315" w:rsidRPr="00BB7ED7" w:rsidRDefault="00BB7ED7" w:rsidP="0093102C">
      <w:pPr>
        <w:spacing w:before="120" w:after="120" w:line="240" w:lineRule="auto"/>
        <w:jc w:val="both"/>
        <w:rPr>
          <w:b/>
        </w:rPr>
      </w:pPr>
      <w:r>
        <w:rPr>
          <w:b/>
        </w:rPr>
        <w:t xml:space="preserve"> </w:t>
      </w:r>
      <w:r w:rsidR="00994315">
        <w:rPr>
          <w:b/>
        </w:rPr>
        <w:t xml:space="preserve">Dies ist ein Standard-Prüfprogramm. Es liegt in der Verantwortung des Prüfteams, das Standard-Prüfprogramm an die spezifische Situation (Grösse, </w:t>
      </w:r>
      <w:r>
        <w:rPr>
          <w:b/>
        </w:rPr>
        <w:t xml:space="preserve">  </w:t>
      </w:r>
      <w:r>
        <w:rPr>
          <w:b/>
        </w:rPr>
        <w:br/>
        <w:t xml:space="preserve"> </w:t>
      </w:r>
      <w:r w:rsidR="00994315">
        <w:rPr>
          <w:b/>
        </w:rPr>
        <w:t xml:space="preserve">Geschäftsmodell, Organisation, Prozesse, Risikoexposure usw.) des geprüften Instituts anzupassen. Werden </w:t>
      </w:r>
      <w:r w:rsidR="00273623">
        <w:rPr>
          <w:b/>
        </w:rPr>
        <w:t xml:space="preserve">die angegebenen Prüfpunkte </w:t>
      </w:r>
      <w:r>
        <w:rPr>
          <w:b/>
        </w:rPr>
        <w:t xml:space="preserve">nicht </w:t>
      </w:r>
      <w:r>
        <w:rPr>
          <w:b/>
        </w:rPr>
        <w:br/>
        <w:t xml:space="preserve"> </w:t>
      </w:r>
      <w:r w:rsidR="00994315">
        <w:rPr>
          <w:b/>
        </w:rPr>
        <w:t>vollständig durchgeführt, ist in den Arbeitspapieren eine aussagekräftige Erläuterung dazu anzubringen.</w:t>
      </w:r>
    </w:p>
    <w:p w14:paraId="2CA0A446" w14:textId="77777777" w:rsidR="007D4AD2" w:rsidRDefault="007D4AD2" w:rsidP="0093102C">
      <w:pPr>
        <w:spacing w:before="120" w:after="120" w:line="240" w:lineRule="auto"/>
        <w:rPr>
          <w:b/>
        </w:rPr>
      </w:pPr>
    </w:p>
    <w:p w14:paraId="39640867" w14:textId="77777777" w:rsidR="007D4AD2" w:rsidRDefault="007D4AD2" w:rsidP="0093102C">
      <w:pPr>
        <w:spacing w:before="120" w:after="120" w:line="240" w:lineRule="auto"/>
        <w:rPr>
          <w:b/>
        </w:rPr>
      </w:pPr>
    </w:p>
    <w:p w14:paraId="6E1B1C3A" w14:textId="77777777" w:rsidR="007D4AD2" w:rsidRDefault="007D4AD2" w:rsidP="0093102C">
      <w:pPr>
        <w:spacing w:before="120" w:after="120" w:line="240" w:lineRule="auto"/>
        <w:rPr>
          <w:b/>
        </w:rPr>
      </w:pPr>
    </w:p>
    <w:p w14:paraId="7CDC46D6" w14:textId="77777777" w:rsidR="007D4AD2" w:rsidRDefault="007D4AD2" w:rsidP="0093102C">
      <w:pPr>
        <w:spacing w:before="120" w:after="120" w:line="240" w:lineRule="auto"/>
        <w:rPr>
          <w:b/>
        </w:rPr>
      </w:pPr>
    </w:p>
    <w:p w14:paraId="5E20B8A4" w14:textId="2F09D656" w:rsidR="00994315" w:rsidRPr="00003E26" w:rsidRDefault="00BB7ED7" w:rsidP="0093102C">
      <w:pPr>
        <w:spacing w:before="120" w:after="120" w:line="240" w:lineRule="auto"/>
        <w:rPr>
          <w:rFonts w:cs="Arial"/>
          <w:b/>
        </w:rPr>
      </w:pPr>
      <w:r>
        <w:rPr>
          <w:b/>
        </w:rPr>
        <w:lastRenderedPageBreak/>
        <w:t xml:space="preserve">  </w:t>
      </w:r>
      <w:r w:rsidR="00994315">
        <w:rPr>
          <w:b/>
        </w:rPr>
        <w:t>Abschliessende Zusammenfassung</w:t>
      </w:r>
    </w:p>
    <w:tbl>
      <w:tblPr>
        <w:tblStyle w:val="Tabellenraster"/>
        <w:tblW w:w="0" w:type="auto"/>
        <w:tblInd w:w="108" w:type="dxa"/>
        <w:tblLook w:val="04A0" w:firstRow="1" w:lastRow="0" w:firstColumn="1" w:lastColumn="0" w:noHBand="0" w:noVBand="1"/>
      </w:tblPr>
      <w:tblGrid>
        <w:gridCol w:w="2763"/>
        <w:gridCol w:w="11122"/>
      </w:tblGrid>
      <w:tr w:rsidR="00994315" w:rsidRPr="0045532C" w14:paraId="0D775D14" w14:textId="77777777" w:rsidTr="000C7983">
        <w:trPr>
          <w:trHeight w:val="552"/>
          <w:tblHeader/>
        </w:trPr>
        <w:tc>
          <w:tcPr>
            <w:tcW w:w="2835" w:type="dxa"/>
            <w:shd w:val="pct15" w:color="auto" w:fill="auto"/>
          </w:tcPr>
          <w:p w14:paraId="285864D0" w14:textId="02BAAF70" w:rsidR="00994315" w:rsidRPr="0045532C" w:rsidRDefault="00994315" w:rsidP="0093102C">
            <w:pPr>
              <w:tabs>
                <w:tab w:val="left" w:pos="1418"/>
              </w:tabs>
              <w:spacing w:before="120" w:after="120" w:line="240" w:lineRule="auto"/>
              <w:rPr>
                <w:rFonts w:cs="Arial"/>
                <w:b/>
                <w:sz w:val="16"/>
                <w:szCs w:val="16"/>
              </w:rPr>
            </w:pPr>
            <w:r>
              <w:rPr>
                <w:b/>
                <w:sz w:val="16"/>
              </w:rPr>
              <w:t>Thema</w:t>
            </w:r>
          </w:p>
        </w:tc>
        <w:tc>
          <w:tcPr>
            <w:tcW w:w="11482" w:type="dxa"/>
            <w:shd w:val="pct15" w:color="auto" w:fill="auto"/>
          </w:tcPr>
          <w:p w14:paraId="6220555B" w14:textId="44C2DD90" w:rsidR="00994315" w:rsidRPr="0045532C" w:rsidRDefault="00994315" w:rsidP="0093102C">
            <w:pPr>
              <w:tabs>
                <w:tab w:val="left" w:pos="1859"/>
              </w:tabs>
              <w:spacing w:before="120" w:after="120" w:line="240" w:lineRule="auto"/>
              <w:rPr>
                <w:rFonts w:cs="Arial"/>
                <w:b/>
                <w:sz w:val="16"/>
                <w:szCs w:val="16"/>
              </w:rPr>
            </w:pPr>
            <w:r>
              <w:rPr>
                <w:b/>
                <w:sz w:val="16"/>
              </w:rPr>
              <w:t>Information / Beschreibung</w:t>
            </w:r>
          </w:p>
        </w:tc>
      </w:tr>
      <w:tr w:rsidR="00994315" w:rsidRPr="009B54F4" w14:paraId="2C154D1B" w14:textId="77777777" w:rsidTr="000C7983">
        <w:trPr>
          <w:trHeight w:val="1402"/>
        </w:trPr>
        <w:tc>
          <w:tcPr>
            <w:tcW w:w="2835" w:type="dxa"/>
          </w:tcPr>
          <w:p w14:paraId="7CEFA70B" w14:textId="38A134BC" w:rsidR="00994315" w:rsidRDefault="00273623" w:rsidP="0093102C">
            <w:pPr>
              <w:tabs>
                <w:tab w:val="left" w:pos="1418"/>
              </w:tabs>
              <w:spacing w:before="120" w:after="120" w:line="240" w:lineRule="auto"/>
              <w:rPr>
                <w:rFonts w:cs="Arial"/>
                <w:sz w:val="16"/>
                <w:szCs w:val="16"/>
              </w:rPr>
            </w:pPr>
            <w:r>
              <w:rPr>
                <w:sz w:val="16"/>
              </w:rPr>
              <w:t>Zusammenfassende Gesamtbeurteilung</w:t>
            </w:r>
          </w:p>
          <w:p w14:paraId="0B365ABC" w14:textId="77777777" w:rsidR="001D1729" w:rsidRDefault="001D1729" w:rsidP="0093102C">
            <w:pPr>
              <w:tabs>
                <w:tab w:val="left" w:pos="1418"/>
              </w:tabs>
              <w:spacing w:before="120" w:after="120" w:line="240" w:lineRule="auto"/>
              <w:rPr>
                <w:rFonts w:cs="Arial"/>
                <w:sz w:val="16"/>
                <w:szCs w:val="16"/>
              </w:rPr>
            </w:pPr>
          </w:p>
          <w:p w14:paraId="4A7BE30D" w14:textId="77777777" w:rsidR="001D1729" w:rsidRDefault="001D1729" w:rsidP="0093102C">
            <w:pPr>
              <w:tabs>
                <w:tab w:val="left" w:pos="1418"/>
              </w:tabs>
              <w:spacing w:before="120" w:after="120" w:line="240" w:lineRule="auto"/>
              <w:rPr>
                <w:rFonts w:cs="Arial"/>
                <w:sz w:val="16"/>
                <w:szCs w:val="16"/>
              </w:rPr>
            </w:pPr>
          </w:p>
          <w:p w14:paraId="14BA6144" w14:textId="77777777" w:rsidR="001D1729" w:rsidRDefault="001D1729" w:rsidP="0093102C">
            <w:pPr>
              <w:tabs>
                <w:tab w:val="left" w:pos="1418"/>
              </w:tabs>
              <w:spacing w:before="120" w:after="120" w:line="240" w:lineRule="auto"/>
              <w:rPr>
                <w:rFonts w:cs="Arial"/>
                <w:sz w:val="16"/>
                <w:szCs w:val="16"/>
              </w:rPr>
            </w:pPr>
          </w:p>
          <w:p w14:paraId="4E367226" w14:textId="77777777" w:rsidR="001D1729" w:rsidRDefault="001D1729" w:rsidP="0093102C">
            <w:pPr>
              <w:tabs>
                <w:tab w:val="left" w:pos="1418"/>
              </w:tabs>
              <w:spacing w:before="120" w:after="120" w:line="240" w:lineRule="auto"/>
              <w:rPr>
                <w:rFonts w:cs="Arial"/>
                <w:sz w:val="16"/>
                <w:szCs w:val="16"/>
              </w:rPr>
            </w:pPr>
          </w:p>
          <w:p w14:paraId="373A73A6" w14:textId="4B887D29" w:rsidR="001D1729" w:rsidRPr="0045532C" w:rsidRDefault="001D1729" w:rsidP="0093102C">
            <w:pPr>
              <w:tabs>
                <w:tab w:val="left" w:pos="1418"/>
              </w:tabs>
              <w:spacing w:before="120" w:after="120" w:line="240" w:lineRule="auto"/>
              <w:rPr>
                <w:rFonts w:cs="Arial"/>
                <w:sz w:val="16"/>
                <w:szCs w:val="16"/>
              </w:rPr>
            </w:pPr>
          </w:p>
        </w:tc>
        <w:tc>
          <w:tcPr>
            <w:tcW w:w="11482" w:type="dxa"/>
          </w:tcPr>
          <w:p w14:paraId="587387A9" w14:textId="77777777" w:rsidR="00994315" w:rsidRPr="00E60F3F" w:rsidRDefault="00994315" w:rsidP="0093102C">
            <w:pPr>
              <w:spacing w:before="120" w:after="120" w:line="240" w:lineRule="auto"/>
              <w:rPr>
                <w:rFonts w:cs="Arial"/>
                <w:sz w:val="6"/>
                <w:szCs w:val="6"/>
                <w:highlight w:val="yellow"/>
              </w:rPr>
            </w:pPr>
          </w:p>
          <w:tbl>
            <w:tblPr>
              <w:tblStyle w:val="Tabellenraster"/>
              <w:tblW w:w="0" w:type="auto"/>
              <w:tblLook w:val="04A0" w:firstRow="1" w:lastRow="0" w:firstColumn="1" w:lastColumn="0" w:noHBand="0" w:noVBand="1"/>
            </w:tblPr>
            <w:tblGrid>
              <w:gridCol w:w="5498"/>
              <w:gridCol w:w="5398"/>
            </w:tblGrid>
            <w:tr w:rsidR="00994315" w:rsidRPr="00E60F3F" w14:paraId="19C1EAF7" w14:textId="77777777" w:rsidTr="000C7983">
              <w:tc>
                <w:tcPr>
                  <w:tcW w:w="5681" w:type="dxa"/>
                  <w:shd w:val="clear" w:color="auto" w:fill="D9D9D9" w:themeFill="background1" w:themeFillShade="D9"/>
                  <w:tcMar>
                    <w:left w:w="0" w:type="dxa"/>
                  </w:tcMar>
                </w:tcPr>
                <w:p w14:paraId="63284EDC" w14:textId="77777777" w:rsidR="00994315" w:rsidRPr="00E60F3F" w:rsidRDefault="00994315" w:rsidP="0093102C">
                  <w:pPr>
                    <w:tabs>
                      <w:tab w:val="left" w:pos="1859"/>
                    </w:tabs>
                    <w:spacing w:before="120" w:after="120" w:line="240" w:lineRule="auto"/>
                    <w:ind w:left="34"/>
                    <w:rPr>
                      <w:rFonts w:cs="Arial"/>
                      <w:b/>
                      <w:sz w:val="16"/>
                      <w:szCs w:val="16"/>
                    </w:rPr>
                  </w:pPr>
                  <w:r>
                    <w:rPr>
                      <w:b/>
                      <w:sz w:val="16"/>
                    </w:rPr>
                    <w:t>Bestätigung im Prüfbericht:</w:t>
                  </w:r>
                </w:p>
              </w:tc>
              <w:tc>
                <w:tcPr>
                  <w:tcW w:w="5575" w:type="dxa"/>
                  <w:shd w:val="clear" w:color="auto" w:fill="D9D9D9" w:themeFill="background1" w:themeFillShade="D9"/>
                </w:tcPr>
                <w:p w14:paraId="1C66406A" w14:textId="77777777" w:rsidR="00994315" w:rsidRPr="00E60F3F" w:rsidRDefault="00994315" w:rsidP="0093102C">
                  <w:pPr>
                    <w:tabs>
                      <w:tab w:val="left" w:pos="1859"/>
                    </w:tabs>
                    <w:spacing w:before="120" w:after="120" w:line="240" w:lineRule="auto"/>
                    <w:rPr>
                      <w:rFonts w:cs="Arial"/>
                      <w:b/>
                      <w:sz w:val="16"/>
                      <w:szCs w:val="16"/>
                    </w:rPr>
                  </w:pPr>
                  <w:r>
                    <w:rPr>
                      <w:b/>
                      <w:sz w:val="16"/>
                    </w:rPr>
                    <w:t>Zusammenfassung:</w:t>
                  </w:r>
                </w:p>
              </w:tc>
            </w:tr>
            <w:tr w:rsidR="00994315" w:rsidRPr="009B54F4" w14:paraId="104F024D" w14:textId="77777777" w:rsidTr="00BB7ED7">
              <w:trPr>
                <w:trHeight w:val="1211"/>
              </w:trPr>
              <w:tc>
                <w:tcPr>
                  <w:tcW w:w="5681" w:type="dxa"/>
                  <w:tcMar>
                    <w:left w:w="0" w:type="dxa"/>
                  </w:tcMar>
                </w:tcPr>
                <w:p w14:paraId="3F5FD202" w14:textId="6484FDBF" w:rsidR="00994315" w:rsidRPr="00A449F0" w:rsidRDefault="00994315" w:rsidP="00F5523D">
                  <w:pPr>
                    <w:spacing w:before="120" w:after="120" w:line="240" w:lineRule="auto"/>
                    <w:ind w:left="34"/>
                    <w:rPr>
                      <w:rFonts w:cs="Arial"/>
                      <w:sz w:val="16"/>
                      <w:szCs w:val="16"/>
                    </w:rPr>
                  </w:pPr>
                  <w:r>
                    <w:rPr>
                      <w:sz w:val="16"/>
                    </w:rPr>
                    <w:t xml:space="preserve">Bestätigung, dass die Methoden / Prozesse zur Identifikation, Messung, Bewirtschaftung und Überwachung von Cross-Border-Risiken angemessen waren und im Falle der Prüftiefe </w:t>
                  </w:r>
                  <w:r w:rsidR="003776F1">
                    <w:rPr>
                      <w:sz w:val="16"/>
                    </w:rPr>
                    <w:t>„</w:t>
                  </w:r>
                  <w:r>
                    <w:rPr>
                      <w:sz w:val="16"/>
                    </w:rPr>
                    <w:t>Prüfung</w:t>
                  </w:r>
                  <w:r w:rsidR="003776F1">
                    <w:rPr>
                      <w:sz w:val="16"/>
                    </w:rPr>
                    <w:t>“</w:t>
                  </w:r>
                  <w:r>
                    <w:rPr>
                      <w:sz w:val="16"/>
                    </w:rPr>
                    <w:t xml:space="preserve"> effektiv angewendet wurden.</w:t>
                  </w:r>
                </w:p>
              </w:tc>
              <w:tc>
                <w:tcPr>
                  <w:tcW w:w="5575" w:type="dxa"/>
                </w:tcPr>
                <w:p w14:paraId="5A086D1E" w14:textId="1BF360F7" w:rsidR="00994315" w:rsidRPr="00E60F3F" w:rsidRDefault="00994315" w:rsidP="0093102C">
                  <w:pPr>
                    <w:tabs>
                      <w:tab w:val="left" w:pos="1859"/>
                    </w:tabs>
                    <w:spacing w:before="120" w:after="120" w:line="240" w:lineRule="auto"/>
                    <w:rPr>
                      <w:rFonts w:cs="Arial"/>
                      <w:i/>
                      <w:sz w:val="16"/>
                      <w:szCs w:val="16"/>
                    </w:rPr>
                  </w:pPr>
                  <w:r>
                    <w:rPr>
                      <w:b/>
                      <w:i/>
                      <w:sz w:val="16"/>
                      <w:highlight w:val="yellow"/>
                    </w:rPr>
                    <w:t>Ja</w:t>
                  </w:r>
                  <w:r>
                    <w:rPr>
                      <w:i/>
                      <w:sz w:val="16"/>
                      <w:highlight w:val="yellow"/>
                    </w:rPr>
                    <w:t xml:space="preserve"> (Prüfung / kritische Beurteilung) / </w:t>
                  </w:r>
                  <w:r>
                    <w:rPr>
                      <w:b/>
                      <w:i/>
                      <w:sz w:val="16"/>
                      <w:highlight w:val="yellow"/>
                    </w:rPr>
                    <w:t>Nein</w:t>
                  </w:r>
                </w:p>
              </w:tc>
            </w:tr>
          </w:tbl>
          <w:p w14:paraId="4217F4C0" w14:textId="77777777" w:rsidR="00994315" w:rsidRPr="003613F7" w:rsidRDefault="00994315" w:rsidP="0093102C">
            <w:pPr>
              <w:tabs>
                <w:tab w:val="left" w:pos="1859"/>
              </w:tabs>
              <w:spacing w:before="120" w:after="120" w:line="240" w:lineRule="auto"/>
              <w:rPr>
                <w:rFonts w:cs="Arial"/>
                <w:sz w:val="16"/>
                <w:szCs w:val="16"/>
              </w:rPr>
            </w:pPr>
            <w:bookmarkStart w:id="1" w:name="_GoBack"/>
            <w:bookmarkEnd w:id="1"/>
          </w:p>
        </w:tc>
      </w:tr>
      <w:tr w:rsidR="00994315" w:rsidRPr="0045532C" w14:paraId="3BB64F4D" w14:textId="77777777" w:rsidTr="000C7983">
        <w:trPr>
          <w:trHeight w:val="561"/>
        </w:trPr>
        <w:tc>
          <w:tcPr>
            <w:tcW w:w="2835" w:type="dxa"/>
          </w:tcPr>
          <w:p w14:paraId="483BD91A" w14:textId="07B8F0EC" w:rsidR="00994315" w:rsidRPr="0045532C" w:rsidRDefault="00994315" w:rsidP="00400954">
            <w:pPr>
              <w:tabs>
                <w:tab w:val="left" w:pos="1418"/>
              </w:tabs>
              <w:spacing w:before="120" w:after="120" w:line="240" w:lineRule="auto"/>
              <w:rPr>
                <w:rFonts w:cs="Arial"/>
                <w:sz w:val="16"/>
                <w:szCs w:val="16"/>
              </w:rPr>
            </w:pPr>
            <w:r>
              <w:rPr>
                <w:sz w:val="16"/>
              </w:rPr>
              <w:t>Zusammenfassung der Prüfresultate</w:t>
            </w:r>
            <w:r w:rsidR="00273623">
              <w:rPr>
                <w:sz w:val="16"/>
              </w:rPr>
              <w:t xml:space="preserve"> / Beanstandungen und Empfehlungen</w:t>
            </w:r>
            <w:r>
              <w:rPr>
                <w:sz w:val="16"/>
              </w:rPr>
              <w:t xml:space="preserve"> </w:t>
            </w:r>
            <w:r>
              <w:rPr>
                <w:sz w:val="12"/>
              </w:rPr>
              <w:t>(ausführliche Informationen nachstehend)</w:t>
            </w:r>
          </w:p>
        </w:tc>
        <w:tc>
          <w:tcPr>
            <w:tcW w:w="11482" w:type="dxa"/>
          </w:tcPr>
          <w:p w14:paraId="3B04A18C" w14:textId="2DD454EB" w:rsidR="00994315" w:rsidRPr="0045532C" w:rsidRDefault="00994315" w:rsidP="00400954">
            <w:pPr>
              <w:tabs>
                <w:tab w:val="left" w:pos="1859"/>
              </w:tabs>
              <w:spacing w:before="120" w:after="120" w:line="240" w:lineRule="auto"/>
              <w:rPr>
                <w:rFonts w:cs="Arial"/>
                <w:sz w:val="16"/>
                <w:szCs w:val="16"/>
                <w:highlight w:val="yellow"/>
              </w:rPr>
            </w:pPr>
            <w:r>
              <w:rPr>
                <w:sz w:val="16"/>
                <w:highlight w:val="yellow"/>
              </w:rPr>
              <w:t>[Zusammenfassung der Prüfresultate</w:t>
            </w:r>
            <w:r w:rsidR="00040E7F">
              <w:rPr>
                <w:sz w:val="16"/>
                <w:highlight w:val="yellow"/>
              </w:rPr>
              <w:t xml:space="preserve"> / Beanstandungen und Empfehlungen</w:t>
            </w:r>
            <w:r>
              <w:rPr>
                <w:sz w:val="16"/>
                <w:highlight w:val="yellow"/>
              </w:rPr>
              <w:t>]</w:t>
            </w:r>
          </w:p>
        </w:tc>
      </w:tr>
      <w:tr w:rsidR="00994315" w:rsidRPr="0045532C" w14:paraId="418FA59C" w14:textId="77777777" w:rsidTr="000C7983">
        <w:trPr>
          <w:trHeight w:val="561"/>
        </w:trPr>
        <w:tc>
          <w:tcPr>
            <w:tcW w:w="2835" w:type="dxa"/>
          </w:tcPr>
          <w:p w14:paraId="5C0D15D6" w14:textId="1B70DF0D" w:rsidR="00994315" w:rsidRPr="0045532C" w:rsidRDefault="00994315" w:rsidP="0093102C">
            <w:pPr>
              <w:tabs>
                <w:tab w:val="left" w:pos="1418"/>
              </w:tabs>
              <w:spacing w:before="120" w:after="120" w:line="240" w:lineRule="auto"/>
              <w:rPr>
                <w:rFonts w:cs="Arial"/>
                <w:sz w:val="16"/>
                <w:szCs w:val="16"/>
              </w:rPr>
            </w:pPr>
            <w:r>
              <w:rPr>
                <w:sz w:val="16"/>
              </w:rPr>
              <w:t>Prüffeld, Prüfresultate und Prüfungshandlungen der Internen Revision, auf die sich die Prüfgesellschaft gestützt hat (einschliesslich Würdigung durch die Prüfgesellschaft)</w:t>
            </w:r>
          </w:p>
        </w:tc>
        <w:tc>
          <w:tcPr>
            <w:tcW w:w="11482" w:type="dxa"/>
          </w:tcPr>
          <w:p w14:paraId="7D0B9CEA" w14:textId="77777777" w:rsidR="00994315" w:rsidRPr="0045532C" w:rsidRDefault="00994315" w:rsidP="0093102C">
            <w:pPr>
              <w:spacing w:before="120" w:after="120" w:line="240" w:lineRule="auto"/>
              <w:rPr>
                <w:rFonts w:cs="Arial"/>
                <w:sz w:val="16"/>
                <w:szCs w:val="16"/>
                <w:highlight w:val="yellow"/>
              </w:rPr>
            </w:pPr>
            <w:r>
              <w:rPr>
                <w:sz w:val="16"/>
                <w:highlight w:val="yellow"/>
              </w:rPr>
              <w:t>[Beschreibung]</w:t>
            </w:r>
          </w:p>
        </w:tc>
      </w:tr>
    </w:tbl>
    <w:p w14:paraId="3ED11B07" w14:textId="77777777" w:rsidR="00994315" w:rsidRPr="0045532C" w:rsidRDefault="00994315" w:rsidP="0093102C">
      <w:pPr>
        <w:spacing w:before="120" w:after="120" w:line="240" w:lineRule="auto"/>
        <w:rPr>
          <w:rFonts w:cs="Arial"/>
        </w:rPr>
      </w:pPr>
      <w:r>
        <w:br w:type="page"/>
      </w:r>
    </w:p>
    <w:p w14:paraId="7706AEB6" w14:textId="08BE84A9" w:rsidR="00994315" w:rsidRPr="00246035" w:rsidRDefault="005F06C7" w:rsidP="0093102C">
      <w:pPr>
        <w:spacing w:before="120" w:after="120" w:line="240" w:lineRule="auto"/>
        <w:rPr>
          <w:rFonts w:cs="Arial"/>
          <w:u w:val="single"/>
        </w:rPr>
      </w:pPr>
      <w:r>
        <w:rPr>
          <w:b/>
        </w:rPr>
        <w:lastRenderedPageBreak/>
        <w:t xml:space="preserve"> </w:t>
      </w:r>
      <w:r w:rsidR="00BB7ED7">
        <w:rPr>
          <w:b/>
        </w:rPr>
        <w:t xml:space="preserve"> </w:t>
      </w:r>
      <w:r w:rsidR="00273623">
        <w:rPr>
          <w:b/>
        </w:rPr>
        <w:t xml:space="preserve">Prüfpunkte </w:t>
      </w:r>
      <w:r w:rsidR="00994315">
        <w:rPr>
          <w:b/>
        </w:rPr>
        <w:t>– Risikomanagement im Zusammenhang mit Cross-Border</w:t>
      </w:r>
      <w:r w:rsidR="000C7983">
        <w:rPr>
          <w:b/>
        </w:rPr>
        <w:t>-</w:t>
      </w:r>
      <w:r w:rsidR="00994315">
        <w:rPr>
          <w:b/>
        </w:rPr>
        <w:t>Aktivitäten</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596"/>
        <w:gridCol w:w="3829"/>
        <w:gridCol w:w="3827"/>
        <w:gridCol w:w="3542"/>
        <w:gridCol w:w="994"/>
      </w:tblGrid>
      <w:tr w:rsidR="00994315" w:rsidRPr="00DB7CF3" w14:paraId="42697145" w14:textId="77777777" w:rsidTr="00513A59">
        <w:trPr>
          <w:tblHeader/>
        </w:trPr>
        <w:tc>
          <w:tcPr>
            <w:tcW w:w="529" w:type="dxa"/>
            <w:tcBorders>
              <w:bottom w:val="single" w:sz="4" w:space="0" w:color="auto"/>
            </w:tcBorders>
            <w:shd w:val="pct20" w:color="auto" w:fill="auto"/>
          </w:tcPr>
          <w:p w14:paraId="56696DC8" w14:textId="77777777" w:rsidR="00994315" w:rsidRPr="00DB7CF3" w:rsidRDefault="00994315" w:rsidP="0093102C">
            <w:pPr>
              <w:spacing w:before="120" w:after="120" w:line="240" w:lineRule="auto"/>
              <w:rPr>
                <w:rFonts w:cs="Arial"/>
                <w:b/>
                <w:sz w:val="16"/>
                <w:szCs w:val="16"/>
              </w:rPr>
            </w:pPr>
            <w:r>
              <w:rPr>
                <w:b/>
                <w:sz w:val="16"/>
              </w:rPr>
              <w:t>Nr.</w:t>
            </w:r>
          </w:p>
        </w:tc>
        <w:tc>
          <w:tcPr>
            <w:tcW w:w="1596" w:type="dxa"/>
            <w:tcBorders>
              <w:bottom w:val="single" w:sz="4" w:space="0" w:color="auto"/>
            </w:tcBorders>
            <w:shd w:val="pct20" w:color="auto" w:fill="auto"/>
          </w:tcPr>
          <w:p w14:paraId="25A580A1" w14:textId="0BFF6A54" w:rsidR="00994315" w:rsidRPr="00DB7CF3" w:rsidRDefault="00994315" w:rsidP="0093102C">
            <w:pPr>
              <w:spacing w:before="120" w:after="120" w:line="240" w:lineRule="auto"/>
              <w:rPr>
                <w:rFonts w:cs="Arial"/>
                <w:b/>
                <w:sz w:val="16"/>
                <w:szCs w:val="16"/>
              </w:rPr>
            </w:pPr>
            <w:r>
              <w:rPr>
                <w:b/>
                <w:sz w:val="16"/>
              </w:rPr>
              <w:t>Thema</w:t>
            </w:r>
          </w:p>
        </w:tc>
        <w:tc>
          <w:tcPr>
            <w:tcW w:w="3829" w:type="dxa"/>
            <w:tcBorders>
              <w:bottom w:val="single" w:sz="4" w:space="0" w:color="auto"/>
            </w:tcBorders>
            <w:shd w:val="pct20" w:color="auto" w:fill="auto"/>
          </w:tcPr>
          <w:p w14:paraId="59445456" w14:textId="5CC00189" w:rsidR="00994315" w:rsidRPr="00DB7CF3" w:rsidRDefault="00994315" w:rsidP="000C7983">
            <w:pPr>
              <w:spacing w:before="120" w:after="120" w:line="240" w:lineRule="auto"/>
              <w:rPr>
                <w:rFonts w:cs="Arial"/>
                <w:b/>
                <w:sz w:val="16"/>
                <w:szCs w:val="16"/>
              </w:rPr>
            </w:pPr>
            <w:r>
              <w:rPr>
                <w:b/>
                <w:sz w:val="16"/>
              </w:rPr>
              <w:t xml:space="preserve">Prüfungshandlungen für Prüftiefe </w:t>
            </w:r>
            <w:r w:rsidR="000C7983">
              <w:rPr>
                <w:b/>
                <w:sz w:val="16"/>
              </w:rPr>
              <w:t>„</w:t>
            </w:r>
            <w:r>
              <w:rPr>
                <w:b/>
                <w:sz w:val="16"/>
              </w:rPr>
              <w:t>kritische Beurteilung</w:t>
            </w:r>
            <w:r w:rsidR="000C7983">
              <w:rPr>
                <w:b/>
                <w:sz w:val="16"/>
              </w:rPr>
              <w:t>“</w:t>
            </w:r>
          </w:p>
        </w:tc>
        <w:tc>
          <w:tcPr>
            <w:tcW w:w="3827" w:type="dxa"/>
            <w:tcBorders>
              <w:bottom w:val="single" w:sz="4" w:space="0" w:color="auto"/>
            </w:tcBorders>
            <w:shd w:val="pct20" w:color="auto" w:fill="auto"/>
          </w:tcPr>
          <w:p w14:paraId="2D645BC2" w14:textId="4D07C846" w:rsidR="00994315" w:rsidRPr="00DB7CF3" w:rsidRDefault="00994315" w:rsidP="00273623">
            <w:pPr>
              <w:spacing w:before="120" w:after="120" w:line="240" w:lineRule="auto"/>
              <w:rPr>
                <w:rFonts w:cs="Arial"/>
                <w:b/>
                <w:sz w:val="16"/>
                <w:szCs w:val="16"/>
              </w:rPr>
            </w:pPr>
            <w:r>
              <w:rPr>
                <w:b/>
                <w:sz w:val="16"/>
                <w:u w:val="single"/>
              </w:rPr>
              <w:t>Zusätzliche</w:t>
            </w:r>
            <w:r>
              <w:rPr>
                <w:b/>
                <w:sz w:val="16"/>
              </w:rPr>
              <w:t xml:space="preserve"> Prüfungshandlungen für Prüftiefe </w:t>
            </w:r>
            <w:r w:rsidR="000C7983">
              <w:rPr>
                <w:b/>
                <w:sz w:val="16"/>
              </w:rPr>
              <w:t>„</w:t>
            </w:r>
            <w:r>
              <w:rPr>
                <w:b/>
                <w:sz w:val="16"/>
              </w:rPr>
              <w:t>Prüfung</w:t>
            </w:r>
            <w:r w:rsidR="000C7983">
              <w:rPr>
                <w:b/>
                <w:sz w:val="16"/>
              </w:rPr>
              <w:t>“</w:t>
            </w:r>
          </w:p>
        </w:tc>
        <w:tc>
          <w:tcPr>
            <w:tcW w:w="3542" w:type="dxa"/>
            <w:tcBorders>
              <w:bottom w:val="single" w:sz="4" w:space="0" w:color="auto"/>
            </w:tcBorders>
            <w:shd w:val="pct20" w:color="auto" w:fill="auto"/>
          </w:tcPr>
          <w:p w14:paraId="7E20E642" w14:textId="77777777" w:rsidR="00994315" w:rsidRPr="00DB7CF3" w:rsidRDefault="00994315" w:rsidP="0093102C">
            <w:pPr>
              <w:spacing w:before="120" w:after="120" w:line="240" w:lineRule="auto"/>
              <w:rPr>
                <w:rFonts w:cs="Arial"/>
                <w:b/>
                <w:sz w:val="16"/>
                <w:szCs w:val="16"/>
              </w:rPr>
            </w:pPr>
            <w:r>
              <w:rPr>
                <w:b/>
                <w:sz w:val="16"/>
              </w:rPr>
              <w:t>Durchgeführte Prüfungshandlungen / Feststellungen</w:t>
            </w:r>
          </w:p>
        </w:tc>
        <w:tc>
          <w:tcPr>
            <w:tcW w:w="994" w:type="dxa"/>
            <w:tcBorders>
              <w:bottom w:val="single" w:sz="4" w:space="0" w:color="auto"/>
            </w:tcBorders>
            <w:shd w:val="pct20" w:color="auto" w:fill="auto"/>
          </w:tcPr>
          <w:p w14:paraId="4F2E6870" w14:textId="77777777" w:rsidR="00994315" w:rsidRPr="00DB7CF3" w:rsidRDefault="00994315" w:rsidP="0093102C">
            <w:pPr>
              <w:spacing w:before="120" w:after="120" w:line="240" w:lineRule="auto"/>
              <w:rPr>
                <w:rFonts w:cs="Arial"/>
                <w:b/>
                <w:sz w:val="16"/>
                <w:szCs w:val="16"/>
              </w:rPr>
            </w:pPr>
            <w:r>
              <w:rPr>
                <w:b/>
                <w:sz w:val="16"/>
              </w:rPr>
              <w:t>Arbeitspapiere Ref.:</w:t>
            </w:r>
          </w:p>
        </w:tc>
      </w:tr>
      <w:tr w:rsidR="00994315" w:rsidRPr="003B049E" w14:paraId="65E43D90" w14:textId="77777777" w:rsidTr="00513A59">
        <w:tc>
          <w:tcPr>
            <w:tcW w:w="13323" w:type="dxa"/>
            <w:gridSpan w:val="5"/>
            <w:tcBorders>
              <w:right w:val="nil"/>
            </w:tcBorders>
            <w:shd w:val="pct10" w:color="auto" w:fill="auto"/>
          </w:tcPr>
          <w:p w14:paraId="622B4313" w14:textId="79541C7A" w:rsidR="00994315" w:rsidRPr="001F462D" w:rsidRDefault="00994315" w:rsidP="0093102C">
            <w:pPr>
              <w:spacing w:before="120" w:after="120" w:line="240" w:lineRule="auto"/>
              <w:rPr>
                <w:rFonts w:cs="Arial"/>
                <w:i/>
                <w:sz w:val="16"/>
                <w:szCs w:val="16"/>
                <w:lang w:val="en-US"/>
              </w:rPr>
            </w:pPr>
            <w:r w:rsidRPr="001F462D">
              <w:rPr>
                <w:i/>
                <w:sz w:val="16"/>
                <w:lang w:val="en-US"/>
              </w:rPr>
              <w:t>Confirmation that methods / processes for identification, measurement, management and monitoring of cross-border risks were adequate and, in case of the audit depth “audit”, were applied effectively.</w:t>
            </w:r>
          </w:p>
          <w:p w14:paraId="30B91608" w14:textId="30AD1666" w:rsidR="00994315" w:rsidRPr="00D9081B" w:rsidRDefault="00994315" w:rsidP="0093102C">
            <w:pPr>
              <w:spacing w:before="120" w:after="120" w:line="240" w:lineRule="auto"/>
              <w:rPr>
                <w:bCs/>
                <w:i/>
                <w:sz w:val="16"/>
                <w:szCs w:val="16"/>
              </w:rPr>
            </w:pPr>
            <w:r>
              <w:rPr>
                <w:i/>
                <w:sz w:val="16"/>
              </w:rPr>
              <w:t>Bestätigung, dass die Methoden / Prozesse zur Identifikation, Messung, Bewirtschaftung und Überwachung von Cross-Border</w:t>
            </w:r>
            <w:r w:rsidR="000C7983">
              <w:rPr>
                <w:i/>
                <w:sz w:val="16"/>
              </w:rPr>
              <w:t>-</w:t>
            </w:r>
            <w:r>
              <w:rPr>
                <w:i/>
                <w:sz w:val="16"/>
              </w:rPr>
              <w:t>Risiken angemessen waren und im Falle der Prüftiefe „Prüfung“ effektiv angewendet wurden.</w:t>
            </w:r>
          </w:p>
          <w:p w14:paraId="478EFA7C" w14:textId="0283910B" w:rsidR="00994315" w:rsidRPr="001F462D" w:rsidRDefault="00994315" w:rsidP="0093102C">
            <w:pPr>
              <w:spacing w:before="120" w:after="120" w:line="240" w:lineRule="auto"/>
              <w:rPr>
                <w:bCs/>
                <w:i/>
                <w:sz w:val="16"/>
                <w:szCs w:val="16"/>
                <w:lang w:val="fr-CH"/>
              </w:rPr>
            </w:pPr>
            <w:r w:rsidRPr="001F462D">
              <w:rPr>
                <w:i/>
                <w:sz w:val="16"/>
                <w:lang w:val="fr-CH"/>
              </w:rPr>
              <w:t>Confirmation que les méthodes / processus relatifs à l’identification, la mesure, la gestion et la surveillance des risques cross-border ont été appropriés et en cas d’étendue d’audit « audit » ont été effectivement appliqués.</w:t>
            </w:r>
          </w:p>
        </w:tc>
        <w:tc>
          <w:tcPr>
            <w:tcW w:w="994" w:type="dxa"/>
            <w:tcBorders>
              <w:left w:val="nil"/>
            </w:tcBorders>
            <w:shd w:val="pct10" w:color="auto" w:fill="auto"/>
          </w:tcPr>
          <w:p w14:paraId="532C4F1F" w14:textId="77777777" w:rsidR="00994315" w:rsidRPr="001F462D" w:rsidRDefault="00994315" w:rsidP="0093102C">
            <w:pPr>
              <w:spacing w:before="120" w:after="120" w:line="240" w:lineRule="auto"/>
              <w:rPr>
                <w:lang w:val="fr-CH"/>
              </w:rPr>
            </w:pPr>
          </w:p>
        </w:tc>
      </w:tr>
      <w:tr w:rsidR="00994315" w:rsidRPr="009B54F4" w14:paraId="0CE673A0" w14:textId="77777777" w:rsidTr="00513A59">
        <w:tc>
          <w:tcPr>
            <w:tcW w:w="529" w:type="dxa"/>
            <w:vMerge w:val="restart"/>
            <w:shd w:val="clear" w:color="auto" w:fill="auto"/>
          </w:tcPr>
          <w:p w14:paraId="001AAD56" w14:textId="77777777" w:rsidR="00994315" w:rsidRPr="001F462D" w:rsidRDefault="00994315" w:rsidP="0093102C">
            <w:pPr>
              <w:spacing w:before="120" w:after="120" w:line="240" w:lineRule="auto"/>
              <w:rPr>
                <w:rFonts w:cs="Arial"/>
                <w:sz w:val="16"/>
                <w:szCs w:val="16"/>
                <w:lang w:val="fr-CH"/>
              </w:rPr>
            </w:pPr>
          </w:p>
        </w:tc>
        <w:tc>
          <w:tcPr>
            <w:tcW w:w="1596" w:type="dxa"/>
            <w:vMerge w:val="restart"/>
            <w:shd w:val="clear" w:color="auto" w:fill="auto"/>
          </w:tcPr>
          <w:p w14:paraId="1A785E90" w14:textId="3E9B07A9" w:rsidR="00994315" w:rsidRPr="00327024" w:rsidRDefault="00994315" w:rsidP="0093102C">
            <w:pPr>
              <w:spacing w:before="120" w:after="120" w:line="240" w:lineRule="auto"/>
              <w:rPr>
                <w:rFonts w:cs="Arial"/>
                <w:b/>
                <w:sz w:val="16"/>
                <w:szCs w:val="16"/>
              </w:rPr>
            </w:pPr>
            <w:r>
              <w:rPr>
                <w:b/>
                <w:sz w:val="16"/>
              </w:rPr>
              <w:t>Risikopolitik</w:t>
            </w:r>
          </w:p>
        </w:tc>
        <w:tc>
          <w:tcPr>
            <w:tcW w:w="3829" w:type="dxa"/>
            <w:shd w:val="clear" w:color="auto" w:fill="auto"/>
          </w:tcPr>
          <w:p w14:paraId="16D07523" w14:textId="32C49051" w:rsidR="00994315" w:rsidRPr="001D46BF" w:rsidRDefault="00994315" w:rsidP="00B12053">
            <w:pPr>
              <w:pStyle w:val="Bullet"/>
              <w:numPr>
                <w:ilvl w:val="0"/>
                <w:numId w:val="0"/>
              </w:numPr>
              <w:spacing w:before="120" w:after="120"/>
            </w:pPr>
            <w:r>
              <w:rPr>
                <w:i/>
              </w:rPr>
              <w:t>Beurteilung, ob Verantwortlichkeiten, Genehmigungskompetenzen, Berichterstattung</w:t>
            </w:r>
            <w:r w:rsidR="001D019A">
              <w:rPr>
                <w:i/>
              </w:rPr>
              <w:t>s-</w:t>
            </w:r>
            <w:r>
              <w:rPr>
                <w:i/>
              </w:rPr>
              <w:t xml:space="preserve"> und Eskalationslinien für Risiken aus grenzüberschreitenden </w:t>
            </w:r>
            <w:r w:rsidR="00F5523D">
              <w:rPr>
                <w:i/>
              </w:rPr>
              <w:t xml:space="preserve">Aktivitäten </w:t>
            </w:r>
            <w:r>
              <w:rPr>
                <w:i/>
              </w:rPr>
              <w:t>(inklusive Administration, Vermögensverwaltung oder Beratung</w:t>
            </w:r>
            <w:r w:rsidR="001D019A">
              <w:rPr>
                <w:i/>
              </w:rPr>
              <w:t>sleistungen</w:t>
            </w:r>
            <w:r>
              <w:rPr>
                <w:i/>
              </w:rPr>
              <w:t xml:space="preserve"> für ausländische </w:t>
            </w:r>
            <w:r w:rsidR="001D019A">
              <w:rPr>
                <w:i/>
              </w:rPr>
              <w:t xml:space="preserve">Kollektivanlagen </w:t>
            </w:r>
            <w:r>
              <w:rPr>
                <w:i/>
              </w:rPr>
              <w:t xml:space="preserve">und grenzüberschreitenden Vertrieb) in </w:t>
            </w:r>
            <w:r w:rsidR="001D019A">
              <w:rPr>
                <w:i/>
              </w:rPr>
              <w:t xml:space="preserve">der Risikopolitik, in </w:t>
            </w:r>
            <w:r>
              <w:rPr>
                <w:i/>
              </w:rPr>
              <w:t>internen Regelungen, Vorgaben, Handbüchern und Stellenbeschreibungen nach Massgabe der Grösse, der Geschäfts- und Organisationskomplexität und des Compliance-Risikos des Instituts angemessen definiert sind, namentlich</w:t>
            </w:r>
          </w:p>
        </w:tc>
        <w:tc>
          <w:tcPr>
            <w:tcW w:w="3827" w:type="dxa"/>
            <w:shd w:val="clear" w:color="auto" w:fill="auto"/>
          </w:tcPr>
          <w:p w14:paraId="562A71BF" w14:textId="77777777" w:rsidR="00994315" w:rsidRPr="001D46BF" w:rsidRDefault="00994315" w:rsidP="0093102C">
            <w:pPr>
              <w:pStyle w:val="Bullet"/>
              <w:numPr>
                <w:ilvl w:val="0"/>
                <w:numId w:val="0"/>
              </w:numPr>
              <w:spacing w:before="120" w:after="120"/>
              <w:ind w:left="720"/>
            </w:pPr>
          </w:p>
        </w:tc>
        <w:tc>
          <w:tcPr>
            <w:tcW w:w="3542" w:type="dxa"/>
            <w:shd w:val="clear" w:color="auto" w:fill="auto"/>
          </w:tcPr>
          <w:p w14:paraId="355A9AF7"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6FF7B4F8" w14:textId="77777777" w:rsidR="00994315" w:rsidRPr="00C04F0F" w:rsidRDefault="00994315" w:rsidP="0093102C">
            <w:pPr>
              <w:spacing w:before="120" w:after="120" w:line="240" w:lineRule="auto"/>
            </w:pPr>
          </w:p>
        </w:tc>
      </w:tr>
      <w:tr w:rsidR="00994315" w:rsidRPr="009B54F4" w14:paraId="0A99941D" w14:textId="77777777" w:rsidTr="00513A59">
        <w:trPr>
          <w:trHeight w:val="980"/>
        </w:trPr>
        <w:tc>
          <w:tcPr>
            <w:tcW w:w="529" w:type="dxa"/>
            <w:vMerge/>
            <w:shd w:val="clear" w:color="auto" w:fill="auto"/>
          </w:tcPr>
          <w:p w14:paraId="7FEE7964"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7AB40156" w14:textId="77777777" w:rsidR="00994315" w:rsidRPr="001D46BF" w:rsidRDefault="00994315" w:rsidP="0093102C">
            <w:pPr>
              <w:spacing w:before="120" w:after="120" w:line="240" w:lineRule="auto"/>
              <w:rPr>
                <w:rFonts w:cs="Arial"/>
                <w:b/>
                <w:sz w:val="16"/>
                <w:szCs w:val="16"/>
              </w:rPr>
            </w:pPr>
          </w:p>
        </w:tc>
        <w:tc>
          <w:tcPr>
            <w:tcW w:w="3829" w:type="dxa"/>
            <w:shd w:val="clear" w:color="auto" w:fill="auto"/>
          </w:tcPr>
          <w:p w14:paraId="66A444F0" w14:textId="6B719AF5" w:rsidR="00592974" w:rsidRPr="003203D5" w:rsidRDefault="00994315" w:rsidP="0093102C">
            <w:pPr>
              <w:pStyle w:val="Bullet"/>
              <w:numPr>
                <w:ilvl w:val="0"/>
                <w:numId w:val="0"/>
              </w:numPr>
              <w:spacing w:before="120" w:after="120"/>
            </w:pPr>
            <w:r>
              <w:t>Beurteilung, ob in den internen Regeln die Geschäftsstrategie und das Dienstleistungsmodell (inkl. Targeting, Beziehungsmanagement, Geschäftstätigkeit und Kommunikation) für Zielländer, ausgeschlossene Länder und Nichtzielländer (Länder, die weder ein Zielland noch ein ausgeschlossenes Land sind) angemessen definiert sind</w:t>
            </w:r>
            <w:r w:rsidR="001D019A">
              <w:t>.</w:t>
            </w:r>
          </w:p>
        </w:tc>
        <w:tc>
          <w:tcPr>
            <w:tcW w:w="3827" w:type="dxa"/>
            <w:shd w:val="clear" w:color="auto" w:fill="auto"/>
          </w:tcPr>
          <w:p w14:paraId="46F59F67" w14:textId="77777777" w:rsidR="00994315" w:rsidRPr="001D46BF" w:rsidRDefault="00994315" w:rsidP="0093102C">
            <w:pPr>
              <w:spacing w:before="120" w:after="120" w:line="240" w:lineRule="auto"/>
              <w:ind w:left="34"/>
              <w:rPr>
                <w:rFonts w:cs="Arial"/>
                <w:sz w:val="16"/>
                <w:szCs w:val="16"/>
              </w:rPr>
            </w:pPr>
          </w:p>
        </w:tc>
        <w:tc>
          <w:tcPr>
            <w:tcW w:w="3542" w:type="dxa"/>
            <w:shd w:val="clear" w:color="auto" w:fill="auto"/>
          </w:tcPr>
          <w:p w14:paraId="57F101B1"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53DAC3E2" w14:textId="77777777" w:rsidR="00994315" w:rsidRPr="00F81BDE" w:rsidRDefault="00994315" w:rsidP="0093102C">
            <w:pPr>
              <w:spacing w:before="120" w:after="120" w:line="240" w:lineRule="auto"/>
            </w:pPr>
          </w:p>
        </w:tc>
      </w:tr>
      <w:tr w:rsidR="00994315" w:rsidRPr="009B54F4" w14:paraId="6BD15A2A" w14:textId="77777777" w:rsidTr="00513A59">
        <w:tc>
          <w:tcPr>
            <w:tcW w:w="529" w:type="dxa"/>
            <w:vMerge/>
            <w:shd w:val="clear" w:color="auto" w:fill="auto"/>
          </w:tcPr>
          <w:p w14:paraId="40D3DC4D"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1AB73F8E" w14:textId="77777777" w:rsidR="00994315" w:rsidRPr="001D46BF" w:rsidRDefault="00994315" w:rsidP="0093102C">
            <w:pPr>
              <w:spacing w:before="120" w:after="120" w:line="240" w:lineRule="auto"/>
              <w:rPr>
                <w:rFonts w:cs="Arial"/>
                <w:b/>
                <w:sz w:val="16"/>
                <w:szCs w:val="16"/>
              </w:rPr>
            </w:pPr>
          </w:p>
        </w:tc>
        <w:tc>
          <w:tcPr>
            <w:tcW w:w="3829" w:type="dxa"/>
            <w:shd w:val="clear" w:color="auto" w:fill="auto"/>
          </w:tcPr>
          <w:p w14:paraId="030DEC4D" w14:textId="0FD763FD" w:rsidR="00994315" w:rsidRPr="003203D5" w:rsidRDefault="00994315" w:rsidP="00C33237">
            <w:pPr>
              <w:pStyle w:val="Bullet"/>
              <w:numPr>
                <w:ilvl w:val="0"/>
                <w:numId w:val="0"/>
              </w:numPr>
              <w:spacing w:before="120" w:after="120"/>
              <w:ind w:left="33"/>
            </w:pPr>
            <w:r>
              <w:t>Beurteilung, ob die dokumentierte Strategie für grenzüberschreitende</w:t>
            </w:r>
            <w:r w:rsidR="00D840AC">
              <w:t xml:space="preserve"> </w:t>
            </w:r>
            <w:r w:rsidR="00F5523D">
              <w:t xml:space="preserve">Aktivitäten </w:t>
            </w:r>
            <w:r w:rsidR="004309E0">
              <w:t xml:space="preserve">ausreichend </w:t>
            </w:r>
            <w:r>
              <w:t>detailliert, klar und transparent ist, damit die Leitungsorgane fundierte Entscheidungen zur Risikobereitschaft und Risikotoleranz treffen können</w:t>
            </w:r>
            <w:r w:rsidR="004309E0">
              <w:t>,</w:t>
            </w:r>
            <w:r>
              <w:t xml:space="preserve"> und ob sie </w:t>
            </w:r>
            <w:r w:rsidR="00A06E39">
              <w:t xml:space="preserve">bezüglich </w:t>
            </w:r>
            <w:r>
              <w:t xml:space="preserve">der Geschäfts- und Organisationskomplexität des Instituts </w:t>
            </w:r>
            <w:r w:rsidR="004309E0">
              <w:t xml:space="preserve">angemessen ist </w:t>
            </w:r>
            <w:r>
              <w:t>(insbesondere in Bezug auf die definierten Zielmärkte</w:t>
            </w:r>
            <w:r w:rsidR="004309E0">
              <w:t>, die eigene</w:t>
            </w:r>
            <w:r>
              <w:t xml:space="preserve"> Beurteilung </w:t>
            </w:r>
            <w:r w:rsidR="00575220">
              <w:t>des</w:t>
            </w:r>
            <w:r>
              <w:t xml:space="preserve"> Institut</w:t>
            </w:r>
            <w:r w:rsidR="00575220">
              <w:t>s</w:t>
            </w:r>
            <w:r>
              <w:t xml:space="preserve"> </w:t>
            </w:r>
            <w:r w:rsidR="004309E0">
              <w:t xml:space="preserve">hinsichtlich </w:t>
            </w:r>
            <w:r>
              <w:t xml:space="preserve">der Compliance seines Dienstleistungsmodells für die Zielmärkte und die erhaltenen Lizenzen und Genehmigungen). </w:t>
            </w:r>
          </w:p>
        </w:tc>
        <w:tc>
          <w:tcPr>
            <w:tcW w:w="3827" w:type="dxa"/>
            <w:shd w:val="clear" w:color="auto" w:fill="auto"/>
          </w:tcPr>
          <w:p w14:paraId="482F04EA"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4EDC4EAA"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74C2AF70" w14:textId="77777777" w:rsidR="00994315" w:rsidRPr="00F81BDE" w:rsidRDefault="00994315" w:rsidP="0093102C">
            <w:pPr>
              <w:spacing w:before="120" w:after="120" w:line="240" w:lineRule="auto"/>
            </w:pPr>
          </w:p>
        </w:tc>
      </w:tr>
      <w:tr w:rsidR="00994315" w:rsidRPr="009B54F4" w14:paraId="4D75CCC9" w14:textId="77777777" w:rsidTr="00513A59">
        <w:tc>
          <w:tcPr>
            <w:tcW w:w="529" w:type="dxa"/>
            <w:vMerge/>
            <w:shd w:val="clear" w:color="auto" w:fill="auto"/>
          </w:tcPr>
          <w:p w14:paraId="597CEE79"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28D5837B" w14:textId="77777777" w:rsidR="00994315" w:rsidRPr="001D46BF" w:rsidRDefault="00994315" w:rsidP="0093102C">
            <w:pPr>
              <w:spacing w:before="120" w:after="120" w:line="240" w:lineRule="auto"/>
              <w:rPr>
                <w:rFonts w:cs="Arial"/>
                <w:b/>
                <w:sz w:val="16"/>
                <w:szCs w:val="16"/>
              </w:rPr>
            </w:pPr>
          </w:p>
        </w:tc>
        <w:tc>
          <w:tcPr>
            <w:tcW w:w="3829" w:type="dxa"/>
            <w:shd w:val="clear" w:color="auto" w:fill="auto"/>
          </w:tcPr>
          <w:p w14:paraId="2221D243" w14:textId="46146B36" w:rsidR="00994315" w:rsidRPr="003203D5" w:rsidRDefault="00994315" w:rsidP="00D840AC">
            <w:pPr>
              <w:pStyle w:val="Bullet"/>
              <w:numPr>
                <w:ilvl w:val="0"/>
                <w:numId w:val="0"/>
              </w:numPr>
              <w:spacing w:before="120" w:after="120"/>
              <w:ind w:left="33"/>
            </w:pPr>
            <w:r>
              <w:t xml:space="preserve">Beurteilung, ob </w:t>
            </w:r>
            <w:r w:rsidR="00880125">
              <w:t xml:space="preserve">in den </w:t>
            </w:r>
            <w:r>
              <w:t xml:space="preserve">internen Regeln </w:t>
            </w:r>
            <w:r w:rsidR="00880125">
              <w:t xml:space="preserve">eine angemessene Definition für </w:t>
            </w:r>
            <w:r>
              <w:t xml:space="preserve">Zielländer, ausgeschlossene Länder, Nichtzielländer (Länder, die weder ein Zielland noch ein ausgeschlossenes Land sind) </w:t>
            </w:r>
            <w:r w:rsidR="00880125">
              <w:t>enthalten ist, die im Einklang mit dem Businessplan</w:t>
            </w:r>
            <w:r>
              <w:t xml:space="preserve"> und den effektiven Geschäftsaktivitäten </w:t>
            </w:r>
            <w:r w:rsidR="00880125">
              <w:t>ist</w:t>
            </w:r>
            <w:r>
              <w:t>.</w:t>
            </w:r>
          </w:p>
        </w:tc>
        <w:tc>
          <w:tcPr>
            <w:tcW w:w="3827" w:type="dxa"/>
            <w:shd w:val="clear" w:color="auto" w:fill="auto"/>
          </w:tcPr>
          <w:p w14:paraId="068C203F"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48BDC470"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3325D554" w14:textId="77777777" w:rsidR="00994315" w:rsidRPr="00C04F0F" w:rsidRDefault="00994315" w:rsidP="0093102C">
            <w:pPr>
              <w:spacing w:before="120" w:after="120" w:line="240" w:lineRule="auto"/>
            </w:pPr>
          </w:p>
        </w:tc>
      </w:tr>
      <w:tr w:rsidR="00994315" w:rsidRPr="009B54F4" w14:paraId="12DE1368" w14:textId="77777777" w:rsidTr="001F462D">
        <w:trPr>
          <w:trHeight w:val="6147"/>
        </w:trPr>
        <w:tc>
          <w:tcPr>
            <w:tcW w:w="529" w:type="dxa"/>
            <w:vMerge/>
            <w:shd w:val="clear" w:color="auto" w:fill="auto"/>
          </w:tcPr>
          <w:p w14:paraId="3B3E099F"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5603E0FE" w14:textId="77777777" w:rsidR="00994315" w:rsidRPr="001D46BF" w:rsidRDefault="00994315" w:rsidP="0093102C">
            <w:pPr>
              <w:spacing w:before="120" w:after="120" w:line="240" w:lineRule="auto"/>
              <w:rPr>
                <w:rFonts w:cs="Arial"/>
                <w:b/>
                <w:sz w:val="16"/>
                <w:szCs w:val="16"/>
              </w:rPr>
            </w:pPr>
          </w:p>
        </w:tc>
        <w:tc>
          <w:tcPr>
            <w:tcW w:w="3829" w:type="dxa"/>
            <w:shd w:val="clear" w:color="auto" w:fill="auto"/>
          </w:tcPr>
          <w:p w14:paraId="6DDB4E02" w14:textId="7D2502EA" w:rsidR="00994315" w:rsidRDefault="00994315" w:rsidP="0093102C">
            <w:pPr>
              <w:pStyle w:val="Bullet"/>
              <w:numPr>
                <w:ilvl w:val="0"/>
                <w:numId w:val="0"/>
              </w:numPr>
              <w:spacing w:before="120" w:after="120"/>
            </w:pPr>
            <w:r>
              <w:t xml:space="preserve">Beurteilung, ob in den internen </w:t>
            </w:r>
            <w:r w:rsidR="00F5523D">
              <w:t xml:space="preserve">Regelungen </w:t>
            </w:r>
            <w:r>
              <w:t>die Rollen und Verantwortlichkeiten angemessen definiert sind, z.</w:t>
            </w:r>
            <w:r w:rsidR="00D840AC">
              <w:t> </w:t>
            </w:r>
            <w:r>
              <w:t>B. für</w:t>
            </w:r>
          </w:p>
          <w:p w14:paraId="114C857C" w14:textId="344CA8FC" w:rsidR="00994315" w:rsidRDefault="00994315" w:rsidP="0093102C">
            <w:pPr>
              <w:pStyle w:val="Bullet"/>
              <w:numPr>
                <w:ilvl w:val="0"/>
                <w:numId w:val="9"/>
              </w:numPr>
              <w:spacing w:before="120" w:after="120"/>
              <w:ind w:left="227" w:hanging="227"/>
            </w:pPr>
            <w:r>
              <w:t xml:space="preserve">die Genehmigung der Strategie für grenzüberschreitende </w:t>
            </w:r>
            <w:r w:rsidR="00CC23DC">
              <w:t>Aktivitäten</w:t>
            </w:r>
          </w:p>
          <w:p w14:paraId="3FA9A91C" w14:textId="77777777" w:rsidR="00994315" w:rsidRPr="00FA1508" w:rsidRDefault="00994315" w:rsidP="0093102C">
            <w:pPr>
              <w:pStyle w:val="Bullet"/>
              <w:numPr>
                <w:ilvl w:val="0"/>
                <w:numId w:val="9"/>
              </w:numPr>
              <w:spacing w:before="120" w:after="120"/>
              <w:ind w:left="227" w:hanging="227"/>
            </w:pPr>
            <w:r>
              <w:rPr>
                <w:color w:val="000000" w:themeColor="text1"/>
              </w:rPr>
              <w:t>die Durchführung ausreichend detaillierter und regelmässiger Länderrisikoanalysen</w:t>
            </w:r>
          </w:p>
          <w:p w14:paraId="6AC96073" w14:textId="55238998" w:rsidR="00994315" w:rsidRPr="00FA1508" w:rsidRDefault="00994315" w:rsidP="0093102C">
            <w:pPr>
              <w:pStyle w:val="Bullet"/>
              <w:numPr>
                <w:ilvl w:val="0"/>
                <w:numId w:val="9"/>
              </w:numPr>
              <w:spacing w:before="120" w:after="120"/>
              <w:ind w:left="227" w:hanging="227"/>
            </w:pPr>
            <w:r>
              <w:rPr>
                <w:color w:val="000000" w:themeColor="text1"/>
              </w:rPr>
              <w:t xml:space="preserve">die Genehmigung der Klassifizierung </w:t>
            </w:r>
            <w:r w:rsidR="00A06E39">
              <w:rPr>
                <w:color w:val="000000" w:themeColor="text1"/>
              </w:rPr>
              <w:t xml:space="preserve">und Intervall der Wiedervorlage/-genehmigung pro Land </w:t>
            </w:r>
          </w:p>
          <w:p w14:paraId="4A860E58" w14:textId="2B658772" w:rsidR="00994315" w:rsidRPr="00FA1508" w:rsidRDefault="00994315" w:rsidP="0093102C">
            <w:pPr>
              <w:pStyle w:val="Bullet"/>
              <w:numPr>
                <w:ilvl w:val="0"/>
                <w:numId w:val="9"/>
              </w:numPr>
              <w:spacing w:before="120" w:after="120"/>
              <w:ind w:left="227" w:hanging="227"/>
            </w:pPr>
            <w:r>
              <w:rPr>
                <w:color w:val="000000" w:themeColor="text1"/>
              </w:rPr>
              <w:t>die Definition, Pflege, Aktualisierung und Genehmigung von Dienstleistungsmodellen (</w:t>
            </w:r>
            <w:r w:rsidR="00617646">
              <w:rPr>
                <w:color w:val="000000" w:themeColor="text1"/>
              </w:rPr>
              <w:t>inkl.</w:t>
            </w:r>
            <w:r>
              <w:rPr>
                <w:color w:val="000000" w:themeColor="text1"/>
              </w:rPr>
              <w:t xml:space="preserve"> Targeting, Beziehungsmanagement, Geschäftstätigkeit und Kommunikation) pro Zielland und</w:t>
            </w:r>
            <w:r w:rsidR="00A06E39">
              <w:rPr>
                <w:color w:val="000000" w:themeColor="text1"/>
              </w:rPr>
              <w:t xml:space="preserve"> für alle</w:t>
            </w:r>
            <w:r w:rsidR="00DB0916">
              <w:rPr>
                <w:color w:val="000000" w:themeColor="text1"/>
              </w:rPr>
              <w:t xml:space="preserve"> Nichtzielländer</w:t>
            </w:r>
          </w:p>
          <w:p w14:paraId="13E11578" w14:textId="57D23055" w:rsidR="00994315" w:rsidRDefault="00994315" w:rsidP="0093102C">
            <w:pPr>
              <w:pStyle w:val="Bullet"/>
              <w:numPr>
                <w:ilvl w:val="0"/>
                <w:numId w:val="9"/>
              </w:numPr>
              <w:spacing w:before="120" w:after="120"/>
              <w:ind w:left="227" w:hanging="227"/>
            </w:pPr>
            <w:r>
              <w:t xml:space="preserve">die Genehmigung, Implementierung und Kontrolle eines risikoorientierten Schulungsprogramms </w:t>
            </w:r>
          </w:p>
          <w:p w14:paraId="3D016BB8" w14:textId="46CC4E92" w:rsidR="00994315" w:rsidRDefault="00994315" w:rsidP="0093102C">
            <w:pPr>
              <w:pStyle w:val="Bullet"/>
              <w:numPr>
                <w:ilvl w:val="0"/>
                <w:numId w:val="9"/>
              </w:numPr>
              <w:spacing w:before="120" w:after="120"/>
              <w:ind w:left="227" w:hanging="227"/>
            </w:pPr>
            <w:r>
              <w:t xml:space="preserve">die Kontrollen, Genehmigungen und die Dokumentation, bevor </w:t>
            </w:r>
            <w:r w:rsidR="00617646">
              <w:t>n</w:t>
            </w:r>
            <w:r>
              <w:t>eu</w:t>
            </w:r>
            <w:r w:rsidR="00617646">
              <w:t>e K</w:t>
            </w:r>
            <w:r>
              <w:t>unden / Produkte angenommen werden</w:t>
            </w:r>
          </w:p>
          <w:p w14:paraId="7A8E447D" w14:textId="77777777" w:rsidR="00994315" w:rsidRPr="00FA1508" w:rsidRDefault="00994315" w:rsidP="0093102C">
            <w:pPr>
              <w:pStyle w:val="Bullet"/>
              <w:numPr>
                <w:ilvl w:val="0"/>
                <w:numId w:val="9"/>
              </w:numPr>
              <w:spacing w:before="120" w:after="120"/>
              <w:ind w:left="227" w:hanging="227"/>
            </w:pPr>
            <w:r>
              <w:rPr>
                <w:color w:val="000000" w:themeColor="text1"/>
              </w:rPr>
              <w:t>periodische Sorgfaltsprüfungen und (Neu)-Genehmigung externer Intermediäre</w:t>
            </w:r>
          </w:p>
          <w:p w14:paraId="3EE656A9" w14:textId="0775FECA" w:rsidR="00994315" w:rsidRDefault="00994315" w:rsidP="0093102C">
            <w:pPr>
              <w:pStyle w:val="Bullet"/>
              <w:numPr>
                <w:ilvl w:val="0"/>
                <w:numId w:val="9"/>
              </w:numPr>
              <w:spacing w:before="120" w:after="120"/>
              <w:ind w:left="227" w:hanging="227"/>
            </w:pPr>
            <w:r>
              <w:rPr>
                <w:color w:val="000000" w:themeColor="text1"/>
              </w:rPr>
              <w:t>Genehmigungskompetenzen für geplante Reisen ins Ausland</w:t>
            </w:r>
            <w:r w:rsidR="00400954">
              <w:rPr>
                <w:color w:val="000000" w:themeColor="text1"/>
              </w:rPr>
              <w:t>.</w:t>
            </w:r>
          </w:p>
        </w:tc>
        <w:tc>
          <w:tcPr>
            <w:tcW w:w="3827" w:type="dxa"/>
            <w:shd w:val="clear" w:color="auto" w:fill="auto"/>
          </w:tcPr>
          <w:p w14:paraId="259776ED" w14:textId="77777777" w:rsidR="00994315" w:rsidRPr="001D46BF" w:rsidRDefault="00994315" w:rsidP="0093102C">
            <w:pPr>
              <w:spacing w:before="120" w:after="120" w:line="240" w:lineRule="auto"/>
              <w:ind w:left="33"/>
              <w:rPr>
                <w:rFonts w:cs="Arial"/>
                <w:sz w:val="16"/>
                <w:szCs w:val="16"/>
              </w:rPr>
            </w:pPr>
          </w:p>
        </w:tc>
        <w:tc>
          <w:tcPr>
            <w:tcW w:w="3542" w:type="dxa"/>
            <w:shd w:val="clear" w:color="auto" w:fill="auto"/>
          </w:tcPr>
          <w:p w14:paraId="3EBA1A4B" w14:textId="77777777" w:rsidR="00994315" w:rsidRPr="001D46BF" w:rsidRDefault="00994315" w:rsidP="0093102C">
            <w:pPr>
              <w:spacing w:before="120" w:after="120" w:line="240" w:lineRule="auto"/>
              <w:rPr>
                <w:rFonts w:cs="Arial"/>
                <w:sz w:val="16"/>
                <w:szCs w:val="16"/>
              </w:rPr>
            </w:pPr>
          </w:p>
        </w:tc>
        <w:tc>
          <w:tcPr>
            <w:tcW w:w="994" w:type="dxa"/>
            <w:shd w:val="clear" w:color="auto" w:fill="auto"/>
          </w:tcPr>
          <w:p w14:paraId="048F91EE" w14:textId="77777777" w:rsidR="00994315" w:rsidRPr="00C04F0F" w:rsidRDefault="00994315" w:rsidP="0093102C">
            <w:pPr>
              <w:spacing w:before="120" w:after="120" w:line="240" w:lineRule="auto"/>
            </w:pPr>
          </w:p>
        </w:tc>
      </w:tr>
      <w:tr w:rsidR="00994315" w:rsidRPr="009B54F4" w14:paraId="02B42625" w14:textId="77777777" w:rsidTr="00513A59">
        <w:tc>
          <w:tcPr>
            <w:tcW w:w="529" w:type="dxa"/>
            <w:vMerge/>
            <w:tcBorders>
              <w:bottom w:val="single" w:sz="4" w:space="0" w:color="auto"/>
            </w:tcBorders>
            <w:shd w:val="clear" w:color="auto" w:fill="auto"/>
          </w:tcPr>
          <w:p w14:paraId="6C9B3C3E" w14:textId="77777777" w:rsidR="00994315" w:rsidRPr="001D46BF" w:rsidRDefault="00994315" w:rsidP="0093102C">
            <w:pPr>
              <w:spacing w:before="120" w:after="120" w:line="240" w:lineRule="auto"/>
              <w:rPr>
                <w:rFonts w:cs="Arial"/>
                <w:sz w:val="16"/>
                <w:szCs w:val="16"/>
              </w:rPr>
            </w:pPr>
          </w:p>
        </w:tc>
        <w:tc>
          <w:tcPr>
            <w:tcW w:w="1596" w:type="dxa"/>
            <w:vMerge/>
            <w:tcBorders>
              <w:bottom w:val="single" w:sz="4" w:space="0" w:color="auto"/>
            </w:tcBorders>
            <w:shd w:val="clear" w:color="auto" w:fill="auto"/>
          </w:tcPr>
          <w:p w14:paraId="1A6310F5" w14:textId="77777777" w:rsidR="00994315" w:rsidRPr="001D46BF" w:rsidRDefault="00994315" w:rsidP="0093102C">
            <w:pPr>
              <w:spacing w:before="120" w:after="120" w:line="240" w:lineRule="auto"/>
              <w:rPr>
                <w:rFonts w:cs="Arial"/>
                <w:b/>
                <w:sz w:val="16"/>
                <w:szCs w:val="16"/>
              </w:rPr>
            </w:pPr>
          </w:p>
        </w:tc>
        <w:tc>
          <w:tcPr>
            <w:tcW w:w="3829" w:type="dxa"/>
            <w:tcBorders>
              <w:bottom w:val="single" w:sz="4" w:space="0" w:color="auto"/>
            </w:tcBorders>
            <w:shd w:val="clear" w:color="auto" w:fill="auto"/>
          </w:tcPr>
          <w:p w14:paraId="658E5959" w14:textId="392AFDCA" w:rsidR="00994315" w:rsidRPr="00082887" w:rsidRDefault="00172485" w:rsidP="00155369">
            <w:pPr>
              <w:spacing w:before="120" w:after="120" w:line="240" w:lineRule="auto"/>
              <w:rPr>
                <w:sz w:val="16"/>
              </w:rPr>
            </w:pPr>
            <w:r>
              <w:rPr>
                <w:sz w:val="16"/>
              </w:rPr>
              <w:t>Durchsicht</w:t>
            </w:r>
            <w:r w:rsidRPr="00F33B1B">
              <w:rPr>
                <w:sz w:val="16"/>
              </w:rPr>
              <w:t xml:space="preserve"> der Protokolle der Verwaltungsratssitzungen, um zu beurteilen, ob die Strategie für grenzüberschreitende </w:t>
            </w:r>
            <w:r w:rsidR="00CC23DC">
              <w:rPr>
                <w:sz w:val="16"/>
              </w:rPr>
              <w:t>Aktivitäten</w:t>
            </w:r>
            <w:r w:rsidRPr="00F33B1B">
              <w:rPr>
                <w:sz w:val="16"/>
              </w:rPr>
              <w:t>, die Risikobereitschaft und die Risikotoleranz vom Verwaltungsrat erörtert und genehmigt wurden</w:t>
            </w:r>
            <w:r>
              <w:rPr>
                <w:sz w:val="16"/>
              </w:rPr>
              <w:t>.</w:t>
            </w:r>
          </w:p>
        </w:tc>
        <w:tc>
          <w:tcPr>
            <w:tcW w:w="3827" w:type="dxa"/>
            <w:tcBorders>
              <w:bottom w:val="single" w:sz="4" w:space="0" w:color="auto"/>
            </w:tcBorders>
            <w:shd w:val="clear" w:color="auto" w:fill="auto"/>
          </w:tcPr>
          <w:p w14:paraId="21069D13" w14:textId="77777777" w:rsidR="00994315" w:rsidRPr="001D46BF" w:rsidRDefault="00994315" w:rsidP="0093102C">
            <w:pPr>
              <w:spacing w:before="120" w:after="120" w:line="240" w:lineRule="auto"/>
              <w:ind w:left="33"/>
              <w:rPr>
                <w:rFonts w:cs="Arial"/>
                <w:sz w:val="16"/>
                <w:szCs w:val="16"/>
              </w:rPr>
            </w:pPr>
          </w:p>
        </w:tc>
        <w:tc>
          <w:tcPr>
            <w:tcW w:w="3542" w:type="dxa"/>
            <w:tcBorders>
              <w:bottom w:val="single" w:sz="4" w:space="0" w:color="auto"/>
            </w:tcBorders>
            <w:shd w:val="clear" w:color="auto" w:fill="auto"/>
          </w:tcPr>
          <w:p w14:paraId="15C4B167" w14:textId="77777777" w:rsidR="00994315" w:rsidRPr="001D46BF" w:rsidRDefault="00994315" w:rsidP="0093102C">
            <w:pPr>
              <w:spacing w:before="120" w:after="120" w:line="240" w:lineRule="auto"/>
              <w:rPr>
                <w:rFonts w:cs="Arial"/>
                <w:sz w:val="16"/>
                <w:szCs w:val="16"/>
              </w:rPr>
            </w:pPr>
          </w:p>
        </w:tc>
        <w:tc>
          <w:tcPr>
            <w:tcW w:w="994" w:type="dxa"/>
            <w:tcBorders>
              <w:bottom w:val="single" w:sz="4" w:space="0" w:color="auto"/>
            </w:tcBorders>
            <w:shd w:val="clear" w:color="auto" w:fill="auto"/>
          </w:tcPr>
          <w:p w14:paraId="35D68B8B" w14:textId="77777777" w:rsidR="00994315" w:rsidRPr="00C04F0F" w:rsidRDefault="00994315" w:rsidP="0093102C">
            <w:pPr>
              <w:spacing w:before="120" w:after="120" w:line="240" w:lineRule="auto"/>
            </w:pPr>
          </w:p>
        </w:tc>
      </w:tr>
      <w:tr w:rsidR="00994315" w:rsidRPr="009B54F4" w14:paraId="6AB6DD1F" w14:textId="77777777" w:rsidTr="00513A59">
        <w:tc>
          <w:tcPr>
            <w:tcW w:w="529" w:type="dxa"/>
            <w:shd w:val="clear" w:color="auto" w:fill="auto"/>
          </w:tcPr>
          <w:p w14:paraId="54281A54" w14:textId="77777777" w:rsidR="00994315" w:rsidRPr="00200356" w:rsidRDefault="00994315" w:rsidP="0093102C">
            <w:pPr>
              <w:spacing w:before="120" w:after="120" w:line="240" w:lineRule="auto"/>
              <w:rPr>
                <w:rFonts w:cs="Arial"/>
                <w:sz w:val="16"/>
                <w:szCs w:val="16"/>
              </w:rPr>
            </w:pPr>
          </w:p>
        </w:tc>
        <w:tc>
          <w:tcPr>
            <w:tcW w:w="1596" w:type="dxa"/>
            <w:shd w:val="clear" w:color="auto" w:fill="auto"/>
          </w:tcPr>
          <w:p w14:paraId="2186EDE6" w14:textId="2A6C0250" w:rsidR="00994315" w:rsidRPr="003215B7" w:rsidRDefault="00D21EB9" w:rsidP="0093102C">
            <w:pPr>
              <w:spacing w:before="120" w:after="120" w:line="240" w:lineRule="auto"/>
              <w:rPr>
                <w:rFonts w:cs="Arial"/>
                <w:b/>
                <w:sz w:val="16"/>
                <w:szCs w:val="16"/>
              </w:rPr>
            </w:pPr>
            <w:r>
              <w:rPr>
                <w:b/>
                <w:sz w:val="16"/>
              </w:rPr>
              <w:t>Länderanalysen / Länderhand</w:t>
            </w:r>
            <w:r w:rsidR="00BB7ED7">
              <w:rPr>
                <w:b/>
                <w:sz w:val="16"/>
              </w:rPr>
              <w:t>bücher</w:t>
            </w:r>
          </w:p>
        </w:tc>
        <w:tc>
          <w:tcPr>
            <w:tcW w:w="3829" w:type="dxa"/>
            <w:shd w:val="clear" w:color="auto" w:fill="auto"/>
          </w:tcPr>
          <w:p w14:paraId="506151D1" w14:textId="45800DBA" w:rsidR="00994315" w:rsidRPr="001D46BF" w:rsidRDefault="00994315" w:rsidP="00F5523D">
            <w:pPr>
              <w:pStyle w:val="Bullet"/>
              <w:numPr>
                <w:ilvl w:val="0"/>
                <w:numId w:val="0"/>
              </w:numPr>
              <w:spacing w:before="120" w:after="120"/>
            </w:pPr>
            <w:r>
              <w:rPr>
                <w:i/>
              </w:rPr>
              <w:t xml:space="preserve">Beurteilung, ob die Methoden / </w:t>
            </w:r>
            <w:r w:rsidR="00400954">
              <w:rPr>
                <w:i/>
              </w:rPr>
              <w:t xml:space="preserve">Prozesse </w:t>
            </w:r>
            <w:r>
              <w:rPr>
                <w:i/>
              </w:rPr>
              <w:t xml:space="preserve">zur </w:t>
            </w:r>
            <w:r w:rsidR="0000309B">
              <w:rPr>
                <w:i/>
              </w:rPr>
              <w:t>Identifikation</w:t>
            </w:r>
            <w:r>
              <w:rPr>
                <w:i/>
              </w:rPr>
              <w:t xml:space="preserve">, Messung, </w:t>
            </w:r>
            <w:r w:rsidR="00155369">
              <w:rPr>
                <w:i/>
              </w:rPr>
              <w:t>Bewirtschaftung</w:t>
            </w:r>
            <w:r>
              <w:rPr>
                <w:i/>
              </w:rPr>
              <w:t xml:space="preserve"> und Überwachung von Risiken aus grenzüberschreitenden </w:t>
            </w:r>
            <w:r w:rsidR="00F5523D">
              <w:rPr>
                <w:i/>
              </w:rPr>
              <w:t xml:space="preserve">Aktivitäten </w:t>
            </w:r>
            <w:r>
              <w:rPr>
                <w:i/>
              </w:rPr>
              <w:t>nach Massgabe der Grösse, der Geschäfts</w:t>
            </w:r>
            <w:r w:rsidR="00155369">
              <w:rPr>
                <w:i/>
              </w:rPr>
              <w:t>-</w:t>
            </w:r>
            <w:r>
              <w:rPr>
                <w:i/>
              </w:rPr>
              <w:t xml:space="preserve"> und Organisationskomplexität und des Compliance-Risikos des Instituts angemessen sind, namentlich</w:t>
            </w:r>
          </w:p>
        </w:tc>
        <w:tc>
          <w:tcPr>
            <w:tcW w:w="3827" w:type="dxa"/>
            <w:shd w:val="clear" w:color="auto" w:fill="auto"/>
          </w:tcPr>
          <w:p w14:paraId="408CA0C8" w14:textId="77777777" w:rsidR="00994315" w:rsidRPr="001D46BF" w:rsidRDefault="00994315" w:rsidP="0093102C">
            <w:pPr>
              <w:spacing w:before="120" w:after="120" w:line="240" w:lineRule="auto"/>
              <w:rPr>
                <w:rFonts w:cs="Arial"/>
                <w:sz w:val="16"/>
                <w:szCs w:val="16"/>
              </w:rPr>
            </w:pPr>
          </w:p>
        </w:tc>
        <w:tc>
          <w:tcPr>
            <w:tcW w:w="3542" w:type="dxa"/>
            <w:shd w:val="clear" w:color="auto" w:fill="auto"/>
          </w:tcPr>
          <w:p w14:paraId="6E00FB09" w14:textId="77777777" w:rsidR="00994315" w:rsidRPr="001D46BF" w:rsidRDefault="00994315" w:rsidP="0093102C">
            <w:pPr>
              <w:spacing w:before="120" w:after="120" w:line="240" w:lineRule="auto"/>
              <w:rPr>
                <w:rFonts w:cs="Arial"/>
                <w:sz w:val="16"/>
                <w:szCs w:val="16"/>
              </w:rPr>
            </w:pPr>
          </w:p>
        </w:tc>
        <w:tc>
          <w:tcPr>
            <w:tcW w:w="994" w:type="dxa"/>
          </w:tcPr>
          <w:p w14:paraId="36AB7511" w14:textId="77777777" w:rsidR="00994315" w:rsidRPr="001D46BF" w:rsidRDefault="00994315" w:rsidP="0093102C">
            <w:pPr>
              <w:spacing w:before="120" w:after="120" w:line="240" w:lineRule="auto"/>
              <w:rPr>
                <w:rFonts w:cs="Arial"/>
                <w:sz w:val="16"/>
                <w:szCs w:val="16"/>
              </w:rPr>
            </w:pPr>
          </w:p>
        </w:tc>
      </w:tr>
      <w:tr w:rsidR="00994315" w:rsidRPr="009B54F4" w14:paraId="14A5AFB9" w14:textId="77777777" w:rsidTr="00513A59">
        <w:tc>
          <w:tcPr>
            <w:tcW w:w="529" w:type="dxa"/>
            <w:vMerge w:val="restart"/>
            <w:shd w:val="clear" w:color="auto" w:fill="auto"/>
          </w:tcPr>
          <w:p w14:paraId="044DE733" w14:textId="77777777" w:rsidR="00994315" w:rsidRPr="001D46BF" w:rsidRDefault="00994315" w:rsidP="0093102C">
            <w:pPr>
              <w:spacing w:before="120" w:after="120" w:line="240" w:lineRule="auto"/>
              <w:rPr>
                <w:rFonts w:cs="Arial"/>
                <w:sz w:val="16"/>
                <w:szCs w:val="16"/>
              </w:rPr>
            </w:pPr>
          </w:p>
        </w:tc>
        <w:tc>
          <w:tcPr>
            <w:tcW w:w="1596" w:type="dxa"/>
            <w:vMerge w:val="restart"/>
            <w:shd w:val="clear" w:color="auto" w:fill="auto"/>
          </w:tcPr>
          <w:p w14:paraId="3BAB4973" w14:textId="39E436A9" w:rsidR="00994315" w:rsidRPr="001D46BF" w:rsidRDefault="00994315" w:rsidP="0093102C">
            <w:pPr>
              <w:spacing w:before="120" w:after="120" w:line="240" w:lineRule="auto"/>
              <w:rPr>
                <w:rFonts w:cs="Arial"/>
                <w:b/>
                <w:sz w:val="16"/>
                <w:szCs w:val="16"/>
              </w:rPr>
            </w:pPr>
          </w:p>
        </w:tc>
        <w:tc>
          <w:tcPr>
            <w:tcW w:w="3829" w:type="dxa"/>
            <w:shd w:val="clear" w:color="auto" w:fill="auto"/>
          </w:tcPr>
          <w:p w14:paraId="1A7AF0A1" w14:textId="3B8500B3" w:rsidR="00994315" w:rsidRPr="003203D5" w:rsidRDefault="00994315" w:rsidP="00BD2357">
            <w:pPr>
              <w:pStyle w:val="Bullet"/>
              <w:numPr>
                <w:ilvl w:val="0"/>
                <w:numId w:val="0"/>
              </w:numPr>
              <w:spacing w:before="120" w:after="120"/>
            </w:pPr>
            <w:r>
              <w:t>Beurteilung, ob die in den internen Richtlinien des Instituts definierten Zielländer</w:t>
            </w:r>
            <w:r w:rsidR="00BD2357">
              <w:t xml:space="preserve"> im Einklang mit den bestehenden</w:t>
            </w:r>
            <w:r>
              <w:t xml:space="preserve"> Geschäftstätigkeit</w:t>
            </w:r>
            <w:r w:rsidR="00BD2357">
              <w:t>en</w:t>
            </w:r>
            <w:r>
              <w:t xml:space="preserve"> </w:t>
            </w:r>
            <w:r w:rsidR="00D21EB9" w:rsidRPr="00F61ADA">
              <w:t>z.B. grenzüberschreitendes Dienstleistungsmodell</w:t>
            </w:r>
            <w:r w:rsidR="00D21EB9">
              <w:t>,</w:t>
            </w:r>
            <w:r w:rsidR="00D21EB9" w:rsidRPr="00F61ADA">
              <w:t xml:space="preserve"> Art der Kunden, Produkte, Dienstleistungen oder Inte</w:t>
            </w:r>
            <w:r w:rsidR="00D21EB9">
              <w:t>r</w:t>
            </w:r>
            <w:r w:rsidR="00D21EB9" w:rsidRPr="00F61ADA">
              <w:t>mediäre</w:t>
            </w:r>
            <w:r w:rsidR="00D21EB9">
              <w:t xml:space="preserve"> </w:t>
            </w:r>
            <w:r>
              <w:t xml:space="preserve">des Instituts </w:t>
            </w:r>
            <w:r w:rsidR="00BD2357">
              <w:t>sind</w:t>
            </w:r>
            <w:r>
              <w:t>.</w:t>
            </w:r>
          </w:p>
        </w:tc>
        <w:tc>
          <w:tcPr>
            <w:tcW w:w="3827" w:type="dxa"/>
            <w:shd w:val="clear" w:color="auto" w:fill="auto"/>
          </w:tcPr>
          <w:p w14:paraId="796E12F2" w14:textId="77777777" w:rsidR="00994315" w:rsidRPr="003203D5" w:rsidRDefault="00994315" w:rsidP="0093102C">
            <w:pPr>
              <w:pStyle w:val="Bullet"/>
              <w:numPr>
                <w:ilvl w:val="0"/>
                <w:numId w:val="0"/>
              </w:numPr>
              <w:spacing w:before="120" w:after="120"/>
            </w:pPr>
          </w:p>
        </w:tc>
        <w:tc>
          <w:tcPr>
            <w:tcW w:w="3542" w:type="dxa"/>
            <w:shd w:val="clear" w:color="auto" w:fill="auto"/>
          </w:tcPr>
          <w:p w14:paraId="0ED9D28A" w14:textId="77777777" w:rsidR="00994315" w:rsidRPr="001D46BF" w:rsidRDefault="00994315" w:rsidP="0093102C">
            <w:pPr>
              <w:spacing w:before="120" w:after="120" w:line="240" w:lineRule="auto"/>
              <w:rPr>
                <w:rFonts w:cs="Arial"/>
                <w:sz w:val="16"/>
                <w:szCs w:val="16"/>
              </w:rPr>
            </w:pPr>
          </w:p>
        </w:tc>
        <w:tc>
          <w:tcPr>
            <w:tcW w:w="994" w:type="dxa"/>
          </w:tcPr>
          <w:p w14:paraId="556EBF17" w14:textId="77777777" w:rsidR="00994315" w:rsidRPr="001D46BF" w:rsidRDefault="00994315" w:rsidP="0093102C">
            <w:pPr>
              <w:spacing w:before="120" w:after="120" w:line="240" w:lineRule="auto"/>
              <w:rPr>
                <w:rFonts w:cs="Arial"/>
                <w:sz w:val="16"/>
                <w:szCs w:val="16"/>
              </w:rPr>
            </w:pPr>
          </w:p>
        </w:tc>
      </w:tr>
      <w:tr w:rsidR="00994315" w:rsidRPr="009B54F4" w14:paraId="5505CBF9" w14:textId="77777777" w:rsidTr="00513A59">
        <w:tc>
          <w:tcPr>
            <w:tcW w:w="529" w:type="dxa"/>
            <w:vMerge/>
            <w:shd w:val="clear" w:color="auto" w:fill="auto"/>
          </w:tcPr>
          <w:p w14:paraId="335301EF"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127DEA5F" w14:textId="77777777" w:rsidR="00994315" w:rsidRPr="001D46BF" w:rsidRDefault="00994315" w:rsidP="0093102C">
            <w:pPr>
              <w:spacing w:before="120" w:after="120" w:line="240" w:lineRule="auto"/>
              <w:rPr>
                <w:rFonts w:cs="Arial"/>
                <w:b/>
                <w:sz w:val="16"/>
                <w:szCs w:val="16"/>
              </w:rPr>
            </w:pPr>
          </w:p>
        </w:tc>
        <w:tc>
          <w:tcPr>
            <w:tcW w:w="3829" w:type="dxa"/>
            <w:shd w:val="clear" w:color="auto" w:fill="auto"/>
          </w:tcPr>
          <w:p w14:paraId="0394E900" w14:textId="03866301" w:rsidR="00994315" w:rsidRPr="003203D5" w:rsidRDefault="00994315" w:rsidP="00D21EB9">
            <w:pPr>
              <w:pStyle w:val="Bullet"/>
              <w:numPr>
                <w:ilvl w:val="0"/>
                <w:numId w:val="0"/>
              </w:numPr>
              <w:spacing w:before="120" w:after="120"/>
            </w:pPr>
            <w:r>
              <w:t xml:space="preserve">Beurteilung, ob </w:t>
            </w:r>
            <w:r w:rsidR="00741A69" w:rsidRPr="00F33B1B">
              <w:t>für alle Zielländer länderspezifische Analysen von</w:t>
            </w:r>
            <w:r w:rsidR="00D21EB9">
              <w:t xml:space="preserve"> </w:t>
            </w:r>
            <w:r w:rsidR="00741A69" w:rsidRPr="00F33B1B">
              <w:t>erfahrenen Länderspezialisten unter Berücksichtigung aller auftretenden wesentlichen Risikoarten</w:t>
            </w:r>
            <w:r>
              <w:t xml:space="preserve"> (z.</w:t>
            </w:r>
            <w:r w:rsidR="00741A69">
              <w:t> </w:t>
            </w:r>
            <w:r>
              <w:t>B. rechtliche, zivilrechtliche, regulatorische Risiken usw.)</w:t>
            </w:r>
            <w:r w:rsidR="00741A69">
              <w:t xml:space="preserve"> durchgeführt wurden.</w:t>
            </w:r>
          </w:p>
        </w:tc>
        <w:tc>
          <w:tcPr>
            <w:tcW w:w="3827" w:type="dxa"/>
            <w:shd w:val="clear" w:color="auto" w:fill="auto"/>
          </w:tcPr>
          <w:p w14:paraId="02BB581B" w14:textId="1F9C2A93" w:rsidR="00994315" w:rsidRPr="003203D5" w:rsidRDefault="00326F45" w:rsidP="00326F45">
            <w:pPr>
              <w:pStyle w:val="Bullet"/>
              <w:numPr>
                <w:ilvl w:val="0"/>
                <w:numId w:val="0"/>
              </w:numPr>
              <w:spacing w:before="120" w:after="120"/>
            </w:pPr>
            <w:r w:rsidRPr="00F33B1B">
              <w:t>Auswahl einer Stichprobe von Ländermanuals und Überprüfung, ob die globale Geschäftsstrategie und die Dienstleistungsmodelle durchweg</w:t>
            </w:r>
            <w:r w:rsidR="00F5523D">
              <w:t>s</w:t>
            </w:r>
            <w:r w:rsidRPr="00F33B1B">
              <w:t xml:space="preserve"> im Einklang mit den Ergebnissen der Länderrisikoanalysen definiert wurden</w:t>
            </w:r>
            <w:r w:rsidR="00994315">
              <w:t>.</w:t>
            </w:r>
          </w:p>
        </w:tc>
        <w:tc>
          <w:tcPr>
            <w:tcW w:w="3542" w:type="dxa"/>
            <w:shd w:val="clear" w:color="auto" w:fill="auto"/>
          </w:tcPr>
          <w:p w14:paraId="682FB2A3" w14:textId="760C2017" w:rsidR="00994315" w:rsidRPr="001D46BF" w:rsidRDefault="00994315" w:rsidP="0093102C">
            <w:pPr>
              <w:spacing w:before="120" w:after="120" w:line="240" w:lineRule="auto"/>
              <w:rPr>
                <w:rFonts w:cs="Arial"/>
                <w:sz w:val="16"/>
                <w:szCs w:val="16"/>
              </w:rPr>
            </w:pPr>
          </w:p>
        </w:tc>
        <w:tc>
          <w:tcPr>
            <w:tcW w:w="994" w:type="dxa"/>
          </w:tcPr>
          <w:p w14:paraId="08E50537" w14:textId="77777777" w:rsidR="00994315" w:rsidRPr="001D46BF" w:rsidRDefault="00994315" w:rsidP="0093102C">
            <w:pPr>
              <w:spacing w:before="120" w:after="120" w:line="240" w:lineRule="auto"/>
              <w:rPr>
                <w:rFonts w:cs="Arial"/>
                <w:sz w:val="16"/>
                <w:szCs w:val="16"/>
              </w:rPr>
            </w:pPr>
          </w:p>
        </w:tc>
      </w:tr>
      <w:tr w:rsidR="00994315" w:rsidRPr="009B54F4" w14:paraId="51FE5571" w14:textId="77777777" w:rsidTr="00513A59">
        <w:tc>
          <w:tcPr>
            <w:tcW w:w="529" w:type="dxa"/>
            <w:shd w:val="clear" w:color="auto" w:fill="auto"/>
          </w:tcPr>
          <w:p w14:paraId="5A6EE3C0" w14:textId="77777777" w:rsidR="00994315" w:rsidRPr="001D46BF" w:rsidRDefault="00994315" w:rsidP="0093102C">
            <w:pPr>
              <w:spacing w:before="120" w:after="120" w:line="240" w:lineRule="auto"/>
              <w:rPr>
                <w:rFonts w:cs="Arial"/>
                <w:sz w:val="16"/>
                <w:szCs w:val="16"/>
              </w:rPr>
            </w:pPr>
          </w:p>
        </w:tc>
        <w:tc>
          <w:tcPr>
            <w:tcW w:w="1596" w:type="dxa"/>
            <w:shd w:val="clear" w:color="auto" w:fill="auto"/>
          </w:tcPr>
          <w:p w14:paraId="6B2423D9" w14:textId="77777777" w:rsidR="00994315" w:rsidRPr="00F95DA8" w:rsidRDefault="00994315" w:rsidP="0093102C">
            <w:pPr>
              <w:spacing w:before="120" w:after="120" w:line="240" w:lineRule="auto"/>
              <w:rPr>
                <w:rFonts w:cs="Arial"/>
                <w:b/>
                <w:sz w:val="16"/>
                <w:szCs w:val="16"/>
              </w:rPr>
            </w:pPr>
            <w:r>
              <w:rPr>
                <w:b/>
                <w:sz w:val="16"/>
              </w:rPr>
              <w:t>Organisation</w:t>
            </w:r>
          </w:p>
        </w:tc>
        <w:tc>
          <w:tcPr>
            <w:tcW w:w="3829" w:type="dxa"/>
            <w:shd w:val="clear" w:color="auto" w:fill="auto"/>
          </w:tcPr>
          <w:p w14:paraId="648039A2" w14:textId="62785C55" w:rsidR="00994315" w:rsidRPr="00F95DA8" w:rsidRDefault="00994315" w:rsidP="00A06E39">
            <w:pPr>
              <w:pStyle w:val="Bullet"/>
              <w:numPr>
                <w:ilvl w:val="0"/>
                <w:numId w:val="0"/>
              </w:numPr>
              <w:spacing w:before="120" w:after="120"/>
              <w:rPr>
                <w:color w:val="000000" w:themeColor="text1"/>
              </w:rPr>
            </w:pPr>
            <w:r>
              <w:t xml:space="preserve">Beurteilung der Angemessenheit des Organisationsmodells für grenzüberschreitende </w:t>
            </w:r>
            <w:r w:rsidR="0093439C">
              <w:t>Aktivitäten</w:t>
            </w:r>
            <w:r>
              <w:t xml:space="preserve"> (z. B. </w:t>
            </w:r>
            <w:r w:rsidR="00A06E39">
              <w:t xml:space="preserve">spezialisierte </w:t>
            </w:r>
            <w:r>
              <w:t xml:space="preserve">Abteilungen (Desks) pro Land/Gruppe ähnlicher Länder, </w:t>
            </w:r>
            <w:r w:rsidR="00A06E39">
              <w:t xml:space="preserve">spezialisierte </w:t>
            </w:r>
            <w:r>
              <w:t xml:space="preserve">Einheit für Intermediäre, Organisationsmodell für </w:t>
            </w:r>
            <w:r>
              <w:lastRenderedPageBreak/>
              <w:t>Nichtzielländer, Funktionentrennung) und des Supports durch interne und externe Experten</w:t>
            </w:r>
            <w:r w:rsidR="00400954">
              <w:t>.</w:t>
            </w:r>
          </w:p>
        </w:tc>
        <w:tc>
          <w:tcPr>
            <w:tcW w:w="3827" w:type="dxa"/>
            <w:shd w:val="clear" w:color="auto" w:fill="auto"/>
          </w:tcPr>
          <w:p w14:paraId="262FFB28" w14:textId="77777777" w:rsidR="00994315" w:rsidRPr="001D46BF" w:rsidRDefault="00994315" w:rsidP="0093102C">
            <w:pPr>
              <w:autoSpaceDE w:val="0"/>
              <w:autoSpaceDN w:val="0"/>
              <w:adjustRightInd w:val="0"/>
              <w:spacing w:before="120" w:after="120" w:line="240" w:lineRule="auto"/>
              <w:jc w:val="both"/>
            </w:pPr>
          </w:p>
        </w:tc>
        <w:tc>
          <w:tcPr>
            <w:tcW w:w="3542" w:type="dxa"/>
            <w:shd w:val="clear" w:color="auto" w:fill="auto"/>
          </w:tcPr>
          <w:p w14:paraId="19C2F850" w14:textId="77777777" w:rsidR="00994315" w:rsidRPr="001D46BF" w:rsidRDefault="00994315" w:rsidP="0093102C">
            <w:pPr>
              <w:spacing w:before="120" w:after="120" w:line="240" w:lineRule="auto"/>
              <w:rPr>
                <w:rFonts w:cs="Arial"/>
                <w:sz w:val="16"/>
                <w:szCs w:val="16"/>
              </w:rPr>
            </w:pPr>
          </w:p>
        </w:tc>
        <w:tc>
          <w:tcPr>
            <w:tcW w:w="994" w:type="dxa"/>
          </w:tcPr>
          <w:p w14:paraId="67BCD32D" w14:textId="77777777" w:rsidR="00994315" w:rsidRPr="001D46BF" w:rsidRDefault="00994315" w:rsidP="0093102C">
            <w:pPr>
              <w:spacing w:before="120" w:after="120" w:line="240" w:lineRule="auto"/>
              <w:rPr>
                <w:rFonts w:cs="Arial"/>
                <w:sz w:val="16"/>
                <w:szCs w:val="16"/>
              </w:rPr>
            </w:pPr>
          </w:p>
        </w:tc>
      </w:tr>
      <w:tr w:rsidR="00994315" w:rsidRPr="009B54F4" w14:paraId="69C71AB5" w14:textId="77777777" w:rsidTr="00513A59">
        <w:tc>
          <w:tcPr>
            <w:tcW w:w="529" w:type="dxa"/>
            <w:shd w:val="clear" w:color="auto" w:fill="auto"/>
          </w:tcPr>
          <w:p w14:paraId="25209FB4" w14:textId="77777777" w:rsidR="00994315" w:rsidRPr="00D22896" w:rsidRDefault="00994315" w:rsidP="0093102C">
            <w:pPr>
              <w:spacing w:before="120" w:after="120" w:line="240" w:lineRule="auto"/>
              <w:rPr>
                <w:rFonts w:cs="Arial"/>
                <w:sz w:val="16"/>
                <w:szCs w:val="16"/>
              </w:rPr>
            </w:pPr>
          </w:p>
        </w:tc>
        <w:tc>
          <w:tcPr>
            <w:tcW w:w="1596" w:type="dxa"/>
            <w:shd w:val="clear" w:color="auto" w:fill="auto"/>
          </w:tcPr>
          <w:p w14:paraId="6F9B7316" w14:textId="77777777" w:rsidR="00994315" w:rsidRPr="001D46BF" w:rsidRDefault="00994315" w:rsidP="0093102C">
            <w:pPr>
              <w:spacing w:before="120" w:after="120" w:line="240" w:lineRule="auto"/>
              <w:rPr>
                <w:rFonts w:cs="Arial"/>
                <w:b/>
                <w:sz w:val="16"/>
                <w:szCs w:val="16"/>
              </w:rPr>
            </w:pPr>
            <w:r>
              <w:rPr>
                <w:b/>
                <w:sz w:val="16"/>
              </w:rPr>
              <w:t xml:space="preserve">Überwachung </w:t>
            </w:r>
          </w:p>
        </w:tc>
        <w:tc>
          <w:tcPr>
            <w:tcW w:w="3829" w:type="dxa"/>
            <w:shd w:val="clear" w:color="auto" w:fill="auto"/>
          </w:tcPr>
          <w:p w14:paraId="399B03C3" w14:textId="7369DFD6" w:rsidR="004B0980" w:rsidRPr="008D3549" w:rsidRDefault="00994315" w:rsidP="0093102C">
            <w:pPr>
              <w:pStyle w:val="Bullet"/>
              <w:numPr>
                <w:ilvl w:val="0"/>
                <w:numId w:val="0"/>
              </w:numPr>
              <w:spacing w:before="120" w:after="120"/>
            </w:pPr>
            <w:r>
              <w:t xml:space="preserve">Beurteilen, ob die Geschäftsleitung und der Verwaltungsrat angemessene periodische </w:t>
            </w:r>
            <w:r w:rsidR="0065022C">
              <w:t>Managementb</w:t>
            </w:r>
            <w:r>
              <w:t>erichte erhalten (z.</w:t>
            </w:r>
            <w:r w:rsidR="0065022C">
              <w:t> </w:t>
            </w:r>
            <w:r>
              <w:t xml:space="preserve">B. </w:t>
            </w:r>
            <w:r w:rsidR="0065022C">
              <w:t>grösste R</w:t>
            </w:r>
            <w:r>
              <w:t xml:space="preserve">isiken, Kundenvolumen </w:t>
            </w:r>
            <w:r w:rsidR="0065022C">
              <w:t xml:space="preserve">nach </w:t>
            </w:r>
            <w:r>
              <w:t xml:space="preserve">Markt, Volumen </w:t>
            </w:r>
            <w:r w:rsidR="0065022C">
              <w:t xml:space="preserve">nach </w:t>
            </w:r>
            <w:r>
              <w:t>Intermediär, erzielte Fortschritte</w:t>
            </w:r>
            <w:r w:rsidR="0065022C">
              <w:t xml:space="preserve"> im Vergleich zu strategischen Plänen</w:t>
            </w:r>
            <w:r>
              <w:t>, Aktualisierung der Länder</w:t>
            </w:r>
            <w:r w:rsidR="0065022C">
              <w:t>manuals</w:t>
            </w:r>
            <w:r>
              <w:t>, Schulungsstatistiken).</w:t>
            </w:r>
          </w:p>
        </w:tc>
        <w:tc>
          <w:tcPr>
            <w:tcW w:w="3827" w:type="dxa"/>
            <w:shd w:val="clear" w:color="auto" w:fill="auto"/>
          </w:tcPr>
          <w:p w14:paraId="0AEC118E" w14:textId="77777777" w:rsidR="00994315" w:rsidRPr="001D46BF" w:rsidRDefault="00994315" w:rsidP="0093102C">
            <w:pPr>
              <w:pStyle w:val="Bullet"/>
              <w:numPr>
                <w:ilvl w:val="0"/>
                <w:numId w:val="0"/>
              </w:numPr>
              <w:spacing w:before="120" w:after="120"/>
            </w:pPr>
          </w:p>
        </w:tc>
        <w:tc>
          <w:tcPr>
            <w:tcW w:w="3542" w:type="dxa"/>
            <w:shd w:val="clear" w:color="auto" w:fill="auto"/>
          </w:tcPr>
          <w:p w14:paraId="1D6A3387" w14:textId="77777777" w:rsidR="00994315" w:rsidRPr="001D46BF" w:rsidRDefault="00994315" w:rsidP="0093102C">
            <w:pPr>
              <w:spacing w:before="120" w:after="120" w:line="240" w:lineRule="auto"/>
              <w:rPr>
                <w:rFonts w:cs="Arial"/>
                <w:sz w:val="16"/>
                <w:szCs w:val="16"/>
              </w:rPr>
            </w:pPr>
          </w:p>
        </w:tc>
        <w:tc>
          <w:tcPr>
            <w:tcW w:w="994" w:type="dxa"/>
          </w:tcPr>
          <w:p w14:paraId="0E478BB3" w14:textId="77777777" w:rsidR="00994315" w:rsidRPr="001D46BF" w:rsidRDefault="00994315" w:rsidP="0093102C">
            <w:pPr>
              <w:spacing w:before="120" w:after="120" w:line="240" w:lineRule="auto"/>
              <w:rPr>
                <w:rFonts w:cs="Arial"/>
                <w:sz w:val="16"/>
                <w:szCs w:val="16"/>
              </w:rPr>
            </w:pPr>
          </w:p>
        </w:tc>
      </w:tr>
      <w:tr w:rsidR="00994315" w:rsidRPr="009B54F4" w14:paraId="730CF5F2" w14:textId="77777777" w:rsidTr="00513A59">
        <w:tc>
          <w:tcPr>
            <w:tcW w:w="529" w:type="dxa"/>
            <w:shd w:val="clear" w:color="auto" w:fill="auto"/>
          </w:tcPr>
          <w:p w14:paraId="165872F0" w14:textId="77777777" w:rsidR="00994315" w:rsidRPr="001D46BF" w:rsidRDefault="00994315" w:rsidP="0093102C">
            <w:pPr>
              <w:spacing w:before="120" w:after="120" w:line="240" w:lineRule="auto"/>
              <w:rPr>
                <w:rFonts w:cs="Arial"/>
                <w:sz w:val="16"/>
                <w:szCs w:val="16"/>
              </w:rPr>
            </w:pPr>
          </w:p>
        </w:tc>
        <w:tc>
          <w:tcPr>
            <w:tcW w:w="1596" w:type="dxa"/>
            <w:shd w:val="clear" w:color="auto" w:fill="auto"/>
          </w:tcPr>
          <w:p w14:paraId="5A3E2B37" w14:textId="77777777" w:rsidR="00994315" w:rsidRDefault="00994315" w:rsidP="0093102C">
            <w:pPr>
              <w:spacing w:before="120" w:after="120" w:line="240" w:lineRule="auto"/>
              <w:rPr>
                <w:rFonts w:cs="Arial"/>
                <w:b/>
                <w:sz w:val="16"/>
                <w:szCs w:val="16"/>
              </w:rPr>
            </w:pPr>
            <w:r>
              <w:rPr>
                <w:b/>
                <w:sz w:val="16"/>
              </w:rPr>
              <w:t>Schulung und Ausbildung</w:t>
            </w:r>
          </w:p>
        </w:tc>
        <w:tc>
          <w:tcPr>
            <w:tcW w:w="3829" w:type="dxa"/>
            <w:shd w:val="clear" w:color="auto" w:fill="auto"/>
          </w:tcPr>
          <w:p w14:paraId="6B74C970" w14:textId="09005EAF" w:rsidR="00994315" w:rsidRPr="00F95DA8" w:rsidRDefault="00994315" w:rsidP="0093439C">
            <w:pPr>
              <w:pStyle w:val="Bullet"/>
              <w:numPr>
                <w:ilvl w:val="0"/>
                <w:numId w:val="0"/>
              </w:numPr>
              <w:spacing w:before="120" w:after="120"/>
            </w:pPr>
            <w:r>
              <w:t>Beurteilen, ob die Schulungen</w:t>
            </w:r>
            <w:r w:rsidR="00A06E39">
              <w:t xml:space="preserve"> zu grenzüberschreitenden Aktivitäten</w:t>
            </w:r>
            <w:r>
              <w:t xml:space="preserve"> (Umfang, Häufigkeit, Instruktoren, Aktualität, interne Kontrollen) für Mitarbeitende, die </w:t>
            </w:r>
            <w:r w:rsidR="001F1C1B">
              <w:t>mit den</w:t>
            </w:r>
            <w:r>
              <w:t xml:space="preserve"> grenzüberschreitenden Aktivitäten des Instituts </w:t>
            </w:r>
            <w:r w:rsidR="001F1C1B">
              <w:t>zu tun haben</w:t>
            </w:r>
            <w:r w:rsidR="00400954">
              <w:t>, angemessen sind</w:t>
            </w:r>
            <w:r>
              <w:t>.</w:t>
            </w:r>
          </w:p>
        </w:tc>
        <w:tc>
          <w:tcPr>
            <w:tcW w:w="3827" w:type="dxa"/>
            <w:shd w:val="clear" w:color="auto" w:fill="auto"/>
          </w:tcPr>
          <w:p w14:paraId="00B0B4E0" w14:textId="6B986D42" w:rsidR="005B30DC" w:rsidRDefault="00994315" w:rsidP="0093102C">
            <w:pPr>
              <w:pStyle w:val="Bullet"/>
              <w:numPr>
                <w:ilvl w:val="0"/>
                <w:numId w:val="0"/>
              </w:numPr>
              <w:spacing w:before="120" w:after="120"/>
            </w:pPr>
            <w:r>
              <w:t xml:space="preserve">Auf der Basis von Stichproben prüfen, ob die Mitarbeitenden die vom Institut für obligatorisch erklärten Schulungen besucht und allenfalls auch Prüfungen </w:t>
            </w:r>
            <w:r w:rsidR="00F5523D">
              <w:t xml:space="preserve">bestanden </w:t>
            </w:r>
            <w:r>
              <w:t>haben.</w:t>
            </w:r>
          </w:p>
          <w:p w14:paraId="676217B1" w14:textId="77777777" w:rsidR="005B30DC" w:rsidRPr="00F95DA8" w:rsidRDefault="005B30DC" w:rsidP="005B30DC">
            <w:pPr>
              <w:pStyle w:val="Bullet"/>
              <w:numPr>
                <w:ilvl w:val="0"/>
                <w:numId w:val="0"/>
              </w:numPr>
              <w:spacing w:before="0" w:after="0"/>
            </w:pPr>
          </w:p>
          <w:p w14:paraId="55CD792C" w14:textId="7E72F321" w:rsidR="00994315" w:rsidRPr="00F95DA8" w:rsidRDefault="00994315" w:rsidP="005B30DC">
            <w:pPr>
              <w:pStyle w:val="Bullet"/>
              <w:numPr>
                <w:ilvl w:val="0"/>
                <w:numId w:val="0"/>
              </w:numPr>
              <w:spacing w:before="0" w:after="0"/>
            </w:pPr>
          </w:p>
        </w:tc>
        <w:tc>
          <w:tcPr>
            <w:tcW w:w="3542" w:type="dxa"/>
            <w:shd w:val="clear" w:color="auto" w:fill="auto"/>
          </w:tcPr>
          <w:p w14:paraId="46AE652D" w14:textId="77777777" w:rsidR="00994315" w:rsidRPr="001D46BF" w:rsidRDefault="00994315" w:rsidP="0093102C">
            <w:pPr>
              <w:spacing w:before="120" w:after="120" w:line="240" w:lineRule="auto"/>
              <w:rPr>
                <w:rFonts w:cs="Arial"/>
                <w:sz w:val="16"/>
                <w:szCs w:val="16"/>
              </w:rPr>
            </w:pPr>
          </w:p>
        </w:tc>
        <w:tc>
          <w:tcPr>
            <w:tcW w:w="994" w:type="dxa"/>
          </w:tcPr>
          <w:p w14:paraId="2B6C412C" w14:textId="77777777" w:rsidR="00994315" w:rsidRPr="001D46BF" w:rsidRDefault="00994315" w:rsidP="0093102C">
            <w:pPr>
              <w:spacing w:before="120" w:after="120" w:line="240" w:lineRule="auto"/>
              <w:rPr>
                <w:rFonts w:cs="Arial"/>
                <w:sz w:val="16"/>
                <w:szCs w:val="16"/>
              </w:rPr>
            </w:pPr>
          </w:p>
        </w:tc>
      </w:tr>
      <w:tr w:rsidR="00994315" w:rsidRPr="009B54F4" w14:paraId="45266576" w14:textId="77777777" w:rsidTr="00513A59">
        <w:tc>
          <w:tcPr>
            <w:tcW w:w="529" w:type="dxa"/>
            <w:vMerge w:val="restart"/>
            <w:shd w:val="clear" w:color="auto" w:fill="auto"/>
          </w:tcPr>
          <w:p w14:paraId="53443142" w14:textId="77777777" w:rsidR="00994315" w:rsidRPr="001D46BF" w:rsidRDefault="00994315" w:rsidP="0093102C">
            <w:pPr>
              <w:spacing w:before="120" w:after="120" w:line="240" w:lineRule="auto"/>
              <w:rPr>
                <w:rFonts w:cs="Arial"/>
                <w:sz w:val="16"/>
                <w:szCs w:val="16"/>
              </w:rPr>
            </w:pPr>
          </w:p>
        </w:tc>
        <w:tc>
          <w:tcPr>
            <w:tcW w:w="1596" w:type="dxa"/>
            <w:vMerge w:val="restart"/>
            <w:shd w:val="clear" w:color="auto" w:fill="auto"/>
          </w:tcPr>
          <w:p w14:paraId="7A22A3FD" w14:textId="1AE6269C" w:rsidR="00994315" w:rsidRDefault="00994315" w:rsidP="0093102C">
            <w:pPr>
              <w:spacing w:before="120" w:after="120" w:line="240" w:lineRule="auto"/>
              <w:rPr>
                <w:rFonts w:cs="Arial"/>
                <w:b/>
                <w:sz w:val="16"/>
                <w:szCs w:val="16"/>
              </w:rPr>
            </w:pPr>
            <w:r>
              <w:rPr>
                <w:b/>
                <w:sz w:val="16"/>
              </w:rPr>
              <w:t>Vergütungs</w:t>
            </w:r>
            <w:r w:rsidR="00D850DD">
              <w:rPr>
                <w:b/>
                <w:sz w:val="16"/>
              </w:rPr>
              <w:t>modelle</w:t>
            </w:r>
          </w:p>
        </w:tc>
        <w:tc>
          <w:tcPr>
            <w:tcW w:w="3829" w:type="dxa"/>
            <w:shd w:val="clear" w:color="auto" w:fill="auto"/>
          </w:tcPr>
          <w:p w14:paraId="1DFA1A26" w14:textId="392BEC55" w:rsidR="00994315" w:rsidRPr="003203D5" w:rsidRDefault="00994315" w:rsidP="00D850DD">
            <w:pPr>
              <w:pStyle w:val="Bullet"/>
              <w:numPr>
                <w:ilvl w:val="0"/>
                <w:numId w:val="0"/>
              </w:numPr>
              <w:spacing w:before="120" w:after="120"/>
            </w:pPr>
            <w:r>
              <w:rPr>
                <w:i/>
              </w:rPr>
              <w:t xml:space="preserve">Beurteilen, ob die </w:t>
            </w:r>
            <w:r w:rsidR="00D850DD">
              <w:rPr>
                <w:i/>
              </w:rPr>
              <w:t xml:space="preserve">Vergütungsmodelle </w:t>
            </w:r>
            <w:r w:rsidR="003A2906">
              <w:rPr>
                <w:i/>
              </w:rPr>
              <w:t>in Bezug auf</w:t>
            </w:r>
            <w:r>
              <w:rPr>
                <w:i/>
              </w:rPr>
              <w:t xml:space="preserve"> Anreize für Kundenberater und andere Mitarbeitende für die Kundenakquisition und -bindung i</w:t>
            </w:r>
            <w:r w:rsidR="00067CEE">
              <w:rPr>
                <w:i/>
              </w:rPr>
              <w:t>m</w:t>
            </w:r>
            <w:r>
              <w:rPr>
                <w:i/>
              </w:rPr>
              <w:t xml:space="preserve"> </w:t>
            </w:r>
            <w:r w:rsidR="003A2906">
              <w:rPr>
                <w:i/>
              </w:rPr>
              <w:t xml:space="preserve">Zusammenhang mit dem </w:t>
            </w:r>
            <w:r w:rsidR="00FE1336">
              <w:rPr>
                <w:i/>
              </w:rPr>
              <w:t xml:space="preserve">Risiko aus dem </w:t>
            </w:r>
            <w:r>
              <w:rPr>
                <w:i/>
              </w:rPr>
              <w:t xml:space="preserve">grenzüberschreitenden </w:t>
            </w:r>
            <w:r w:rsidR="00FE1336">
              <w:rPr>
                <w:i/>
              </w:rPr>
              <w:t>Geschäft</w:t>
            </w:r>
            <w:r>
              <w:rPr>
                <w:i/>
              </w:rPr>
              <w:t xml:space="preserve"> angemessen </w:t>
            </w:r>
            <w:r w:rsidR="003A2906">
              <w:rPr>
                <w:i/>
              </w:rPr>
              <w:t>ist, namentlich</w:t>
            </w:r>
          </w:p>
        </w:tc>
        <w:tc>
          <w:tcPr>
            <w:tcW w:w="3827" w:type="dxa"/>
            <w:shd w:val="clear" w:color="auto" w:fill="auto"/>
          </w:tcPr>
          <w:p w14:paraId="1EC9D363" w14:textId="77777777" w:rsidR="00994315" w:rsidRPr="001D46BF" w:rsidRDefault="00994315" w:rsidP="0093102C">
            <w:pPr>
              <w:autoSpaceDE w:val="0"/>
              <w:autoSpaceDN w:val="0"/>
              <w:adjustRightInd w:val="0"/>
              <w:spacing w:before="120" w:after="120" w:line="240" w:lineRule="auto"/>
              <w:jc w:val="both"/>
            </w:pPr>
          </w:p>
        </w:tc>
        <w:tc>
          <w:tcPr>
            <w:tcW w:w="3542" w:type="dxa"/>
            <w:shd w:val="clear" w:color="auto" w:fill="auto"/>
          </w:tcPr>
          <w:p w14:paraId="3FBF3D8E" w14:textId="77777777" w:rsidR="00994315" w:rsidRPr="001D46BF" w:rsidRDefault="00994315" w:rsidP="0093102C">
            <w:pPr>
              <w:spacing w:before="120" w:after="120" w:line="240" w:lineRule="auto"/>
              <w:rPr>
                <w:rFonts w:cs="Arial"/>
                <w:sz w:val="16"/>
                <w:szCs w:val="16"/>
              </w:rPr>
            </w:pPr>
          </w:p>
        </w:tc>
        <w:tc>
          <w:tcPr>
            <w:tcW w:w="994" w:type="dxa"/>
          </w:tcPr>
          <w:p w14:paraId="26A93A18" w14:textId="77777777" w:rsidR="00994315" w:rsidRPr="001D46BF" w:rsidRDefault="00994315" w:rsidP="0093102C">
            <w:pPr>
              <w:spacing w:before="120" w:after="120" w:line="240" w:lineRule="auto"/>
              <w:rPr>
                <w:rFonts w:cs="Arial"/>
                <w:sz w:val="16"/>
                <w:szCs w:val="16"/>
              </w:rPr>
            </w:pPr>
          </w:p>
        </w:tc>
      </w:tr>
      <w:tr w:rsidR="00994315" w:rsidRPr="009B54F4" w14:paraId="75E8F8C2" w14:textId="77777777" w:rsidTr="00513A59">
        <w:tc>
          <w:tcPr>
            <w:tcW w:w="529" w:type="dxa"/>
            <w:vMerge/>
            <w:shd w:val="clear" w:color="auto" w:fill="auto"/>
          </w:tcPr>
          <w:p w14:paraId="6D0F494A" w14:textId="77777777" w:rsidR="00994315" w:rsidRPr="001D46BF" w:rsidRDefault="00994315" w:rsidP="0093102C">
            <w:pPr>
              <w:spacing w:before="120" w:after="120" w:line="240" w:lineRule="auto"/>
              <w:rPr>
                <w:rFonts w:cs="Arial"/>
                <w:sz w:val="16"/>
                <w:szCs w:val="16"/>
              </w:rPr>
            </w:pPr>
          </w:p>
        </w:tc>
        <w:tc>
          <w:tcPr>
            <w:tcW w:w="1596" w:type="dxa"/>
            <w:vMerge/>
            <w:shd w:val="clear" w:color="auto" w:fill="auto"/>
          </w:tcPr>
          <w:p w14:paraId="7E7B8B86" w14:textId="77777777" w:rsidR="00994315" w:rsidRDefault="00994315" w:rsidP="0093102C">
            <w:pPr>
              <w:spacing w:before="120" w:after="120" w:line="240" w:lineRule="auto"/>
              <w:rPr>
                <w:rFonts w:cs="Arial"/>
                <w:b/>
                <w:sz w:val="16"/>
                <w:szCs w:val="16"/>
              </w:rPr>
            </w:pPr>
          </w:p>
        </w:tc>
        <w:tc>
          <w:tcPr>
            <w:tcW w:w="3829" w:type="dxa"/>
            <w:shd w:val="clear" w:color="auto" w:fill="auto"/>
          </w:tcPr>
          <w:p w14:paraId="64A48665" w14:textId="51A45F48" w:rsidR="00994315" w:rsidRPr="008D24DD" w:rsidRDefault="00E63F2D" w:rsidP="0093102C">
            <w:pPr>
              <w:autoSpaceDE w:val="0"/>
              <w:autoSpaceDN w:val="0"/>
              <w:adjustRightInd w:val="0"/>
              <w:spacing w:before="120" w:after="120" w:line="240" w:lineRule="auto"/>
              <w:jc w:val="both"/>
              <w:rPr>
                <w:rFonts w:cs="Arial"/>
                <w:sz w:val="16"/>
                <w:szCs w:val="16"/>
              </w:rPr>
            </w:pPr>
            <w:r>
              <w:rPr>
                <w:sz w:val="16"/>
              </w:rPr>
              <w:t xml:space="preserve">Mittels </w:t>
            </w:r>
            <w:r w:rsidR="00994315">
              <w:rPr>
                <w:sz w:val="16"/>
              </w:rPr>
              <w:t>Befragungen und Durchsicht relevanter Dokumente beurteilen, ob die Entscheide des Instituts in Bezug auf folgende Punkte angemessen sind:</w:t>
            </w:r>
          </w:p>
          <w:p w14:paraId="78D0B467" w14:textId="0C1CF28E" w:rsidR="00994315" w:rsidRPr="00993D8C" w:rsidRDefault="00994315" w:rsidP="003B049E">
            <w:pPr>
              <w:autoSpaceDE w:val="0"/>
              <w:autoSpaceDN w:val="0"/>
              <w:adjustRightInd w:val="0"/>
              <w:spacing w:before="120" w:after="120" w:line="240" w:lineRule="auto"/>
              <w:jc w:val="both"/>
              <w:rPr>
                <w:rFonts w:cs="Arial"/>
                <w:szCs w:val="16"/>
              </w:rPr>
            </w:pPr>
            <w:r w:rsidRPr="003B049E">
              <w:rPr>
                <w:sz w:val="16"/>
              </w:rPr>
              <w:t>Vergütungs</w:t>
            </w:r>
            <w:r w:rsidR="00D850DD">
              <w:rPr>
                <w:sz w:val="16"/>
              </w:rPr>
              <w:t>modelle</w:t>
            </w:r>
            <w:r w:rsidRPr="003B049E">
              <w:rPr>
                <w:sz w:val="16"/>
              </w:rPr>
              <w:t xml:space="preserve"> in Bezug auf </w:t>
            </w:r>
            <w:r w:rsidR="00DD551F" w:rsidRPr="003B049E">
              <w:rPr>
                <w:sz w:val="16"/>
              </w:rPr>
              <w:t xml:space="preserve">Risiken aus dem </w:t>
            </w:r>
            <w:r w:rsidRPr="003B049E">
              <w:rPr>
                <w:sz w:val="16"/>
              </w:rPr>
              <w:t>grenzüberschreitende</w:t>
            </w:r>
            <w:r w:rsidR="00DD551F" w:rsidRPr="003B049E">
              <w:rPr>
                <w:sz w:val="16"/>
              </w:rPr>
              <w:t>n</w:t>
            </w:r>
            <w:r w:rsidRPr="003B049E">
              <w:rPr>
                <w:sz w:val="16"/>
              </w:rPr>
              <w:t xml:space="preserve"> </w:t>
            </w:r>
            <w:r w:rsidR="00DD551F" w:rsidRPr="003B049E">
              <w:rPr>
                <w:sz w:val="16"/>
              </w:rPr>
              <w:t>Geschäft</w:t>
            </w:r>
            <w:r w:rsidRPr="003B049E">
              <w:rPr>
                <w:sz w:val="16"/>
              </w:rPr>
              <w:t xml:space="preserve">, insbesondere </w:t>
            </w:r>
            <w:r w:rsidR="00D850DD">
              <w:rPr>
                <w:sz w:val="16"/>
              </w:rPr>
              <w:t xml:space="preserve">bezüglich Verhinderung falscher </w:t>
            </w:r>
            <w:r w:rsidRPr="003B049E">
              <w:rPr>
                <w:sz w:val="16"/>
              </w:rPr>
              <w:t xml:space="preserve">Anreize für die Kundenakquisition und -bindung, </w:t>
            </w:r>
            <w:r w:rsidR="00E63F2D" w:rsidRPr="003B049E">
              <w:rPr>
                <w:sz w:val="16"/>
              </w:rPr>
              <w:t xml:space="preserve">Sanktionen </w:t>
            </w:r>
            <w:r w:rsidRPr="003B049E">
              <w:rPr>
                <w:sz w:val="16"/>
              </w:rPr>
              <w:t>bei Verstössen und Förderung gute</w:t>
            </w:r>
            <w:r w:rsidR="00006D53" w:rsidRPr="003B049E">
              <w:rPr>
                <w:sz w:val="16"/>
              </w:rPr>
              <w:t>r</w:t>
            </w:r>
            <w:r w:rsidRPr="003B049E">
              <w:rPr>
                <w:sz w:val="16"/>
              </w:rPr>
              <w:t xml:space="preserve"> Compliance</w:t>
            </w:r>
            <w:r w:rsidR="00A12944" w:rsidRPr="003B049E">
              <w:rPr>
                <w:sz w:val="16"/>
              </w:rPr>
              <w:t>,</w:t>
            </w:r>
            <w:r w:rsidRPr="003B049E">
              <w:rPr>
                <w:sz w:val="16"/>
              </w:rPr>
              <w:t xml:space="preserve"> und </w:t>
            </w:r>
            <w:r w:rsidRPr="003B049E">
              <w:rPr>
                <w:sz w:val="16"/>
              </w:rPr>
              <w:lastRenderedPageBreak/>
              <w:t xml:space="preserve">ob </w:t>
            </w:r>
            <w:r w:rsidR="00A12944" w:rsidRPr="003B049E">
              <w:rPr>
                <w:sz w:val="16"/>
              </w:rPr>
              <w:t>sie</w:t>
            </w:r>
            <w:r w:rsidRPr="003B049E">
              <w:rPr>
                <w:sz w:val="16"/>
              </w:rPr>
              <w:t xml:space="preserve"> mit </w:t>
            </w:r>
            <w:r w:rsidR="00A12944" w:rsidRPr="003B049E">
              <w:rPr>
                <w:sz w:val="16"/>
              </w:rPr>
              <w:t xml:space="preserve">dem </w:t>
            </w:r>
            <w:r w:rsidRPr="003B049E">
              <w:rPr>
                <w:sz w:val="16"/>
              </w:rPr>
              <w:t xml:space="preserve">allgemeinen </w:t>
            </w:r>
            <w:r w:rsidR="00A12944" w:rsidRPr="003B049E">
              <w:rPr>
                <w:sz w:val="16"/>
              </w:rPr>
              <w:t xml:space="preserve">Rahmen der </w:t>
            </w:r>
            <w:r w:rsidRPr="003B049E">
              <w:rPr>
                <w:sz w:val="16"/>
              </w:rPr>
              <w:t xml:space="preserve">Vergütungspolitik des Instituts </w:t>
            </w:r>
            <w:r w:rsidR="00A12944" w:rsidRPr="003B049E">
              <w:rPr>
                <w:sz w:val="16"/>
              </w:rPr>
              <w:t xml:space="preserve">im </w:t>
            </w:r>
            <w:r w:rsidRPr="003B049E">
              <w:rPr>
                <w:sz w:val="16"/>
              </w:rPr>
              <w:t xml:space="preserve">Einklang </w:t>
            </w:r>
            <w:r w:rsidR="00A12944" w:rsidRPr="003B049E">
              <w:rPr>
                <w:sz w:val="16"/>
              </w:rPr>
              <w:t>ist</w:t>
            </w:r>
          </w:p>
        </w:tc>
        <w:tc>
          <w:tcPr>
            <w:tcW w:w="3827" w:type="dxa"/>
            <w:shd w:val="clear" w:color="auto" w:fill="auto"/>
          </w:tcPr>
          <w:p w14:paraId="6AA8A170" w14:textId="09D42E94" w:rsidR="00994315" w:rsidRPr="001D46BF" w:rsidRDefault="00994315" w:rsidP="003B049E">
            <w:pPr>
              <w:autoSpaceDE w:val="0"/>
              <w:autoSpaceDN w:val="0"/>
              <w:adjustRightInd w:val="0"/>
              <w:spacing w:before="120" w:after="120" w:line="240" w:lineRule="auto"/>
              <w:jc w:val="both"/>
            </w:pPr>
            <w:r>
              <w:rPr>
                <w:sz w:val="16"/>
              </w:rPr>
              <w:lastRenderedPageBreak/>
              <w:t xml:space="preserve">Auf der Basis von Stichproben und mit Fokus auf grenzüberschreitende Aspekte prüfen, </w:t>
            </w:r>
            <w:r w:rsidRPr="003B049E">
              <w:rPr>
                <w:sz w:val="16"/>
              </w:rPr>
              <w:t xml:space="preserve">ob die </w:t>
            </w:r>
            <w:r w:rsidR="00D850DD">
              <w:rPr>
                <w:sz w:val="16"/>
              </w:rPr>
              <w:t>Vergütungsmodelle</w:t>
            </w:r>
            <w:r w:rsidR="00D850DD" w:rsidRPr="003B049E">
              <w:rPr>
                <w:sz w:val="16"/>
              </w:rPr>
              <w:t xml:space="preserve"> </w:t>
            </w:r>
            <w:r w:rsidRPr="003B049E">
              <w:rPr>
                <w:sz w:val="16"/>
              </w:rPr>
              <w:t xml:space="preserve">eingehalten </w:t>
            </w:r>
            <w:r w:rsidR="009033E9" w:rsidRPr="003B049E">
              <w:rPr>
                <w:sz w:val="16"/>
              </w:rPr>
              <w:t>wurde</w:t>
            </w:r>
            <w:r w:rsidR="00D850DD">
              <w:rPr>
                <w:sz w:val="16"/>
              </w:rPr>
              <w:t>n</w:t>
            </w:r>
            <w:r w:rsidR="009033E9" w:rsidRPr="003B049E">
              <w:rPr>
                <w:sz w:val="16"/>
              </w:rPr>
              <w:t xml:space="preserve"> </w:t>
            </w:r>
            <w:r w:rsidRPr="003B049E">
              <w:rPr>
                <w:sz w:val="16"/>
              </w:rPr>
              <w:t xml:space="preserve">und </w:t>
            </w:r>
            <w:r w:rsidR="009033E9" w:rsidRPr="003B049E">
              <w:rPr>
                <w:sz w:val="16"/>
              </w:rPr>
              <w:t xml:space="preserve">ob </w:t>
            </w:r>
            <w:r w:rsidRPr="003B049E">
              <w:rPr>
                <w:sz w:val="16"/>
              </w:rPr>
              <w:t>keine Ziele definiert wurden, die den internen Richtlinien widersprechen.</w:t>
            </w:r>
          </w:p>
        </w:tc>
        <w:tc>
          <w:tcPr>
            <w:tcW w:w="3542" w:type="dxa"/>
            <w:shd w:val="clear" w:color="auto" w:fill="auto"/>
          </w:tcPr>
          <w:p w14:paraId="6246407E" w14:textId="77777777" w:rsidR="00994315" w:rsidRPr="001D46BF" w:rsidRDefault="00994315" w:rsidP="0093102C">
            <w:pPr>
              <w:spacing w:before="120" w:after="120" w:line="240" w:lineRule="auto"/>
              <w:rPr>
                <w:rFonts w:cs="Arial"/>
                <w:sz w:val="16"/>
                <w:szCs w:val="16"/>
              </w:rPr>
            </w:pPr>
          </w:p>
        </w:tc>
        <w:tc>
          <w:tcPr>
            <w:tcW w:w="994" w:type="dxa"/>
          </w:tcPr>
          <w:p w14:paraId="3C2516D0" w14:textId="77777777" w:rsidR="00994315" w:rsidRPr="001D46BF" w:rsidRDefault="00994315" w:rsidP="0093102C">
            <w:pPr>
              <w:spacing w:before="120" w:after="120" w:line="240" w:lineRule="auto"/>
              <w:rPr>
                <w:rFonts w:cs="Arial"/>
                <w:sz w:val="16"/>
                <w:szCs w:val="16"/>
              </w:rPr>
            </w:pPr>
          </w:p>
        </w:tc>
      </w:tr>
      <w:tr w:rsidR="00994315" w:rsidRPr="009B54F4" w14:paraId="6C2EBCAA" w14:textId="77777777" w:rsidTr="00513A59">
        <w:tc>
          <w:tcPr>
            <w:tcW w:w="529" w:type="dxa"/>
            <w:vMerge w:val="restart"/>
            <w:shd w:val="clear" w:color="auto" w:fill="auto"/>
          </w:tcPr>
          <w:p w14:paraId="059C2A75" w14:textId="77777777" w:rsidR="00994315" w:rsidRPr="00200356" w:rsidRDefault="00994315" w:rsidP="0093102C">
            <w:pPr>
              <w:spacing w:before="120" w:after="120" w:line="240" w:lineRule="auto"/>
              <w:rPr>
                <w:rFonts w:cs="Arial"/>
                <w:sz w:val="16"/>
                <w:szCs w:val="16"/>
              </w:rPr>
            </w:pPr>
          </w:p>
        </w:tc>
        <w:tc>
          <w:tcPr>
            <w:tcW w:w="1596" w:type="dxa"/>
            <w:vMerge w:val="restart"/>
            <w:shd w:val="clear" w:color="auto" w:fill="auto"/>
          </w:tcPr>
          <w:p w14:paraId="53158745" w14:textId="2C0B8D6E" w:rsidR="00994315" w:rsidRPr="004B65A1" w:rsidRDefault="00994315" w:rsidP="00E63F2D">
            <w:pPr>
              <w:spacing w:before="120" w:after="120" w:line="240" w:lineRule="auto"/>
              <w:rPr>
                <w:rFonts w:cs="Arial"/>
                <w:b/>
                <w:sz w:val="16"/>
                <w:szCs w:val="16"/>
              </w:rPr>
            </w:pPr>
            <w:r>
              <w:rPr>
                <w:b/>
                <w:sz w:val="16"/>
              </w:rPr>
              <w:t>Einhaltung der bestehenden Risikopolitik</w:t>
            </w:r>
          </w:p>
        </w:tc>
        <w:tc>
          <w:tcPr>
            <w:tcW w:w="3829" w:type="dxa"/>
            <w:shd w:val="clear" w:color="auto" w:fill="auto"/>
          </w:tcPr>
          <w:p w14:paraId="7BF347D1" w14:textId="1A8A1F07" w:rsidR="00994315" w:rsidRPr="00DB0DF5" w:rsidRDefault="00994315" w:rsidP="007913AC">
            <w:pPr>
              <w:pStyle w:val="Bullet"/>
              <w:numPr>
                <w:ilvl w:val="0"/>
                <w:numId w:val="0"/>
              </w:numPr>
              <w:spacing w:before="120" w:after="120"/>
            </w:pPr>
            <w:r>
              <w:rPr>
                <w:i/>
              </w:rPr>
              <w:t xml:space="preserve">Beurteilen, ob die Risikopolitik in Bezug auf </w:t>
            </w:r>
            <w:r w:rsidR="00FE1336">
              <w:rPr>
                <w:i/>
              </w:rPr>
              <w:t xml:space="preserve">das </w:t>
            </w:r>
            <w:r w:rsidR="00082887">
              <w:rPr>
                <w:i/>
              </w:rPr>
              <w:t>Risiko</w:t>
            </w:r>
            <w:r>
              <w:rPr>
                <w:i/>
              </w:rPr>
              <w:t xml:space="preserve"> aus </w:t>
            </w:r>
            <w:r w:rsidR="00FE1336">
              <w:rPr>
                <w:i/>
              </w:rPr>
              <w:t xml:space="preserve">dem </w:t>
            </w:r>
            <w:r>
              <w:rPr>
                <w:i/>
              </w:rPr>
              <w:t xml:space="preserve">grenzüberschreitenden </w:t>
            </w:r>
            <w:r w:rsidR="00FE1336">
              <w:rPr>
                <w:i/>
              </w:rPr>
              <w:t xml:space="preserve">Geschäft </w:t>
            </w:r>
            <w:r>
              <w:rPr>
                <w:i/>
              </w:rPr>
              <w:t>effektiv angewendet und eingehalten wurde, namentlich</w:t>
            </w:r>
          </w:p>
        </w:tc>
        <w:tc>
          <w:tcPr>
            <w:tcW w:w="3827" w:type="dxa"/>
            <w:shd w:val="clear" w:color="auto" w:fill="auto"/>
          </w:tcPr>
          <w:p w14:paraId="3F171064" w14:textId="0DAB777E" w:rsidR="00994315" w:rsidRPr="00DB0DF5" w:rsidRDefault="00994315" w:rsidP="005212F7">
            <w:pPr>
              <w:pStyle w:val="Bullet"/>
              <w:numPr>
                <w:ilvl w:val="0"/>
                <w:numId w:val="0"/>
              </w:numPr>
              <w:spacing w:before="120" w:after="120"/>
            </w:pPr>
            <w:r>
              <w:t xml:space="preserve">Beurteilen, ob </w:t>
            </w:r>
            <w:r w:rsidR="0047398F">
              <w:t xml:space="preserve">die Beendigung </w:t>
            </w:r>
            <w:r>
              <w:t>nicht mehr erwünschte</w:t>
            </w:r>
            <w:r w:rsidR="005212F7">
              <w:t>r</w:t>
            </w:r>
            <w:r>
              <w:t xml:space="preserve"> Kundenbeziehungen </w:t>
            </w:r>
            <w:r w:rsidR="0047398F">
              <w:t xml:space="preserve">im Einklang mit </w:t>
            </w:r>
            <w:r>
              <w:t xml:space="preserve">der Strategie, Politik und/oder </w:t>
            </w:r>
            <w:r w:rsidR="0047398F">
              <w:t xml:space="preserve">den </w:t>
            </w:r>
            <w:r>
              <w:t xml:space="preserve">Richtlinien des Instituts </w:t>
            </w:r>
            <w:r w:rsidR="0047398F">
              <w:t>ist</w:t>
            </w:r>
            <w:r>
              <w:t>.</w:t>
            </w:r>
          </w:p>
        </w:tc>
        <w:tc>
          <w:tcPr>
            <w:tcW w:w="3542" w:type="dxa"/>
            <w:shd w:val="clear" w:color="auto" w:fill="auto"/>
          </w:tcPr>
          <w:p w14:paraId="72DCA2B8" w14:textId="77777777" w:rsidR="00994315" w:rsidRPr="00DB0DF5" w:rsidRDefault="00994315" w:rsidP="0093102C">
            <w:pPr>
              <w:spacing w:before="120" w:after="120" w:line="240" w:lineRule="auto"/>
              <w:rPr>
                <w:rFonts w:cs="Arial"/>
                <w:sz w:val="16"/>
                <w:szCs w:val="16"/>
              </w:rPr>
            </w:pPr>
          </w:p>
        </w:tc>
        <w:tc>
          <w:tcPr>
            <w:tcW w:w="994" w:type="dxa"/>
            <w:shd w:val="clear" w:color="auto" w:fill="auto"/>
          </w:tcPr>
          <w:p w14:paraId="155B573F" w14:textId="77777777" w:rsidR="00994315" w:rsidRPr="00C04F0F" w:rsidRDefault="00994315" w:rsidP="0093102C">
            <w:pPr>
              <w:spacing w:before="120" w:after="120" w:line="240" w:lineRule="auto"/>
            </w:pPr>
          </w:p>
        </w:tc>
      </w:tr>
      <w:tr w:rsidR="00994315" w:rsidRPr="009B54F4" w14:paraId="3C657F48" w14:textId="77777777" w:rsidTr="00513A59">
        <w:tc>
          <w:tcPr>
            <w:tcW w:w="529" w:type="dxa"/>
            <w:vMerge/>
            <w:shd w:val="clear" w:color="auto" w:fill="auto"/>
          </w:tcPr>
          <w:p w14:paraId="5808A91D" w14:textId="77777777" w:rsidR="00994315" w:rsidRPr="00DB0DF5" w:rsidRDefault="00994315" w:rsidP="0093102C">
            <w:pPr>
              <w:spacing w:before="120" w:after="120" w:line="240" w:lineRule="auto"/>
              <w:rPr>
                <w:rFonts w:cs="Arial"/>
                <w:sz w:val="16"/>
                <w:szCs w:val="16"/>
              </w:rPr>
            </w:pPr>
          </w:p>
        </w:tc>
        <w:tc>
          <w:tcPr>
            <w:tcW w:w="1596" w:type="dxa"/>
            <w:vMerge/>
            <w:shd w:val="clear" w:color="auto" w:fill="auto"/>
          </w:tcPr>
          <w:p w14:paraId="5F4C91FA" w14:textId="77777777" w:rsidR="00994315" w:rsidRPr="00DB0DF5" w:rsidRDefault="00994315" w:rsidP="0093102C">
            <w:pPr>
              <w:spacing w:before="120" w:after="120" w:line="240" w:lineRule="auto"/>
              <w:rPr>
                <w:rFonts w:cs="Arial"/>
                <w:b/>
                <w:sz w:val="16"/>
                <w:szCs w:val="16"/>
              </w:rPr>
            </w:pPr>
          </w:p>
        </w:tc>
        <w:tc>
          <w:tcPr>
            <w:tcW w:w="3829" w:type="dxa"/>
            <w:shd w:val="clear" w:color="auto" w:fill="auto"/>
          </w:tcPr>
          <w:p w14:paraId="178918DC" w14:textId="73838773" w:rsidR="00994315" w:rsidRPr="003203D5" w:rsidRDefault="00816088" w:rsidP="0093102C">
            <w:pPr>
              <w:pStyle w:val="Bullet"/>
              <w:numPr>
                <w:ilvl w:val="0"/>
                <w:numId w:val="0"/>
              </w:numPr>
              <w:spacing w:before="120" w:after="120"/>
            </w:pPr>
            <w:r>
              <w:t xml:space="preserve">Identifizierung und Dokumentation der </w:t>
            </w:r>
            <w:r w:rsidR="00994315">
              <w:t xml:space="preserve">internen Kontrollen </w:t>
            </w:r>
            <w:r w:rsidR="00082887">
              <w:t>z.B.</w:t>
            </w:r>
            <w:r w:rsidR="00994315">
              <w:t xml:space="preserve"> </w:t>
            </w:r>
            <w:r>
              <w:t>in Bezug auf</w:t>
            </w:r>
            <w:r w:rsidR="00994315">
              <w:t xml:space="preserve"> </w:t>
            </w:r>
          </w:p>
          <w:p w14:paraId="018B7F20" w14:textId="77777777" w:rsidR="00994315" w:rsidRPr="003203D5" w:rsidRDefault="00994315" w:rsidP="0093102C">
            <w:pPr>
              <w:pStyle w:val="Bullet"/>
              <w:numPr>
                <w:ilvl w:val="0"/>
                <w:numId w:val="11"/>
              </w:numPr>
              <w:spacing w:before="120" w:after="120"/>
              <w:ind w:left="227" w:hanging="227"/>
            </w:pPr>
            <w:r>
              <w:t>Annahme, Management und Überwachung von Kunden und Produkten</w:t>
            </w:r>
          </w:p>
          <w:p w14:paraId="5F98A1E0" w14:textId="6535B21A" w:rsidR="00994315" w:rsidRPr="003203D5" w:rsidRDefault="00994315" w:rsidP="0093102C">
            <w:pPr>
              <w:pStyle w:val="Bullet"/>
              <w:numPr>
                <w:ilvl w:val="0"/>
                <w:numId w:val="11"/>
              </w:numPr>
              <w:spacing w:before="120" w:after="120"/>
              <w:ind w:left="227" w:hanging="227"/>
            </w:pPr>
            <w:r>
              <w:t>Überwachung des Verhaltens der</w:t>
            </w:r>
            <w:r w:rsidR="00816088">
              <w:t xml:space="preserve"> Kundenbetreuer </w:t>
            </w:r>
            <w:r>
              <w:t>(z.</w:t>
            </w:r>
            <w:r w:rsidR="00816088">
              <w:t> </w:t>
            </w:r>
            <w:r>
              <w:t xml:space="preserve">B. bezüglich Reiseberichten, Kontaktmemos zu Besuchen an den </w:t>
            </w:r>
            <w:r w:rsidR="00816088">
              <w:t>Point of Sales</w:t>
            </w:r>
            <w:r>
              <w:t>, Ausbildung usw.)</w:t>
            </w:r>
          </w:p>
          <w:p w14:paraId="7D86F181" w14:textId="77777777" w:rsidR="00994315" w:rsidRPr="00F95DA8" w:rsidRDefault="00994315" w:rsidP="0093102C">
            <w:pPr>
              <w:pStyle w:val="Bullet"/>
              <w:numPr>
                <w:ilvl w:val="0"/>
                <w:numId w:val="11"/>
              </w:numPr>
              <w:spacing w:before="120" w:after="120"/>
              <w:ind w:left="227" w:hanging="227"/>
            </w:pPr>
            <w:r>
              <w:t>Annahme und periodische Überprüfung von externen Intermediären</w:t>
            </w:r>
          </w:p>
          <w:p w14:paraId="3CEBD315" w14:textId="229EA469" w:rsidR="00994315" w:rsidRPr="003203D5" w:rsidRDefault="00994315" w:rsidP="0093102C">
            <w:pPr>
              <w:pStyle w:val="Bullet"/>
              <w:numPr>
                <w:ilvl w:val="0"/>
                <w:numId w:val="0"/>
              </w:numPr>
              <w:spacing w:before="120" w:after="120"/>
            </w:pPr>
            <w:r>
              <w:t xml:space="preserve">und Beurteilung </w:t>
            </w:r>
            <w:r w:rsidR="00816088">
              <w:t xml:space="preserve">der Angemessenheit </w:t>
            </w:r>
            <w:r>
              <w:t>ihres Konzepts hinsichtlich der Grösse und Komplexität der grenzüberschreitenden Aktivitäten des Instituts</w:t>
            </w:r>
            <w:r w:rsidR="00816088">
              <w:t>.</w:t>
            </w:r>
          </w:p>
        </w:tc>
        <w:tc>
          <w:tcPr>
            <w:tcW w:w="3827" w:type="dxa"/>
            <w:shd w:val="clear" w:color="auto" w:fill="auto"/>
          </w:tcPr>
          <w:p w14:paraId="3E0D91CA" w14:textId="0B19CF1B" w:rsidR="00994315" w:rsidRPr="003203D5" w:rsidRDefault="0047398F" w:rsidP="0093102C">
            <w:pPr>
              <w:pStyle w:val="Bullet"/>
              <w:numPr>
                <w:ilvl w:val="0"/>
                <w:numId w:val="0"/>
              </w:numPr>
              <w:spacing w:before="120" w:after="120"/>
            </w:pPr>
            <w:r>
              <w:t xml:space="preserve">Durchführung von </w:t>
            </w:r>
            <w:r w:rsidR="005218E6">
              <w:t>Funktionsprüfungen</w:t>
            </w:r>
            <w:r w:rsidR="00994315">
              <w:t>, um die</w:t>
            </w:r>
            <w:r w:rsidR="005218E6">
              <w:t xml:space="preserve"> operative</w:t>
            </w:r>
            <w:r w:rsidR="00994315">
              <w:t xml:space="preserve"> Wirksamkeit der</w:t>
            </w:r>
            <w:r w:rsidR="005218E6">
              <w:t xml:space="preserve"> durchgeführten</w:t>
            </w:r>
            <w:r w:rsidR="00994315">
              <w:t xml:space="preserve"> internen Kontrollen zu </w:t>
            </w:r>
            <w:r w:rsidR="005218E6">
              <w:t xml:space="preserve">prüfen </w:t>
            </w:r>
            <w:r w:rsidR="00994315">
              <w:t xml:space="preserve">und </w:t>
            </w:r>
            <w:r>
              <w:t xml:space="preserve">Durchführung </w:t>
            </w:r>
            <w:r w:rsidR="005218E6">
              <w:t xml:space="preserve">von </w:t>
            </w:r>
            <w:r w:rsidR="00565FAD">
              <w:t>aussagebezogenen</w:t>
            </w:r>
            <w:r w:rsidR="00E63F2D">
              <w:t xml:space="preserve"> Prüfungshandlungen</w:t>
            </w:r>
            <w:r w:rsidR="00994315">
              <w:t xml:space="preserve"> </w:t>
            </w:r>
            <w:r>
              <w:t xml:space="preserve">in Bezug auf </w:t>
            </w:r>
          </w:p>
          <w:p w14:paraId="299EBEF6" w14:textId="77777777" w:rsidR="00994315" w:rsidRPr="003203D5" w:rsidRDefault="00994315" w:rsidP="0093102C">
            <w:pPr>
              <w:pStyle w:val="Bullet"/>
              <w:numPr>
                <w:ilvl w:val="0"/>
                <w:numId w:val="11"/>
              </w:numPr>
              <w:spacing w:before="120" w:after="120"/>
              <w:ind w:left="227" w:hanging="227"/>
            </w:pPr>
            <w:r>
              <w:t>Annahme, Management und Überwachung von Kunden</w:t>
            </w:r>
          </w:p>
          <w:p w14:paraId="4A10AF45" w14:textId="5FAFAEBA" w:rsidR="00994315" w:rsidRPr="003203D5" w:rsidRDefault="00994315" w:rsidP="0093102C">
            <w:pPr>
              <w:pStyle w:val="Bullet"/>
              <w:numPr>
                <w:ilvl w:val="0"/>
                <w:numId w:val="11"/>
              </w:numPr>
              <w:spacing w:before="120" w:after="120"/>
              <w:ind w:left="227" w:hanging="227"/>
            </w:pPr>
            <w:r>
              <w:t xml:space="preserve">Überwachung des Verhaltens der </w:t>
            </w:r>
            <w:r w:rsidR="0047398F">
              <w:t xml:space="preserve">Kundenbetreuer </w:t>
            </w:r>
            <w:r>
              <w:t>(z.</w:t>
            </w:r>
            <w:r w:rsidR="0047398F">
              <w:t> </w:t>
            </w:r>
            <w:r>
              <w:t xml:space="preserve">B. bezüglich Reiseberichten, Kontaktmemos zu Besuchen an den </w:t>
            </w:r>
            <w:r w:rsidR="0047398F">
              <w:t>Point of Sales</w:t>
            </w:r>
            <w:r>
              <w:t>, Ausbildung usw.)</w:t>
            </w:r>
          </w:p>
          <w:p w14:paraId="50957B71" w14:textId="77777777" w:rsidR="00994315" w:rsidRDefault="00994315" w:rsidP="0093102C">
            <w:pPr>
              <w:pStyle w:val="Bullet"/>
              <w:numPr>
                <w:ilvl w:val="0"/>
                <w:numId w:val="11"/>
              </w:numPr>
              <w:spacing w:before="120" w:after="120"/>
              <w:ind w:left="227" w:hanging="227"/>
            </w:pPr>
            <w:r>
              <w:t>Annahme und periodische Überprüfung von externen Intermediären</w:t>
            </w:r>
            <w:r w:rsidR="0047398F">
              <w:t>.</w:t>
            </w:r>
          </w:p>
          <w:p w14:paraId="7D20C3FA" w14:textId="017378A8" w:rsidR="00F0758A" w:rsidRPr="003203D5" w:rsidRDefault="00F0758A" w:rsidP="00BB7ED7">
            <w:pPr>
              <w:pStyle w:val="Bullet"/>
              <w:numPr>
                <w:ilvl w:val="0"/>
                <w:numId w:val="0"/>
              </w:numPr>
              <w:spacing w:before="120" w:after="120"/>
            </w:pPr>
          </w:p>
        </w:tc>
        <w:tc>
          <w:tcPr>
            <w:tcW w:w="3542" w:type="dxa"/>
            <w:shd w:val="clear" w:color="auto" w:fill="auto"/>
          </w:tcPr>
          <w:p w14:paraId="6D0B4CD2" w14:textId="77777777" w:rsidR="00994315" w:rsidRPr="00DB0DF5" w:rsidRDefault="00994315" w:rsidP="0093102C">
            <w:pPr>
              <w:spacing w:before="120" w:after="120" w:line="240" w:lineRule="auto"/>
              <w:rPr>
                <w:rFonts w:cs="Arial"/>
                <w:sz w:val="16"/>
                <w:szCs w:val="16"/>
              </w:rPr>
            </w:pPr>
          </w:p>
        </w:tc>
        <w:tc>
          <w:tcPr>
            <w:tcW w:w="994" w:type="dxa"/>
            <w:shd w:val="clear" w:color="auto" w:fill="auto"/>
          </w:tcPr>
          <w:p w14:paraId="658F0FFE" w14:textId="77777777" w:rsidR="00994315" w:rsidRPr="00C04F0F" w:rsidRDefault="00994315" w:rsidP="0093102C">
            <w:pPr>
              <w:spacing w:before="120" w:after="120" w:line="240" w:lineRule="auto"/>
            </w:pPr>
          </w:p>
        </w:tc>
      </w:tr>
      <w:tr w:rsidR="00FF118E" w:rsidRPr="009B54F4" w14:paraId="3BE9D395" w14:textId="77777777" w:rsidTr="00513A59">
        <w:tc>
          <w:tcPr>
            <w:tcW w:w="529" w:type="dxa"/>
            <w:shd w:val="clear" w:color="auto" w:fill="auto"/>
          </w:tcPr>
          <w:p w14:paraId="49FBADFA" w14:textId="77777777" w:rsidR="00FF118E" w:rsidRPr="00DB0DF5" w:rsidRDefault="00FF118E" w:rsidP="00FF118E">
            <w:pPr>
              <w:spacing w:before="120" w:after="120" w:line="240" w:lineRule="auto"/>
              <w:rPr>
                <w:rFonts w:cs="Arial"/>
                <w:sz w:val="16"/>
                <w:szCs w:val="16"/>
              </w:rPr>
            </w:pPr>
          </w:p>
        </w:tc>
        <w:tc>
          <w:tcPr>
            <w:tcW w:w="1596" w:type="dxa"/>
            <w:shd w:val="clear" w:color="auto" w:fill="auto"/>
          </w:tcPr>
          <w:p w14:paraId="574E332D" w14:textId="2ABD54D0" w:rsidR="00FF118E" w:rsidRPr="00DB0DF5" w:rsidRDefault="00FF118E" w:rsidP="00FF118E">
            <w:pPr>
              <w:spacing w:before="120" w:after="120" w:line="240" w:lineRule="auto"/>
              <w:rPr>
                <w:rFonts w:cs="Arial"/>
                <w:b/>
                <w:sz w:val="16"/>
                <w:szCs w:val="16"/>
              </w:rPr>
            </w:pPr>
            <w:r w:rsidRPr="00791040">
              <w:rPr>
                <w:rFonts w:cs="Arial"/>
                <w:b/>
                <w:sz w:val="16"/>
                <w:szCs w:val="16"/>
                <w:lang w:val="de-DE"/>
              </w:rPr>
              <w:t>Einhaltung des FINMA-Rundschreiben</w:t>
            </w:r>
            <w:r>
              <w:rPr>
                <w:rFonts w:cs="Arial"/>
                <w:b/>
                <w:sz w:val="16"/>
                <w:szCs w:val="16"/>
                <w:lang w:val="de-DE"/>
              </w:rPr>
              <w:t>s</w:t>
            </w:r>
            <w:r w:rsidRPr="00791040">
              <w:rPr>
                <w:rFonts w:cs="Arial"/>
                <w:b/>
                <w:sz w:val="16"/>
                <w:szCs w:val="16"/>
                <w:lang w:val="de-DE"/>
              </w:rPr>
              <w:t xml:space="preserve"> 17/6</w:t>
            </w:r>
          </w:p>
        </w:tc>
        <w:tc>
          <w:tcPr>
            <w:tcW w:w="3829" w:type="dxa"/>
            <w:shd w:val="clear" w:color="auto" w:fill="auto"/>
          </w:tcPr>
          <w:p w14:paraId="6E0E19A4" w14:textId="3BAECB9D" w:rsidR="00FF118E" w:rsidRDefault="00FF118E" w:rsidP="00FF118E">
            <w:pPr>
              <w:pStyle w:val="Bullet"/>
              <w:numPr>
                <w:ilvl w:val="0"/>
                <w:numId w:val="0"/>
              </w:numPr>
              <w:spacing w:before="120" w:after="120"/>
            </w:pPr>
            <w:r w:rsidRPr="00791040">
              <w:rPr>
                <w:i/>
                <w:lang w:val="de-DE"/>
              </w:rPr>
              <w:t>Beurteilung der Berücksichtigung der Erfordernisse des Rundschreibens in Zusammenhang mit der Übermittlung von Informationen an ausländische Aufsichtsbehörden</w:t>
            </w:r>
            <w:r>
              <w:rPr>
                <w:i/>
                <w:lang w:val="de-DE"/>
              </w:rPr>
              <w:t xml:space="preserve"> und</w:t>
            </w:r>
            <w:r w:rsidRPr="00426ED1">
              <w:rPr>
                <w:lang w:val="de-DE"/>
              </w:rPr>
              <w:t xml:space="preserve"> </w:t>
            </w:r>
            <w:r w:rsidRPr="00791040">
              <w:rPr>
                <w:i/>
                <w:lang w:val="de-DE"/>
              </w:rPr>
              <w:t>weitere mit der Aufsicht betraute ausländische Stellen</w:t>
            </w:r>
            <w:r>
              <w:rPr>
                <w:lang w:val="de-DE"/>
              </w:rPr>
              <w:t>,</w:t>
            </w:r>
            <w:r w:rsidRPr="00791040">
              <w:rPr>
                <w:i/>
                <w:lang w:val="de-DE"/>
              </w:rPr>
              <w:t xml:space="preserve"> namentlich: </w:t>
            </w:r>
          </w:p>
        </w:tc>
        <w:tc>
          <w:tcPr>
            <w:tcW w:w="3827" w:type="dxa"/>
            <w:shd w:val="clear" w:color="auto" w:fill="auto"/>
          </w:tcPr>
          <w:p w14:paraId="2DFA8FAE" w14:textId="77777777" w:rsidR="00FF118E" w:rsidRDefault="00FF118E" w:rsidP="00FF118E">
            <w:pPr>
              <w:pStyle w:val="Bullet"/>
              <w:numPr>
                <w:ilvl w:val="0"/>
                <w:numId w:val="0"/>
              </w:numPr>
              <w:spacing w:before="120" w:after="120"/>
            </w:pPr>
          </w:p>
        </w:tc>
        <w:tc>
          <w:tcPr>
            <w:tcW w:w="3542" w:type="dxa"/>
            <w:shd w:val="clear" w:color="auto" w:fill="auto"/>
          </w:tcPr>
          <w:p w14:paraId="0066DDA8" w14:textId="77777777" w:rsidR="00FF118E" w:rsidRPr="00DB0DF5" w:rsidRDefault="00FF118E" w:rsidP="00FF118E">
            <w:pPr>
              <w:spacing w:before="120" w:after="120" w:line="240" w:lineRule="auto"/>
              <w:rPr>
                <w:rFonts w:cs="Arial"/>
                <w:sz w:val="16"/>
                <w:szCs w:val="16"/>
              </w:rPr>
            </w:pPr>
          </w:p>
        </w:tc>
        <w:tc>
          <w:tcPr>
            <w:tcW w:w="994" w:type="dxa"/>
            <w:shd w:val="clear" w:color="auto" w:fill="auto"/>
          </w:tcPr>
          <w:p w14:paraId="05522889" w14:textId="77777777" w:rsidR="00FF118E" w:rsidRPr="00C04F0F" w:rsidRDefault="00FF118E" w:rsidP="00FF118E">
            <w:pPr>
              <w:spacing w:before="120" w:after="120" w:line="240" w:lineRule="auto"/>
            </w:pPr>
          </w:p>
        </w:tc>
      </w:tr>
      <w:tr w:rsidR="00FF118E" w:rsidRPr="009B54F4" w14:paraId="256EE37B" w14:textId="77777777" w:rsidTr="00513A59">
        <w:tc>
          <w:tcPr>
            <w:tcW w:w="529" w:type="dxa"/>
            <w:shd w:val="clear" w:color="auto" w:fill="auto"/>
          </w:tcPr>
          <w:p w14:paraId="65D6A725" w14:textId="77777777" w:rsidR="00FF118E" w:rsidRPr="00DB0DF5" w:rsidRDefault="00FF118E" w:rsidP="00FF118E">
            <w:pPr>
              <w:spacing w:before="120" w:after="120" w:line="240" w:lineRule="auto"/>
              <w:rPr>
                <w:rFonts w:cs="Arial"/>
                <w:sz w:val="16"/>
                <w:szCs w:val="16"/>
              </w:rPr>
            </w:pPr>
          </w:p>
        </w:tc>
        <w:tc>
          <w:tcPr>
            <w:tcW w:w="1596" w:type="dxa"/>
            <w:shd w:val="clear" w:color="auto" w:fill="auto"/>
          </w:tcPr>
          <w:p w14:paraId="76D7130D" w14:textId="77777777" w:rsidR="00FF118E" w:rsidRPr="00DB0DF5" w:rsidRDefault="00FF118E" w:rsidP="00FF118E">
            <w:pPr>
              <w:spacing w:before="120" w:after="120" w:line="240" w:lineRule="auto"/>
              <w:rPr>
                <w:rFonts w:cs="Arial"/>
                <w:b/>
                <w:sz w:val="16"/>
                <w:szCs w:val="16"/>
              </w:rPr>
            </w:pPr>
          </w:p>
        </w:tc>
        <w:tc>
          <w:tcPr>
            <w:tcW w:w="3829" w:type="dxa"/>
            <w:shd w:val="clear" w:color="auto" w:fill="auto"/>
          </w:tcPr>
          <w:p w14:paraId="0FF16347" w14:textId="77777777" w:rsidR="00FF118E" w:rsidRPr="00073DB3" w:rsidRDefault="00FF118E" w:rsidP="00FF118E">
            <w:pPr>
              <w:pStyle w:val="Bullet"/>
              <w:numPr>
                <w:ilvl w:val="0"/>
                <w:numId w:val="0"/>
              </w:numPr>
              <w:spacing w:before="120" w:after="120"/>
            </w:pPr>
            <w:r>
              <w:t>Beurteilen, ob die Übermittlung von keiner oder sehr geringer Relevanz für das Institut ist.</w:t>
            </w:r>
          </w:p>
          <w:p w14:paraId="3A7A5384" w14:textId="77777777" w:rsidR="00FF118E" w:rsidRPr="00073DB3" w:rsidRDefault="00FF118E" w:rsidP="00FF118E">
            <w:pPr>
              <w:pStyle w:val="Bullet"/>
              <w:numPr>
                <w:ilvl w:val="0"/>
                <w:numId w:val="0"/>
              </w:numPr>
              <w:spacing w:before="120" w:after="120"/>
            </w:pPr>
            <w:r w:rsidRPr="00073DB3">
              <w:lastRenderedPageBreak/>
              <w:t xml:space="preserve">Falls </w:t>
            </w:r>
            <w:r>
              <w:t>ja</w:t>
            </w:r>
            <w:r w:rsidRPr="00073DB3">
              <w:t xml:space="preserve">: Beurteilung, ob das Institut Vorgaben implementiert hat </w:t>
            </w:r>
            <w:r w:rsidRPr="00B53F2A">
              <w:t xml:space="preserve">um Direktübermittlungen vor entsprechender Eskalation und dem Erlass von Instruktionen, internen Weisungen und formalisierten Prozessen zu verhindern. </w:t>
            </w:r>
          </w:p>
          <w:p w14:paraId="3402C70B" w14:textId="57FC3025" w:rsidR="00FF118E" w:rsidRDefault="00FF118E" w:rsidP="003B049E">
            <w:pPr>
              <w:pStyle w:val="Bullet"/>
              <w:numPr>
                <w:ilvl w:val="0"/>
                <w:numId w:val="0"/>
              </w:numPr>
              <w:spacing w:before="120" w:after="120"/>
            </w:pPr>
            <w:r w:rsidRPr="00073DB3">
              <w:t xml:space="preserve">Falls </w:t>
            </w:r>
            <w:r>
              <w:t>nein</w:t>
            </w:r>
            <w:r w:rsidRPr="00073DB3">
              <w:t>: Beurteilung der Angemessenheit der Instruktionen bzw. der internen Weisungen und formalisierten Prozessen</w:t>
            </w:r>
            <w:r w:rsidR="00287AAA">
              <w:t xml:space="preserve"> </w:t>
            </w:r>
            <w:r w:rsidRPr="00073DB3">
              <w:rPr>
                <w:lang w:val="de-DE"/>
              </w:rPr>
              <w:t xml:space="preserve">betreffend </w:t>
            </w:r>
            <w:r>
              <w:rPr>
                <w:lang w:val="de-DE"/>
              </w:rPr>
              <w:t xml:space="preserve">die </w:t>
            </w:r>
            <w:r w:rsidRPr="00073DB3">
              <w:rPr>
                <w:lang w:val="de-DE"/>
              </w:rPr>
              <w:t>Übermittlung von Informationen</w:t>
            </w:r>
            <w:r>
              <w:rPr>
                <w:lang w:val="de-DE"/>
              </w:rPr>
              <w:t xml:space="preserve"> </w:t>
            </w:r>
            <w:r w:rsidRPr="00426ED1">
              <w:rPr>
                <w:lang w:val="de-DE"/>
              </w:rPr>
              <w:t>an ausländische Finanzmarktaufsichtsbehörden und weitere mit der Aufsicht betraute ausländische Stellen.</w:t>
            </w:r>
          </w:p>
        </w:tc>
        <w:tc>
          <w:tcPr>
            <w:tcW w:w="3827" w:type="dxa"/>
            <w:shd w:val="clear" w:color="auto" w:fill="auto"/>
          </w:tcPr>
          <w:p w14:paraId="699ACB6F" w14:textId="77777777" w:rsidR="00FF118E" w:rsidRDefault="00FF118E" w:rsidP="00FF118E">
            <w:pPr>
              <w:pStyle w:val="Bullet"/>
              <w:numPr>
                <w:ilvl w:val="0"/>
                <w:numId w:val="0"/>
              </w:numPr>
              <w:spacing w:before="120" w:after="120"/>
            </w:pPr>
          </w:p>
        </w:tc>
        <w:tc>
          <w:tcPr>
            <w:tcW w:w="3542" w:type="dxa"/>
            <w:shd w:val="clear" w:color="auto" w:fill="auto"/>
          </w:tcPr>
          <w:p w14:paraId="727B4460" w14:textId="77777777" w:rsidR="00FF118E" w:rsidRPr="00DB0DF5" w:rsidRDefault="00FF118E" w:rsidP="00FF118E">
            <w:pPr>
              <w:spacing w:before="120" w:after="120" w:line="240" w:lineRule="auto"/>
              <w:rPr>
                <w:rFonts w:cs="Arial"/>
                <w:sz w:val="16"/>
                <w:szCs w:val="16"/>
              </w:rPr>
            </w:pPr>
          </w:p>
        </w:tc>
        <w:tc>
          <w:tcPr>
            <w:tcW w:w="994" w:type="dxa"/>
            <w:shd w:val="clear" w:color="auto" w:fill="auto"/>
          </w:tcPr>
          <w:p w14:paraId="7DFB1C05" w14:textId="77777777" w:rsidR="00FF118E" w:rsidRPr="00C04F0F" w:rsidRDefault="00FF118E" w:rsidP="00FF118E">
            <w:pPr>
              <w:spacing w:before="120" w:after="120" w:line="240" w:lineRule="auto"/>
            </w:pPr>
          </w:p>
        </w:tc>
      </w:tr>
      <w:tr w:rsidR="005B4F07" w:rsidRPr="009B54F4" w14:paraId="1E9206D6" w14:textId="77777777" w:rsidTr="00513A59">
        <w:tc>
          <w:tcPr>
            <w:tcW w:w="529" w:type="dxa"/>
            <w:shd w:val="clear" w:color="auto" w:fill="auto"/>
          </w:tcPr>
          <w:p w14:paraId="3828960E" w14:textId="77777777" w:rsidR="005B4F07" w:rsidRPr="00DB0DF5" w:rsidRDefault="005B4F07" w:rsidP="00FF118E">
            <w:pPr>
              <w:spacing w:before="120" w:after="120" w:line="240" w:lineRule="auto"/>
              <w:rPr>
                <w:rFonts w:cs="Arial"/>
                <w:sz w:val="16"/>
                <w:szCs w:val="16"/>
              </w:rPr>
            </w:pPr>
          </w:p>
        </w:tc>
        <w:tc>
          <w:tcPr>
            <w:tcW w:w="1596" w:type="dxa"/>
            <w:shd w:val="clear" w:color="auto" w:fill="auto"/>
          </w:tcPr>
          <w:p w14:paraId="08116A2F" w14:textId="77777777" w:rsidR="005B4F07" w:rsidRPr="00DB0DF5" w:rsidRDefault="005B4F07" w:rsidP="00FF118E">
            <w:pPr>
              <w:spacing w:before="120" w:after="120" w:line="240" w:lineRule="auto"/>
              <w:rPr>
                <w:rFonts w:cs="Arial"/>
                <w:b/>
                <w:sz w:val="16"/>
                <w:szCs w:val="16"/>
              </w:rPr>
            </w:pPr>
          </w:p>
        </w:tc>
        <w:tc>
          <w:tcPr>
            <w:tcW w:w="3829" w:type="dxa"/>
            <w:shd w:val="clear" w:color="auto" w:fill="auto"/>
          </w:tcPr>
          <w:p w14:paraId="0C414507" w14:textId="77777777" w:rsidR="00A31122" w:rsidRPr="00A31122" w:rsidRDefault="00A31122" w:rsidP="00A31122">
            <w:pPr>
              <w:spacing w:before="120" w:after="120" w:line="240" w:lineRule="auto"/>
              <w:rPr>
                <w:rFonts w:eastAsiaTheme="minorHAnsi" w:cs="Arial"/>
                <w:sz w:val="16"/>
                <w:szCs w:val="16"/>
              </w:rPr>
            </w:pPr>
            <w:r w:rsidRPr="00A31122">
              <w:rPr>
                <w:rFonts w:eastAsiaTheme="minorHAnsi" w:cs="Arial"/>
                <w:sz w:val="16"/>
                <w:szCs w:val="16"/>
              </w:rPr>
              <w:t xml:space="preserve">Beurteilen, ob im Falle einer Übermittlung von nicht öffentlichen Informationen </w:t>
            </w:r>
          </w:p>
          <w:p w14:paraId="3F01C4BB" w14:textId="1BCA17C6" w:rsidR="00A31122" w:rsidRPr="00A31122" w:rsidRDefault="00A31122" w:rsidP="00A31122">
            <w:pPr>
              <w:pStyle w:val="Listenabsatz"/>
              <w:numPr>
                <w:ilvl w:val="0"/>
                <w:numId w:val="13"/>
              </w:numPr>
              <w:spacing w:before="120" w:after="120" w:line="240" w:lineRule="auto"/>
              <w:rPr>
                <w:rFonts w:cs="Arial"/>
                <w:sz w:val="16"/>
                <w:szCs w:val="16"/>
              </w:rPr>
            </w:pPr>
            <w:r w:rsidRPr="00A31122">
              <w:rPr>
                <w:rFonts w:cs="Arial"/>
                <w:sz w:val="16"/>
                <w:szCs w:val="16"/>
              </w:rPr>
              <w:t xml:space="preserve">die Voraussetzungen </w:t>
            </w:r>
            <w:r w:rsidR="00477484">
              <w:rPr>
                <w:rFonts w:cs="Arial"/>
                <w:sz w:val="16"/>
                <w:szCs w:val="16"/>
              </w:rPr>
              <w:t xml:space="preserve">gemäss Rundschreiben </w:t>
            </w:r>
            <w:r w:rsidRPr="00A31122">
              <w:rPr>
                <w:rFonts w:cs="Arial"/>
                <w:sz w:val="16"/>
                <w:szCs w:val="16"/>
              </w:rPr>
              <w:t>erfüllt waren;</w:t>
            </w:r>
          </w:p>
          <w:p w14:paraId="00187981" w14:textId="77777777" w:rsidR="00A31122" w:rsidRPr="00A31122" w:rsidRDefault="00A31122" w:rsidP="00A31122">
            <w:pPr>
              <w:pStyle w:val="Listenabsatz"/>
              <w:numPr>
                <w:ilvl w:val="0"/>
                <w:numId w:val="13"/>
              </w:numPr>
              <w:spacing w:before="120" w:after="120" w:line="240" w:lineRule="auto"/>
              <w:rPr>
                <w:rFonts w:cs="Arial"/>
                <w:sz w:val="16"/>
                <w:szCs w:val="16"/>
              </w:rPr>
            </w:pPr>
            <w:r w:rsidRPr="00A31122">
              <w:rPr>
                <w:rFonts w:cs="Arial"/>
                <w:sz w:val="16"/>
                <w:szCs w:val="16"/>
              </w:rPr>
              <w:t>die Rechte von Kunden und Dritten gewahrt wurden;</w:t>
            </w:r>
          </w:p>
          <w:p w14:paraId="1F235169" w14:textId="44E4297D" w:rsidR="005B4F07" w:rsidRPr="00A31122" w:rsidRDefault="00A31122" w:rsidP="00A31122">
            <w:pPr>
              <w:pStyle w:val="Listenabsatz"/>
              <w:numPr>
                <w:ilvl w:val="0"/>
                <w:numId w:val="13"/>
              </w:numPr>
              <w:spacing w:before="120" w:after="120" w:line="240" w:lineRule="auto"/>
              <w:rPr>
                <w:rFonts w:ascii="Arial Narrow" w:hAnsi="Arial Narrow" w:cs="Arial"/>
                <w:sz w:val="16"/>
                <w:szCs w:val="16"/>
              </w:rPr>
            </w:pPr>
            <w:r w:rsidRPr="00A31122">
              <w:rPr>
                <w:rFonts w:cs="Arial"/>
                <w:sz w:val="16"/>
                <w:szCs w:val="16"/>
              </w:rPr>
              <w:t>die Informations- und Meldepflichten gegenüber der FINMA wahrgenommen wurden</w:t>
            </w:r>
          </w:p>
        </w:tc>
        <w:tc>
          <w:tcPr>
            <w:tcW w:w="3827" w:type="dxa"/>
            <w:shd w:val="clear" w:color="auto" w:fill="auto"/>
          </w:tcPr>
          <w:p w14:paraId="18F4C46F" w14:textId="77777777" w:rsidR="00A31122" w:rsidRPr="00A31122" w:rsidRDefault="00A31122" w:rsidP="00A31122">
            <w:pPr>
              <w:spacing w:before="120" w:after="120" w:line="240" w:lineRule="auto"/>
              <w:rPr>
                <w:rFonts w:eastAsiaTheme="minorHAnsi" w:cs="Arial"/>
                <w:sz w:val="16"/>
                <w:szCs w:val="16"/>
              </w:rPr>
            </w:pPr>
            <w:r w:rsidRPr="00A31122">
              <w:rPr>
                <w:rFonts w:eastAsiaTheme="minorHAnsi" w:cs="Arial"/>
                <w:sz w:val="16"/>
                <w:szCs w:val="16"/>
              </w:rPr>
              <w:t>Prüfung auf Basis einer Stichprobe, ob im Falle einer Übermittlung von nicht öffentlichen Informationen</w:t>
            </w:r>
          </w:p>
          <w:p w14:paraId="01208708" w14:textId="2D11516E" w:rsidR="00A31122" w:rsidRPr="00A31122" w:rsidRDefault="00A31122" w:rsidP="00A31122">
            <w:pPr>
              <w:pStyle w:val="Listenabsatz"/>
              <w:numPr>
                <w:ilvl w:val="0"/>
                <w:numId w:val="13"/>
              </w:numPr>
              <w:spacing w:before="120" w:after="120" w:line="240" w:lineRule="auto"/>
              <w:rPr>
                <w:rFonts w:cs="Arial"/>
                <w:sz w:val="16"/>
                <w:szCs w:val="16"/>
              </w:rPr>
            </w:pPr>
            <w:r w:rsidRPr="00A31122">
              <w:rPr>
                <w:rFonts w:cs="Arial"/>
                <w:sz w:val="16"/>
                <w:szCs w:val="16"/>
              </w:rPr>
              <w:t xml:space="preserve">die Voraussetzungen </w:t>
            </w:r>
            <w:r w:rsidR="00477484">
              <w:rPr>
                <w:rFonts w:cs="Arial"/>
                <w:sz w:val="16"/>
                <w:szCs w:val="16"/>
              </w:rPr>
              <w:t xml:space="preserve">gemäss Rundscheiben </w:t>
            </w:r>
            <w:r w:rsidRPr="00A31122">
              <w:rPr>
                <w:rFonts w:cs="Arial"/>
                <w:sz w:val="16"/>
                <w:szCs w:val="16"/>
              </w:rPr>
              <w:t>erfüllt waren;</w:t>
            </w:r>
          </w:p>
          <w:p w14:paraId="5D9E8EDF" w14:textId="77777777" w:rsidR="00477484" w:rsidRDefault="00A31122" w:rsidP="00477484">
            <w:pPr>
              <w:pStyle w:val="Listenabsatz"/>
              <w:numPr>
                <w:ilvl w:val="0"/>
                <w:numId w:val="13"/>
              </w:numPr>
              <w:spacing w:before="120" w:after="120" w:line="240" w:lineRule="auto"/>
              <w:rPr>
                <w:rFonts w:cs="Arial"/>
                <w:sz w:val="16"/>
                <w:szCs w:val="16"/>
              </w:rPr>
            </w:pPr>
            <w:r w:rsidRPr="00A31122">
              <w:rPr>
                <w:rFonts w:cs="Arial"/>
                <w:sz w:val="16"/>
                <w:szCs w:val="16"/>
              </w:rPr>
              <w:t>die Rechte von Kunden und Dritten gewahrt wurden;</w:t>
            </w:r>
          </w:p>
          <w:p w14:paraId="28F6F5CC" w14:textId="000BBEAC" w:rsidR="005B4F07" w:rsidRPr="00477484" w:rsidRDefault="00A31122" w:rsidP="00477484">
            <w:pPr>
              <w:pStyle w:val="Listenabsatz"/>
              <w:numPr>
                <w:ilvl w:val="0"/>
                <w:numId w:val="13"/>
              </w:numPr>
              <w:spacing w:before="120" w:after="120" w:line="240" w:lineRule="auto"/>
              <w:rPr>
                <w:rFonts w:cs="Arial"/>
                <w:sz w:val="16"/>
                <w:szCs w:val="16"/>
              </w:rPr>
            </w:pPr>
            <w:r w:rsidRPr="00477484">
              <w:rPr>
                <w:rFonts w:cs="Arial"/>
                <w:sz w:val="16"/>
                <w:szCs w:val="16"/>
              </w:rPr>
              <w:t>die Informations- und Meldepflichten gegenüber der FINMA wahrgenommen wurden</w:t>
            </w:r>
          </w:p>
        </w:tc>
        <w:tc>
          <w:tcPr>
            <w:tcW w:w="3542" w:type="dxa"/>
            <w:shd w:val="clear" w:color="auto" w:fill="auto"/>
          </w:tcPr>
          <w:p w14:paraId="254065FB" w14:textId="77777777" w:rsidR="005B4F07" w:rsidRPr="00DB0DF5" w:rsidRDefault="005B4F07" w:rsidP="00FF118E">
            <w:pPr>
              <w:spacing w:before="120" w:after="120" w:line="240" w:lineRule="auto"/>
              <w:rPr>
                <w:rFonts w:cs="Arial"/>
                <w:sz w:val="16"/>
                <w:szCs w:val="16"/>
              </w:rPr>
            </w:pPr>
          </w:p>
        </w:tc>
        <w:tc>
          <w:tcPr>
            <w:tcW w:w="994" w:type="dxa"/>
            <w:shd w:val="clear" w:color="auto" w:fill="auto"/>
          </w:tcPr>
          <w:p w14:paraId="329523FA" w14:textId="77777777" w:rsidR="005B4F07" w:rsidRPr="00C04F0F" w:rsidRDefault="005B4F07" w:rsidP="00FF118E">
            <w:pPr>
              <w:spacing w:before="120" w:after="120" w:line="240" w:lineRule="auto"/>
            </w:pPr>
          </w:p>
        </w:tc>
      </w:tr>
    </w:tbl>
    <w:p w14:paraId="1CD0B83D" w14:textId="12BFA768" w:rsidR="00994315" w:rsidRDefault="00AE0747" w:rsidP="00AE0747">
      <w:pPr>
        <w:spacing w:before="120" w:after="120" w:line="240" w:lineRule="auto"/>
        <w:jc w:val="center"/>
        <w:rPr>
          <w:rFonts w:cs="Arial"/>
          <w:b/>
        </w:rPr>
      </w:pPr>
      <w:r>
        <w:rPr>
          <w:b/>
        </w:rPr>
        <w:t>********************************</w:t>
      </w:r>
    </w:p>
    <w:p w14:paraId="702B9EA2" w14:textId="77777777" w:rsidR="000C7983" w:rsidRPr="00994315" w:rsidRDefault="000C7983" w:rsidP="0093102C">
      <w:pPr>
        <w:pStyle w:val="FINMAStandardAbsatz"/>
        <w:spacing w:before="120" w:after="120" w:line="240" w:lineRule="auto"/>
      </w:pPr>
    </w:p>
    <w:bookmarkEnd w:id="0"/>
    <w:p w14:paraId="5471A230" w14:textId="77777777" w:rsidR="002A48CF" w:rsidRPr="009B54F4" w:rsidRDefault="002A48CF" w:rsidP="009B54F4">
      <w:pPr>
        <w:spacing w:line="240" w:lineRule="auto"/>
        <w:rPr>
          <w:sz w:val="2"/>
        </w:rPr>
      </w:pPr>
    </w:p>
    <w:sectPr w:rsidR="002A48CF" w:rsidRPr="009B54F4" w:rsidSect="00EC6C49">
      <w:headerReference w:type="default" r:id="rId14"/>
      <w:footerReference w:type="default" r:id="rId15"/>
      <w:headerReference w:type="first" r:id="rId16"/>
      <w:footerReference w:type="first" r:id="rId17"/>
      <w:type w:val="continuous"/>
      <w:pgSz w:w="16838" w:h="11906" w:orient="landscape" w:code="9"/>
      <w:pgMar w:top="2206" w:right="1134" w:bottom="2126" w:left="1701" w:header="196"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33A4" w14:textId="77777777" w:rsidR="000C2853" w:rsidRDefault="000C2853">
      <w:r>
        <w:separator/>
      </w:r>
    </w:p>
  </w:endnote>
  <w:endnote w:type="continuationSeparator" w:id="0">
    <w:p w14:paraId="6F6010C2" w14:textId="77777777" w:rsidR="000C2853" w:rsidRDefault="000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3" w:type="pct"/>
      <w:tblCellMar>
        <w:right w:w="0" w:type="dxa"/>
      </w:tblCellMar>
      <w:tblLook w:val="04A0" w:firstRow="1" w:lastRow="0" w:firstColumn="1" w:lastColumn="0" w:noHBand="0" w:noVBand="1"/>
    </w:tblPr>
    <w:tblGrid>
      <w:gridCol w:w="14316"/>
      <w:gridCol w:w="7852"/>
      <w:gridCol w:w="2262"/>
    </w:tblGrid>
    <w:tr w:rsidR="00067CEE" w14:paraId="355D2E64" w14:textId="77777777" w:rsidTr="00675770">
      <w:tc>
        <w:tcPr>
          <w:tcW w:w="2930" w:type="pct"/>
          <w:tcMar>
            <w:left w:w="0" w:type="dxa"/>
          </w:tcMar>
        </w:tcPr>
        <w:p w14:paraId="2F3A2F44" w14:textId="0C4C143E" w:rsidR="00067CEE" w:rsidRDefault="00067CEE" w:rsidP="00994315">
          <w:pPr>
            <w:pStyle w:val="Fuzeile"/>
            <w:rPr>
              <w:szCs w:val="16"/>
            </w:rPr>
          </w:pPr>
          <w:r>
            <w:t>Für das Prüf</w:t>
          </w:r>
          <w:r w:rsidR="00273623">
            <w:t>feld</w:t>
          </w:r>
          <w:r>
            <w:t xml:space="preserve"> </w:t>
          </w:r>
          <w:r w:rsidRPr="0033085D">
            <w:t>„</w:t>
          </w:r>
          <w:r w:rsidR="00F5523D">
            <w:t>Verhaltensregeln: Crossborder Aktivitäten</w:t>
          </w:r>
          <w:r>
            <w:t xml:space="preserve">“ anwendbare </w:t>
          </w:r>
          <w:r w:rsidR="00273623">
            <w:t>Prüfpunkte, anwendbar für Prüfperioden beginnend am oder nach dem 1.1.2020.</w:t>
          </w:r>
        </w:p>
        <w:p w14:paraId="3F022F0C" w14:textId="19820CA2" w:rsidR="00067CEE" w:rsidRPr="005D5015" w:rsidRDefault="002562DB" w:rsidP="00675770">
          <w:pPr>
            <w:pStyle w:val="Fuzeile"/>
            <w:jc w:val="center"/>
            <w:rPr>
              <w:szCs w:val="16"/>
            </w:rPr>
          </w:pPr>
          <w:sdt>
            <w:sdtPr>
              <w:id w:val="-1584903620"/>
              <w:docPartObj>
                <w:docPartGallery w:val="Page Numbers (Bottom of Page)"/>
                <w:docPartUnique/>
              </w:docPartObj>
            </w:sdtPr>
            <w:sdtEndPr>
              <w:rPr>
                <w:noProof/>
                <w:szCs w:val="16"/>
              </w:rPr>
            </w:sdtEndPr>
            <w:sdtContent>
              <w:r w:rsidR="00067CEE">
                <w:t xml:space="preserve">Seite </w:t>
              </w:r>
              <w:r w:rsidR="00067CEE" w:rsidRPr="00163FB7">
                <w:rPr>
                  <w:szCs w:val="16"/>
                </w:rPr>
                <w:fldChar w:fldCharType="begin"/>
              </w:r>
              <w:r w:rsidR="00067CEE" w:rsidRPr="005D5015">
                <w:rPr>
                  <w:szCs w:val="16"/>
                </w:rPr>
                <w:instrText xml:space="preserve"> PAGE   \* MERGEFORMAT </w:instrText>
              </w:r>
              <w:r w:rsidR="00067CEE" w:rsidRPr="00163FB7">
                <w:rPr>
                  <w:szCs w:val="16"/>
                </w:rPr>
                <w:fldChar w:fldCharType="separate"/>
              </w:r>
              <w:r>
                <w:rPr>
                  <w:noProof/>
                  <w:szCs w:val="16"/>
                </w:rPr>
                <w:t>9</w:t>
              </w:r>
              <w:r w:rsidR="00067CEE" w:rsidRPr="00163FB7">
                <w:rPr>
                  <w:noProof/>
                  <w:szCs w:val="16"/>
                </w:rPr>
                <w:fldChar w:fldCharType="end"/>
              </w:r>
            </w:sdtContent>
          </w:sdt>
        </w:p>
        <w:p w14:paraId="51D3C3D6" w14:textId="77777777" w:rsidR="00067CEE" w:rsidRPr="00975547" w:rsidRDefault="00067CEE" w:rsidP="00455E44">
          <w:pPr>
            <w:pStyle w:val="Fuzeile"/>
            <w:tabs>
              <w:tab w:val="clear" w:pos="8618"/>
            </w:tabs>
          </w:pPr>
        </w:p>
      </w:tc>
      <w:tc>
        <w:tcPr>
          <w:tcW w:w="1607" w:type="pct"/>
          <w:tcMar>
            <w:left w:w="0" w:type="dxa"/>
          </w:tcMar>
        </w:tcPr>
        <w:p w14:paraId="440CD8D6" w14:textId="77777777" w:rsidR="00067CEE" w:rsidRDefault="00067CEE" w:rsidP="00455E44">
          <w:pPr>
            <w:pStyle w:val="Fuzeile"/>
            <w:tabs>
              <w:tab w:val="clear" w:pos="8618"/>
            </w:tabs>
          </w:pPr>
        </w:p>
      </w:tc>
      <w:tc>
        <w:tcPr>
          <w:tcW w:w="463" w:type="pct"/>
          <w:tcMar>
            <w:left w:w="0" w:type="dxa"/>
          </w:tcMar>
        </w:tcPr>
        <w:p w14:paraId="3BE75964" w14:textId="6545BE78" w:rsidR="00067CEE" w:rsidRPr="00D81961" w:rsidRDefault="00067CEE"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2562DB">
            <w:rPr>
              <w:noProof/>
              <w:sz w:val="15"/>
              <w:szCs w:val="15"/>
            </w:rPr>
            <w:t>9</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2562DB">
            <w:rPr>
              <w:noProof/>
              <w:sz w:val="15"/>
              <w:szCs w:val="15"/>
            </w:rPr>
            <w:t>9</w:t>
          </w:r>
          <w:r w:rsidRPr="00D81961">
            <w:rPr>
              <w:noProof/>
              <w:sz w:val="15"/>
              <w:szCs w:val="15"/>
            </w:rPr>
            <w:fldChar w:fldCharType="end"/>
          </w:r>
        </w:p>
      </w:tc>
    </w:tr>
  </w:tbl>
  <w:p w14:paraId="52C97CBB" w14:textId="77777777" w:rsidR="00067CEE" w:rsidRDefault="00067CEE" w:rsidP="00975547">
    <w:pPr>
      <w:pStyle w:val="Fuzeil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2474"/>
    </w:tblGrid>
    <w:tr w:rsidR="00067CEE" w:rsidRPr="00680FFB" w14:paraId="3E10C4D7" w14:textId="77777777" w:rsidTr="00D81961">
      <w:tc>
        <w:tcPr>
          <w:tcW w:w="11590" w:type="dxa"/>
        </w:tcPr>
        <w:p w14:paraId="008F50EB" w14:textId="77777777" w:rsidR="00067CEE" w:rsidRPr="00015B0D" w:rsidRDefault="00D671B3" w:rsidP="00D671B3">
          <w:pPr>
            <w:pStyle w:val="Fuzeile"/>
            <w:spacing w:line="240" w:lineRule="auto"/>
            <w:rPr>
              <w:bCs/>
              <w:sz w:val="15"/>
              <w:szCs w:val="15"/>
              <w:lang w:val="de-DE"/>
            </w:rPr>
          </w:pPr>
          <w:bookmarkStart w:id="2" w:name="BkmBarcode01" w:colFirst="1" w:colLast="1"/>
          <w:r w:rsidRPr="00015B0D">
            <w:rPr>
              <w:sz w:val="15"/>
              <w:szCs w:val="15"/>
            </w:rPr>
            <w:t>Laupenstrasse 27</w:t>
          </w:r>
          <w:r w:rsidR="00067CEE" w:rsidRPr="00015B0D">
            <w:rPr>
              <w:sz w:val="15"/>
              <w:szCs w:val="15"/>
            </w:rPr>
            <w:br/>
          </w:r>
          <w:r w:rsidR="00015B0D" w:rsidRPr="00015B0D">
            <w:rPr>
              <w:bCs/>
              <w:sz w:val="15"/>
              <w:szCs w:val="15"/>
              <w:lang w:val="de-DE"/>
            </w:rPr>
            <w:t>3003 Bern</w:t>
          </w:r>
        </w:p>
        <w:p w14:paraId="0FDD4A6A" w14:textId="0FCB1F5A" w:rsidR="00015B0D" w:rsidRPr="00015B0D" w:rsidRDefault="00015B0D" w:rsidP="00D671B3">
          <w:pPr>
            <w:pStyle w:val="Fuzeile"/>
            <w:spacing w:line="240" w:lineRule="auto"/>
          </w:pPr>
          <w:r w:rsidRPr="00015B0D">
            <w:rPr>
              <w:bCs/>
              <w:sz w:val="15"/>
              <w:szCs w:val="15"/>
              <w:lang w:val="de-DE"/>
            </w:rPr>
            <w:t>Tel. +41 (0)31 327 91 00</w:t>
          </w:r>
          <w:r w:rsidRPr="00015B0D">
            <w:rPr>
              <w:bCs/>
              <w:sz w:val="15"/>
              <w:szCs w:val="15"/>
              <w:lang w:val="de-DE"/>
            </w:rPr>
            <w:br/>
            <w:t>Fax +41 (0)31 327 91 01</w:t>
          </w:r>
          <w:r>
            <w:rPr>
              <w:bCs/>
              <w:sz w:val="15"/>
              <w:szCs w:val="15"/>
              <w:lang w:val="de-DE"/>
            </w:rPr>
            <w:br/>
          </w:r>
          <w:r w:rsidRPr="00015B0D">
            <w:rPr>
              <w:b/>
              <w:bCs/>
              <w:sz w:val="15"/>
              <w:szCs w:val="15"/>
              <w:lang w:val="de-DE"/>
            </w:rPr>
            <w:t>www.finma.ch</w:t>
          </w:r>
        </w:p>
      </w:tc>
      <w:tc>
        <w:tcPr>
          <w:tcW w:w="2487" w:type="dxa"/>
          <w:vMerge w:val="restart"/>
          <w:vAlign w:val="bottom"/>
        </w:tcPr>
        <w:p w14:paraId="377C7E94" w14:textId="77777777" w:rsidR="00067CEE" w:rsidRPr="00465386" w:rsidRDefault="00067CEE" w:rsidP="00455E44">
          <w:pPr>
            <w:pStyle w:val="Fuzeile"/>
            <w:spacing w:line="240" w:lineRule="auto"/>
            <w:jc w:val="right"/>
          </w:pPr>
        </w:p>
      </w:tc>
    </w:tr>
    <w:tr w:rsidR="00067CEE" w:rsidRPr="00680FFB" w14:paraId="6602AFE7" w14:textId="77777777" w:rsidTr="00D81961">
      <w:tc>
        <w:tcPr>
          <w:tcW w:w="11590" w:type="dxa"/>
        </w:tcPr>
        <w:p w14:paraId="245C341D" w14:textId="77777777" w:rsidR="00067CEE" w:rsidRPr="00465386" w:rsidRDefault="00067CEE" w:rsidP="00455E44">
          <w:pPr>
            <w:pStyle w:val="Fuzeile"/>
            <w:spacing w:line="240" w:lineRule="auto"/>
          </w:pPr>
        </w:p>
      </w:tc>
      <w:tc>
        <w:tcPr>
          <w:tcW w:w="2487" w:type="dxa"/>
          <w:vMerge/>
        </w:tcPr>
        <w:p w14:paraId="0048055F" w14:textId="77777777" w:rsidR="00067CEE" w:rsidRPr="00465386" w:rsidRDefault="00067CEE" w:rsidP="00455E44">
          <w:pPr>
            <w:pStyle w:val="Fuzeile"/>
            <w:spacing w:line="240" w:lineRule="auto"/>
          </w:pPr>
        </w:p>
      </w:tc>
    </w:tr>
    <w:tr w:rsidR="00067CEE" w:rsidRPr="00680FFB" w14:paraId="79B8217A" w14:textId="77777777" w:rsidTr="00D81961">
      <w:tc>
        <w:tcPr>
          <w:tcW w:w="11590" w:type="dxa"/>
        </w:tcPr>
        <w:p w14:paraId="10231913" w14:textId="08F7972C" w:rsidR="00067CEE" w:rsidRPr="00D81961" w:rsidRDefault="00067CEE"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separate"/>
          </w:r>
          <w:r w:rsidR="00D671B3">
            <w:rPr>
              <w:b/>
              <w:bCs/>
              <w:sz w:val="12"/>
              <w:szCs w:val="12"/>
              <w:lang w:val="de-DE"/>
            </w:rPr>
            <w:instrText>Fehler! Unbekannter Name für Dokument-Eigenschaft.</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671B3">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separate"/>
          </w:r>
          <w:r w:rsidR="00D671B3">
            <w:rPr>
              <w:b/>
              <w:bCs/>
              <w:sz w:val="12"/>
              <w:szCs w:val="12"/>
              <w:lang w:val="de-DE"/>
            </w:rPr>
            <w:instrText>Fehler! Unbekannter Name für Dokument-Eigenschaft.</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671B3">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separate"/>
          </w:r>
          <w:r w:rsidR="00D671B3">
            <w:rPr>
              <w:b/>
              <w:bCs/>
              <w:sz w:val="12"/>
              <w:szCs w:val="12"/>
              <w:lang w:val="de-DE"/>
            </w:rPr>
            <w:instrText>Fehler! Unbekannter Name für Dokument-Eigenschaft.</w:instrText>
          </w:r>
          <w:r w:rsidRPr="005D0B7C">
            <w:rPr>
              <w:sz w:val="12"/>
              <w:szCs w:val="12"/>
            </w:rPr>
            <w:fldChar w:fldCharType="end"/>
          </w:r>
          <w:r w:rsidRPr="005D0B7C">
            <w:rPr>
              <w:sz w:val="12"/>
              <w:szCs w:val="12"/>
            </w:rPr>
            <w:instrText xml:space="preserve">"="" ";" "" </w:instrText>
          </w:r>
          <w:r w:rsidR="00686A31">
            <w:rPr>
              <w:sz w:val="12"/>
              <w:szCs w:val="12"/>
            </w:rPr>
            <w:fldChar w:fldCharType="separate"/>
          </w:r>
          <w:r w:rsidRPr="005D0B7C">
            <w:rPr>
              <w:sz w:val="12"/>
              <w:szCs w:val="12"/>
            </w:rPr>
            <w:fldChar w:fldCharType="end"/>
          </w:r>
          <w:sdt>
            <w:sdtPr>
              <w:rPr>
                <w:sz w:val="12"/>
                <w:szCs w:val="12"/>
              </w:rPr>
              <w:alias w:val="Document ID Value"/>
              <w:tag w:val="_dlc_DocId"/>
              <w:id w:val="443044879"/>
              <w:text/>
            </w:sdtPr>
            <w:sdtEndPr/>
            <w:sdtContent>
              <w:r>
                <w:rPr>
                  <w:sz w:val="12"/>
                  <w:szCs w:val="12"/>
                </w:rPr>
                <w:t>b1004961-0000568</w:t>
              </w:r>
            </w:sdtContent>
          </w:sdt>
        </w:p>
      </w:tc>
      <w:tc>
        <w:tcPr>
          <w:tcW w:w="2487" w:type="dxa"/>
          <w:vMerge/>
        </w:tcPr>
        <w:p w14:paraId="2D859BD6" w14:textId="77777777" w:rsidR="00067CEE" w:rsidRPr="00465386" w:rsidRDefault="00067CEE" w:rsidP="00455E44">
          <w:pPr>
            <w:pStyle w:val="Fuzeile"/>
            <w:spacing w:line="240" w:lineRule="auto"/>
          </w:pPr>
        </w:p>
      </w:tc>
    </w:tr>
  </w:tbl>
  <w:bookmarkEnd w:id="2"/>
  <w:p w14:paraId="27E94320" w14:textId="77777777" w:rsidR="00067CEE" w:rsidRPr="00F768F1" w:rsidRDefault="002562DB" w:rsidP="00F768F1">
    <w:pPr>
      <w:pStyle w:val="Fuzeile"/>
      <w:spacing w:line="240" w:lineRule="auto"/>
      <w:rPr>
        <w:sz w:val="2"/>
        <w:szCs w:val="2"/>
      </w:rPr>
    </w:pPr>
    <w:sdt>
      <w:sdtPr>
        <w:rPr>
          <w:rFonts w:cs="Arial"/>
          <w:sz w:val="12"/>
          <w:szCs w:val="12"/>
        </w:rPr>
        <w:alias w:val="docid"/>
        <w:tag w:val="docid"/>
        <w:id w:val="-1710867897"/>
        <w:showingPlcHdr/>
      </w:sdtPr>
      <w:sdtEndPr/>
      <w:sdtContent>
        <w:r w:rsidR="00067CEE">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83A4" w14:textId="77777777" w:rsidR="000C2853" w:rsidRDefault="000C2853">
      <w:r>
        <w:separator/>
      </w:r>
    </w:p>
  </w:footnote>
  <w:footnote w:type="continuationSeparator" w:id="0">
    <w:p w14:paraId="1EAAC6BB" w14:textId="77777777" w:rsidR="000C2853" w:rsidRDefault="000C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gridCol w:w="9253"/>
    </w:tblGrid>
    <w:tr w:rsidR="00067CEE" w:rsidRPr="009B54F4" w14:paraId="5D112AED" w14:textId="77777777" w:rsidTr="003B049E">
      <w:trPr>
        <w:trHeight w:val="901"/>
      </w:trPr>
      <w:tc>
        <w:tcPr>
          <w:tcW w:w="10348" w:type="dxa"/>
          <w:tcBorders>
            <w:top w:val="nil"/>
            <w:left w:val="nil"/>
            <w:bottom w:val="nil"/>
            <w:right w:val="nil"/>
          </w:tcBorders>
          <w:vAlign w:val="bottom"/>
        </w:tcPr>
        <w:p w14:paraId="79969129" w14:textId="5D0A2701" w:rsidR="00067CEE" w:rsidRPr="007D72CA" w:rsidRDefault="00067CEE" w:rsidP="00994315">
          <w:pPr>
            <w:rPr>
              <w:rFonts w:cs="Arial"/>
              <w:sz w:val="16"/>
              <w:szCs w:val="16"/>
            </w:rPr>
          </w:pPr>
          <w:r>
            <w:rPr>
              <w:b/>
              <w:sz w:val="32"/>
              <w:szCs w:val="32"/>
            </w:rPr>
            <w:br/>
          </w:r>
          <w:r>
            <w:rPr>
              <w:b/>
              <w:sz w:val="16"/>
              <w:highlight w:val="yellow"/>
            </w:rPr>
            <w:t>[Institut XY]</w:t>
          </w:r>
          <w:r>
            <w:rPr>
              <w:b/>
              <w:sz w:val="32"/>
              <w:szCs w:val="32"/>
            </w:rPr>
            <w:br/>
          </w:r>
          <w:r>
            <w:rPr>
              <w:sz w:val="16"/>
            </w:rPr>
            <w:t xml:space="preserve">Prüfperiode </w:t>
          </w:r>
          <w:r>
            <w:rPr>
              <w:sz w:val="16"/>
              <w:highlight w:val="yellow"/>
            </w:rPr>
            <w:t>20XX</w:t>
          </w:r>
          <w:r>
            <w:rPr>
              <w:b/>
              <w:sz w:val="32"/>
            </w:rPr>
            <w:t xml:space="preserve"> </w:t>
          </w:r>
        </w:p>
        <w:p w14:paraId="204BB8A0" w14:textId="3302ABBD" w:rsidR="00067CEE" w:rsidRDefault="00067CEE" w:rsidP="00994315">
          <w:pPr>
            <w:pStyle w:val="Kopfzeile"/>
            <w:tabs>
              <w:tab w:val="clear" w:pos="9072"/>
              <w:tab w:val="right" w:pos="14317"/>
            </w:tabs>
            <w:rPr>
              <w:rFonts w:cs="Arial"/>
              <w:sz w:val="16"/>
              <w:szCs w:val="16"/>
            </w:rPr>
          </w:pPr>
          <w:r>
            <w:rPr>
              <w:sz w:val="16"/>
            </w:rPr>
            <w:t xml:space="preserve">Referenz: </w:t>
          </w:r>
          <w:r>
            <w:rPr>
              <w:sz w:val="16"/>
              <w:highlight w:val="yellow"/>
            </w:rPr>
            <w:t>[Referenz hinzufügen]</w:t>
          </w:r>
        </w:p>
        <w:p w14:paraId="13F686CD" w14:textId="2104A1F3" w:rsidR="00067CEE" w:rsidRPr="0045532C" w:rsidRDefault="00067CEE" w:rsidP="00994315">
          <w:pPr>
            <w:pStyle w:val="Kopfzeile"/>
            <w:tabs>
              <w:tab w:val="clear" w:pos="9072"/>
              <w:tab w:val="right" w:pos="14317"/>
            </w:tabs>
            <w:rPr>
              <w:rFonts w:cs="Arial"/>
              <w:sz w:val="14"/>
              <w:szCs w:val="16"/>
            </w:rPr>
          </w:pPr>
        </w:p>
        <w:p w14:paraId="739E348C" w14:textId="2BC8395E" w:rsidR="00067CEE" w:rsidRPr="00994315" w:rsidRDefault="00273623" w:rsidP="00994315">
          <w:pPr>
            <w:tabs>
              <w:tab w:val="left" w:pos="1800"/>
            </w:tabs>
          </w:pPr>
          <w:r>
            <w:rPr>
              <w:b/>
            </w:rPr>
            <w:t xml:space="preserve">Verhaltensregeln / </w:t>
          </w:r>
          <w:r w:rsidR="00067CEE" w:rsidRPr="0033085D">
            <w:rPr>
              <w:b/>
            </w:rPr>
            <w:t>Risikomanagement im Zusammenhang mit Cross-Border- Aktivitäten</w:t>
          </w:r>
        </w:p>
      </w:tc>
      <w:tc>
        <w:tcPr>
          <w:tcW w:w="9253" w:type="dxa"/>
          <w:tcBorders>
            <w:top w:val="nil"/>
            <w:left w:val="nil"/>
            <w:bottom w:val="nil"/>
            <w:right w:val="nil"/>
          </w:tcBorders>
        </w:tcPr>
        <w:p w14:paraId="1752C30B" w14:textId="69874AE5" w:rsidR="00067CEE" w:rsidRPr="00994315" w:rsidRDefault="002562DB" w:rsidP="00F05C8A">
          <w:pPr>
            <w:tabs>
              <w:tab w:val="right" w:pos="9360"/>
            </w:tabs>
            <w:ind w:right="40"/>
          </w:pPr>
          <w:r>
            <w:rPr>
              <w:noProof/>
              <w:lang w:bidi="ar-SA"/>
            </w:rPr>
            <mc:AlternateContent>
              <mc:Choice Requires="wps">
                <w:drawing>
                  <wp:anchor distT="45720" distB="45720" distL="114300" distR="114300" simplePos="0" relativeHeight="251671552" behindDoc="0" locked="0" layoutInCell="1" allowOverlap="1" wp14:anchorId="3BF21F68" wp14:editId="62265780">
                    <wp:simplePos x="0" y="0"/>
                    <wp:positionH relativeFrom="column">
                      <wp:posOffset>1000125</wp:posOffset>
                    </wp:positionH>
                    <wp:positionV relativeFrom="paragraph">
                      <wp:posOffset>710418</wp:posOffset>
                    </wp:positionV>
                    <wp:extent cx="1165860" cy="46037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60375"/>
                            </a:xfrm>
                            <a:prstGeom prst="rect">
                              <a:avLst/>
                            </a:prstGeom>
                            <a:solidFill>
                              <a:srgbClr val="FFFFFF"/>
                            </a:solidFill>
                            <a:ln w="9525">
                              <a:noFill/>
                              <a:miter lim="800000"/>
                              <a:headEnd/>
                              <a:tailEnd/>
                            </a:ln>
                          </wps:spPr>
                          <wps:txbx>
                            <w:txbxContent>
                              <w:p w14:paraId="2EF912DE" w14:textId="77777777" w:rsidR="002562DB" w:rsidRPr="00955D32" w:rsidRDefault="002562DB" w:rsidP="002562DB">
                                <w:pPr>
                                  <w:pStyle w:val="FINMAMarginalDocvalue"/>
                                  <w:spacing w:after="0"/>
                                  <w:ind w:left="284"/>
                                  <w:jc w:val="both"/>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Pr>
                                    <w:noProof/>
                                    <w:sz w:val="12"/>
                                    <w:szCs w:val="12"/>
                                  </w:rPr>
                                  <w:t>;</w:t>
                                </w:r>
                                <w:r>
                                  <w:rPr>
                                    <w:sz w:val="12"/>
                                    <w:szCs w:val="12"/>
                                  </w:rPr>
                                  <w:fldChar w:fldCharType="end"/>
                                </w:r>
                                <w:r>
                                  <w:rPr>
                                    <w:sz w:val="12"/>
                                    <w:szCs w:val="12"/>
                                  </w:rPr>
                                  <w:t>b1004961-0000568</w:t>
                                </w:r>
                              </w:p>
                              <w:p w14:paraId="24559742" w14:textId="77777777" w:rsidR="002562DB" w:rsidRPr="00B1182C" w:rsidRDefault="002562DB" w:rsidP="002562DB">
                                <w:pPr>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1F68" id="_x0000_t202" coordsize="21600,21600" o:spt="202" path="m,l,21600r21600,l21600,xe">
                    <v:stroke joinstyle="miter"/>
                    <v:path gradientshapeok="t" o:connecttype="rect"/>
                  </v:shapetype>
                  <v:shape id="Textfeld 2" o:spid="_x0000_s1026" type="#_x0000_t202" style="position:absolute;margin-left:78.75pt;margin-top:55.95pt;width:91.8pt;height:3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" stroked="f">
                    <v:textbox>
                      <w:txbxContent>
                        <w:p w14:paraId="2EF912DE" w14:textId="77777777" w:rsidR="002562DB" w:rsidRPr="00955D32" w:rsidRDefault="002562DB" w:rsidP="002562DB">
                          <w:pPr>
                            <w:pStyle w:val="FINMAMarginalDocvalue"/>
                            <w:spacing w:after="0"/>
                            <w:ind w:left="284"/>
                            <w:jc w:val="both"/>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Pr>
                              <w:noProof/>
                              <w:sz w:val="12"/>
                              <w:szCs w:val="12"/>
                            </w:rPr>
                            <w:t>;</w:t>
                          </w:r>
                          <w:r>
                            <w:rPr>
                              <w:sz w:val="12"/>
                              <w:szCs w:val="12"/>
                            </w:rPr>
                            <w:fldChar w:fldCharType="end"/>
                          </w:r>
                          <w:r>
                            <w:rPr>
                              <w:sz w:val="12"/>
                              <w:szCs w:val="12"/>
                            </w:rPr>
                            <w:t>b1004961-0000568</w:t>
                          </w:r>
                        </w:p>
                        <w:p w14:paraId="24559742" w14:textId="77777777" w:rsidR="002562DB" w:rsidRPr="00B1182C" w:rsidRDefault="002562DB" w:rsidP="002562DB">
                          <w:pPr>
                            <w:ind w:left="284"/>
                            <w:jc w:val="both"/>
                          </w:pPr>
                        </w:p>
                      </w:txbxContent>
                    </v:textbox>
                    <w10:wrap type="square"/>
                  </v:shape>
                </w:pict>
              </mc:Fallback>
            </mc:AlternateContent>
          </w:r>
          <w:r>
            <w:rPr>
              <w:noProof/>
              <w:lang w:bidi="ar-SA"/>
            </w:rPr>
            <w:drawing>
              <wp:anchor distT="0" distB="0" distL="114300" distR="114300" simplePos="0" relativeHeight="251669504" behindDoc="0" locked="0" layoutInCell="1" allowOverlap="1" wp14:anchorId="301B1365" wp14:editId="630182BE">
                <wp:simplePos x="0" y="0"/>
                <wp:positionH relativeFrom="column">
                  <wp:posOffset>1276985</wp:posOffset>
                </wp:positionH>
                <wp:positionV relativeFrom="paragraph">
                  <wp:posOffset>400538</wp:posOffset>
                </wp:positionV>
                <wp:extent cx="1303293" cy="298939"/>
                <wp:effectExtent l="0" t="0" r="0" b="6350"/>
                <wp:wrapNone/>
                <wp:docPr id="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93" cy="298939"/>
                        </a:xfrm>
                        <a:prstGeom prst="rect">
                          <a:avLst/>
                        </a:prstGeom>
                      </pic:spPr>
                    </pic:pic>
                  </a:graphicData>
                </a:graphic>
                <wp14:sizeRelH relativeFrom="page">
                  <wp14:pctWidth>0</wp14:pctWidth>
                </wp14:sizeRelH>
                <wp14:sizeRelV relativeFrom="page">
                  <wp14:pctHeight>0</wp14:pctHeight>
                </wp14:sizeRelV>
              </wp:anchor>
            </w:drawing>
          </w:r>
          <w:r w:rsidR="00DC5008">
            <w:rPr>
              <w:noProof/>
              <w:lang w:bidi="ar-SA"/>
            </w:rPr>
            <mc:AlternateContent>
              <mc:Choice Requires="wps">
                <w:drawing>
                  <wp:anchor distT="45720" distB="45720" distL="114300" distR="114300" simplePos="0" relativeHeight="251667456" behindDoc="0" locked="0" layoutInCell="1" allowOverlap="1" wp14:anchorId="2471E3B6" wp14:editId="2FDF6715">
                    <wp:simplePos x="0" y="0"/>
                    <wp:positionH relativeFrom="column">
                      <wp:posOffset>3975100</wp:posOffset>
                    </wp:positionH>
                    <wp:positionV relativeFrom="paragraph">
                      <wp:posOffset>697865</wp:posOffset>
                    </wp:positionV>
                    <wp:extent cx="972820" cy="460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460375"/>
                            </a:xfrm>
                            <a:prstGeom prst="rect">
                              <a:avLst/>
                            </a:prstGeom>
                            <a:solidFill>
                              <a:srgbClr val="FFFFFF"/>
                            </a:solidFill>
                            <a:ln w="9525">
                              <a:noFill/>
                              <a:miter lim="800000"/>
                              <a:headEnd/>
                              <a:tailEnd/>
                            </a:ln>
                          </wps:spPr>
                          <wps:txbx>
                            <w:txbxContent>
                              <w:p w14:paraId="498975D6" w14:textId="2EEE8DB7" w:rsidR="00DC5008" w:rsidRPr="00955D32" w:rsidRDefault="00DC5008" w:rsidP="00DC5008">
                                <w:pPr>
                                  <w:pStyle w:val="FINMAMarginalDocvalue"/>
                                  <w:spacing w:after="0"/>
                                </w:pPr>
                                <w:r>
                                  <w:rPr>
                                    <w:b/>
                                    <w:sz w:val="12"/>
                                  </w:rPr>
                                  <w:t>Referenz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686A31">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2562DB">
                                  <w:rPr>
                                    <w:noProof/>
                                    <w:sz w:val="12"/>
                                    <w:szCs w:val="12"/>
                                  </w:rPr>
                                  <w:t>;</w:t>
                                </w:r>
                                <w:r>
                                  <w:rPr>
                                    <w:sz w:val="12"/>
                                    <w:szCs w:val="12"/>
                                  </w:rPr>
                                  <w:fldChar w:fldCharType="end"/>
                                </w:r>
                                <w:r>
                                  <w:rPr>
                                    <w:sz w:val="12"/>
                                    <w:szCs w:val="12"/>
                                  </w:rPr>
                                  <w:t>b1004961-0000568</w:t>
                                </w:r>
                              </w:p>
                              <w:p w14:paraId="397A671D" w14:textId="77777777" w:rsidR="00DC5008" w:rsidRPr="00B1182C" w:rsidRDefault="00DC5008" w:rsidP="00DC5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E3B6" id="_x0000_s1027" type="#_x0000_t202" style="position:absolute;margin-left:313pt;margin-top:54.95pt;width:76.6pt;height:3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" stroked="f">
                    <v:textbox>
                      <w:txbxContent>
                        <w:p w14:paraId="498975D6" w14:textId="2EEE8DB7" w:rsidR="00DC5008" w:rsidRPr="00955D32" w:rsidRDefault="00DC5008" w:rsidP="00DC5008">
                          <w:pPr>
                            <w:pStyle w:val="FINMAMarginalDocvalue"/>
                            <w:spacing w:after="0"/>
                          </w:pPr>
                          <w:r>
                            <w:rPr>
                              <w:b/>
                              <w:sz w:val="12"/>
                            </w:rPr>
                            <w:t>Referenz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686A31">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2562DB">
                            <w:rPr>
                              <w:noProof/>
                              <w:sz w:val="12"/>
                              <w:szCs w:val="12"/>
                            </w:rPr>
                            <w:t>;</w:t>
                          </w:r>
                          <w:r>
                            <w:rPr>
                              <w:sz w:val="12"/>
                              <w:szCs w:val="12"/>
                            </w:rPr>
                            <w:fldChar w:fldCharType="end"/>
                          </w:r>
                          <w:r>
                            <w:rPr>
                              <w:sz w:val="12"/>
                              <w:szCs w:val="12"/>
                            </w:rPr>
                            <w:t>b1004961-0000568</w:t>
                          </w:r>
                        </w:p>
                        <w:p w14:paraId="397A671D" w14:textId="77777777" w:rsidR="00DC5008" w:rsidRPr="00B1182C" w:rsidRDefault="00DC5008" w:rsidP="00DC5008"/>
                      </w:txbxContent>
                    </v:textbox>
                    <w10:wrap type="square"/>
                  </v:shape>
                </w:pict>
              </mc:Fallback>
            </mc:AlternateContent>
          </w:r>
          <w:r w:rsidR="00067CEE">
            <w:rPr>
              <w:noProof/>
              <w:lang w:bidi="ar-SA"/>
            </w:rPr>
            <w:drawing>
              <wp:anchor distT="0" distB="0" distL="114300" distR="114300" simplePos="0" relativeHeight="251665408" behindDoc="0" locked="0" layoutInCell="1" allowOverlap="1" wp14:anchorId="763AAA9E" wp14:editId="4B94B915">
                <wp:simplePos x="0" y="0"/>
                <wp:positionH relativeFrom="column">
                  <wp:posOffset>4058920</wp:posOffset>
                </wp:positionH>
                <wp:positionV relativeFrom="paragraph">
                  <wp:posOffset>367665</wp:posOffset>
                </wp:positionV>
                <wp:extent cx="1223645" cy="280670"/>
                <wp:effectExtent l="0" t="0" r="0" b="5080"/>
                <wp:wrapNone/>
                <wp:docPr id="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p>
      </w:tc>
    </w:tr>
  </w:tbl>
  <w:p w14:paraId="400954F8" w14:textId="3A2D3C9E" w:rsidR="00067CEE" w:rsidRPr="00110559" w:rsidRDefault="00067CEE"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777" w:type="dxa"/>
      <w:tblLook w:val="01E0" w:firstRow="1" w:lastRow="1" w:firstColumn="1" w:lastColumn="1" w:noHBand="0" w:noVBand="0"/>
    </w:tblPr>
    <w:tblGrid>
      <w:gridCol w:w="9781"/>
      <w:gridCol w:w="6996"/>
    </w:tblGrid>
    <w:tr w:rsidR="00067CEE" w:rsidRPr="009B54F4" w14:paraId="689CCBD9" w14:textId="77777777" w:rsidTr="003B049E">
      <w:trPr>
        <w:trHeight w:val="1789"/>
      </w:trPr>
      <w:tc>
        <w:tcPr>
          <w:tcW w:w="9781" w:type="dxa"/>
        </w:tcPr>
        <w:p w14:paraId="50FB2429" w14:textId="77777777" w:rsidR="00067CEE" w:rsidRPr="007D72CA" w:rsidRDefault="00067CEE" w:rsidP="00994315">
          <w:pPr>
            <w:rPr>
              <w:rFonts w:cs="Arial"/>
              <w:sz w:val="16"/>
              <w:szCs w:val="16"/>
            </w:rPr>
          </w:pPr>
          <w:r>
            <w:rPr>
              <w:b/>
              <w:sz w:val="32"/>
              <w:szCs w:val="32"/>
            </w:rPr>
            <w:br/>
          </w:r>
          <w:r>
            <w:rPr>
              <w:b/>
              <w:sz w:val="16"/>
              <w:highlight w:val="yellow"/>
            </w:rPr>
            <w:t>[Institut XY]</w:t>
          </w:r>
          <w:r>
            <w:rPr>
              <w:b/>
              <w:sz w:val="32"/>
              <w:szCs w:val="32"/>
            </w:rPr>
            <w:br/>
          </w:r>
          <w:r>
            <w:rPr>
              <w:sz w:val="16"/>
            </w:rPr>
            <w:t xml:space="preserve">Prüfperiode </w:t>
          </w:r>
          <w:r>
            <w:rPr>
              <w:sz w:val="16"/>
              <w:highlight w:val="yellow"/>
            </w:rPr>
            <w:t>20XX</w:t>
          </w:r>
          <w:r>
            <w:rPr>
              <w:b/>
              <w:sz w:val="32"/>
            </w:rPr>
            <w:t xml:space="preserve"> </w:t>
          </w:r>
        </w:p>
        <w:p w14:paraId="4DA706AB" w14:textId="77777777" w:rsidR="00067CEE" w:rsidRDefault="00067CEE" w:rsidP="00994315">
          <w:pPr>
            <w:pStyle w:val="Kopfzeile"/>
            <w:tabs>
              <w:tab w:val="clear" w:pos="9072"/>
              <w:tab w:val="right" w:pos="14317"/>
            </w:tabs>
            <w:rPr>
              <w:rFonts w:cs="Arial"/>
              <w:sz w:val="16"/>
              <w:szCs w:val="16"/>
            </w:rPr>
          </w:pPr>
          <w:r>
            <w:rPr>
              <w:sz w:val="16"/>
            </w:rPr>
            <w:t xml:space="preserve">Referenz: </w:t>
          </w:r>
          <w:r>
            <w:rPr>
              <w:sz w:val="16"/>
              <w:highlight w:val="yellow"/>
            </w:rPr>
            <w:t>[Referenz hinzufügen]</w:t>
          </w:r>
        </w:p>
        <w:p w14:paraId="1BB7BCCB" w14:textId="77777777" w:rsidR="00067CEE" w:rsidRPr="0045532C" w:rsidRDefault="00067CEE" w:rsidP="00994315">
          <w:pPr>
            <w:pStyle w:val="Kopfzeile"/>
            <w:tabs>
              <w:tab w:val="clear" w:pos="9072"/>
              <w:tab w:val="right" w:pos="14317"/>
            </w:tabs>
            <w:rPr>
              <w:rFonts w:cs="Arial"/>
              <w:sz w:val="14"/>
              <w:szCs w:val="16"/>
            </w:rPr>
          </w:pPr>
        </w:p>
        <w:p w14:paraId="72D27615" w14:textId="1A07472D" w:rsidR="00067CEE" w:rsidRPr="00994315" w:rsidRDefault="00273623" w:rsidP="00B9049B">
          <w:pPr>
            <w:rPr>
              <w:b/>
              <w:sz w:val="32"/>
              <w:szCs w:val="32"/>
            </w:rPr>
          </w:pPr>
          <w:r>
            <w:rPr>
              <w:b/>
            </w:rPr>
            <w:t xml:space="preserve">Verhaltensregeln / </w:t>
          </w:r>
          <w:r w:rsidR="00067CEE">
            <w:rPr>
              <w:b/>
            </w:rPr>
            <w:t>Risikomanagement im Zusammenhang mit Cross-Border-Aktivitäten</w:t>
          </w:r>
          <w:r w:rsidR="00067CEE" w:rsidRPr="008E3C27">
            <w:rPr>
              <w:b/>
              <w:sz w:val="32"/>
              <w:szCs w:val="32"/>
            </w:rPr>
            <w:fldChar w:fldCharType="begin"/>
          </w:r>
          <w:r w:rsidR="00067CEE" w:rsidRPr="00994315">
            <w:rPr>
              <w:b/>
              <w:sz w:val="32"/>
              <w:szCs w:val="32"/>
            </w:rPr>
            <w:instrText xml:space="preserve"> IF "</w:instrText>
          </w:r>
          <w:r w:rsidR="00067CEE" w:rsidRPr="008E3C27">
            <w:rPr>
              <w:b/>
              <w:sz w:val="32"/>
              <w:szCs w:val="32"/>
            </w:rPr>
            <w:fldChar w:fldCharType="begin"/>
          </w:r>
          <w:r w:rsidR="00067CEE" w:rsidRPr="00994315">
            <w:rPr>
              <w:b/>
              <w:sz w:val="32"/>
              <w:szCs w:val="32"/>
            </w:rPr>
            <w:instrText xml:space="preserve"> DOCPROPERTY "feld_vertraulich" </w:instrText>
          </w:r>
          <w:r w:rsidR="00067CEE" w:rsidRPr="008E3C27">
            <w:rPr>
              <w:b/>
              <w:sz w:val="32"/>
              <w:szCs w:val="32"/>
            </w:rPr>
            <w:fldChar w:fldCharType="separate"/>
          </w:r>
          <w:r w:rsidR="00D671B3">
            <w:rPr>
              <w:bCs/>
              <w:sz w:val="32"/>
              <w:szCs w:val="32"/>
              <w:lang w:val="de-DE"/>
            </w:rPr>
            <w:instrText>Fehler! Unbekannter Name für Dokument-Eigenschaft.</w:instrText>
          </w:r>
          <w:r w:rsidR="00067CEE" w:rsidRPr="008E3C27">
            <w:rPr>
              <w:b/>
              <w:bCs/>
              <w:sz w:val="32"/>
              <w:szCs w:val="32"/>
            </w:rPr>
            <w:fldChar w:fldCharType="end"/>
          </w:r>
          <w:r w:rsidR="00067CEE" w:rsidRPr="00994315">
            <w:rPr>
              <w:b/>
              <w:sz w:val="32"/>
              <w:szCs w:val="32"/>
            </w:rPr>
            <w:instrText xml:space="preserve">"="Ja" "VERTRAULICH" "" </w:instrText>
          </w:r>
          <w:r w:rsidR="00067CEE" w:rsidRPr="008E3C27">
            <w:rPr>
              <w:b/>
              <w:sz w:val="32"/>
              <w:szCs w:val="32"/>
            </w:rPr>
            <w:fldChar w:fldCharType="end"/>
          </w:r>
        </w:p>
      </w:tc>
      <w:tc>
        <w:tcPr>
          <w:tcW w:w="6996" w:type="dxa"/>
        </w:tcPr>
        <w:p w14:paraId="0F0908A1" w14:textId="77777777" w:rsidR="00067CEE" w:rsidRPr="00994315" w:rsidRDefault="00067CEE" w:rsidP="00455E44">
          <w:r>
            <w:rPr>
              <w:noProof/>
              <w:lang w:bidi="ar-SA"/>
            </w:rPr>
            <w:drawing>
              <wp:anchor distT="0" distB="0" distL="114300" distR="114300" simplePos="0" relativeHeight="251663360" behindDoc="0" locked="0" layoutInCell="1" allowOverlap="1" wp14:anchorId="604C346C" wp14:editId="25763028">
                <wp:simplePos x="0" y="0"/>
                <wp:positionH relativeFrom="column">
                  <wp:posOffset>910883</wp:posOffset>
                </wp:positionH>
                <wp:positionV relativeFrom="paragraph">
                  <wp:posOffset>202859</wp:posOffset>
                </wp:positionV>
                <wp:extent cx="1588477" cy="698952"/>
                <wp:effectExtent l="0" t="0" r="0" b="6350"/>
                <wp:wrapNone/>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477" cy="698952"/>
                        </a:xfrm>
                        <a:prstGeom prst="rect">
                          <a:avLst/>
                        </a:prstGeom>
                      </pic:spPr>
                    </pic:pic>
                  </a:graphicData>
                </a:graphic>
                <wp14:sizeRelH relativeFrom="page">
                  <wp14:pctWidth>0</wp14:pctWidth>
                </wp14:sizeRelH>
                <wp14:sizeRelV relativeFrom="page">
                  <wp14:pctHeight>0</wp14:pctHeight>
                </wp14:sizeRelV>
              </wp:anchor>
            </w:drawing>
          </w:r>
        </w:p>
      </w:tc>
    </w:tr>
  </w:tbl>
  <w:p w14:paraId="624528FC" w14:textId="77777777" w:rsidR="00067CEE" w:rsidRPr="00994315" w:rsidRDefault="00067CEE"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2C02B96"/>
    <w:multiLevelType w:val="hybridMultilevel"/>
    <w:tmpl w:val="A8BE05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67C65345"/>
    <w:multiLevelType w:val="hybridMultilevel"/>
    <w:tmpl w:val="81029E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3"/>
  </w:num>
  <w:num w:numId="6">
    <w:abstractNumId w:val="0"/>
  </w:num>
  <w:num w:numId="7">
    <w:abstractNumId w:val="9"/>
  </w:num>
  <w:num w:numId="8">
    <w:abstractNumId w:val="12"/>
  </w:num>
  <w:num w:numId="9">
    <w:abstractNumId w:val="4"/>
  </w:num>
  <w:num w:numId="10">
    <w:abstractNumId w:val="2"/>
  </w:num>
  <w:num w:numId="11">
    <w:abstractNumId w:val="6"/>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CH" w:vendorID="64" w:dllVersion="131078" w:nlCheck="1" w:checkStyle="0"/>
  <w:activeWritingStyle w:appName="MSWord" w:lang="fr-CH"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0309B"/>
    <w:rsid w:val="00006D53"/>
    <w:rsid w:val="00015B0D"/>
    <w:rsid w:val="0001718E"/>
    <w:rsid w:val="00017F57"/>
    <w:rsid w:val="000239AE"/>
    <w:rsid w:val="00024D4C"/>
    <w:rsid w:val="000259BF"/>
    <w:rsid w:val="000339C7"/>
    <w:rsid w:val="0003730B"/>
    <w:rsid w:val="00040E7F"/>
    <w:rsid w:val="00044074"/>
    <w:rsid w:val="00053CAC"/>
    <w:rsid w:val="00054651"/>
    <w:rsid w:val="000550D5"/>
    <w:rsid w:val="000572FE"/>
    <w:rsid w:val="000632D8"/>
    <w:rsid w:val="00067CEE"/>
    <w:rsid w:val="00070974"/>
    <w:rsid w:val="00070A8C"/>
    <w:rsid w:val="000728B7"/>
    <w:rsid w:val="00075CE8"/>
    <w:rsid w:val="00077666"/>
    <w:rsid w:val="000822DF"/>
    <w:rsid w:val="00082887"/>
    <w:rsid w:val="000837C2"/>
    <w:rsid w:val="000904A3"/>
    <w:rsid w:val="00091D57"/>
    <w:rsid w:val="00094E88"/>
    <w:rsid w:val="000A436A"/>
    <w:rsid w:val="000A4F31"/>
    <w:rsid w:val="000A5D71"/>
    <w:rsid w:val="000A726B"/>
    <w:rsid w:val="000B4554"/>
    <w:rsid w:val="000B5284"/>
    <w:rsid w:val="000C2853"/>
    <w:rsid w:val="000C2E06"/>
    <w:rsid w:val="000C66F6"/>
    <w:rsid w:val="000C7983"/>
    <w:rsid w:val="000D10F4"/>
    <w:rsid w:val="000D337E"/>
    <w:rsid w:val="000D6C35"/>
    <w:rsid w:val="000E40E6"/>
    <w:rsid w:val="000E612D"/>
    <w:rsid w:val="00110559"/>
    <w:rsid w:val="00115168"/>
    <w:rsid w:val="00122506"/>
    <w:rsid w:val="00133196"/>
    <w:rsid w:val="0013549E"/>
    <w:rsid w:val="0014461A"/>
    <w:rsid w:val="001479FA"/>
    <w:rsid w:val="00150782"/>
    <w:rsid w:val="00150E8B"/>
    <w:rsid w:val="00155369"/>
    <w:rsid w:val="00161133"/>
    <w:rsid w:val="00164BF6"/>
    <w:rsid w:val="001656C2"/>
    <w:rsid w:val="0017124A"/>
    <w:rsid w:val="00172485"/>
    <w:rsid w:val="001749D6"/>
    <w:rsid w:val="0018719C"/>
    <w:rsid w:val="00190D92"/>
    <w:rsid w:val="001A0D35"/>
    <w:rsid w:val="001A0FA1"/>
    <w:rsid w:val="001A758E"/>
    <w:rsid w:val="001B0BA4"/>
    <w:rsid w:val="001B4054"/>
    <w:rsid w:val="001B76E5"/>
    <w:rsid w:val="001C25B1"/>
    <w:rsid w:val="001C2ADC"/>
    <w:rsid w:val="001C303F"/>
    <w:rsid w:val="001C5E3A"/>
    <w:rsid w:val="001D019A"/>
    <w:rsid w:val="001D1729"/>
    <w:rsid w:val="001E78B6"/>
    <w:rsid w:val="001F0E1C"/>
    <w:rsid w:val="001F1C1B"/>
    <w:rsid w:val="001F2706"/>
    <w:rsid w:val="001F462D"/>
    <w:rsid w:val="001F5F4A"/>
    <w:rsid w:val="001F6403"/>
    <w:rsid w:val="001F7678"/>
    <w:rsid w:val="00203E5D"/>
    <w:rsid w:val="002040C6"/>
    <w:rsid w:val="00204B23"/>
    <w:rsid w:val="00207D99"/>
    <w:rsid w:val="0021274A"/>
    <w:rsid w:val="00217AA6"/>
    <w:rsid w:val="00221F14"/>
    <w:rsid w:val="00227FBC"/>
    <w:rsid w:val="002330CF"/>
    <w:rsid w:val="002415F9"/>
    <w:rsid w:val="002436E4"/>
    <w:rsid w:val="00245584"/>
    <w:rsid w:val="00245CAC"/>
    <w:rsid w:val="00246290"/>
    <w:rsid w:val="002476AC"/>
    <w:rsid w:val="00250112"/>
    <w:rsid w:val="002562DB"/>
    <w:rsid w:val="00256539"/>
    <w:rsid w:val="00256FE8"/>
    <w:rsid w:val="00264805"/>
    <w:rsid w:val="00265230"/>
    <w:rsid w:val="00273623"/>
    <w:rsid w:val="002762D3"/>
    <w:rsid w:val="00282AA1"/>
    <w:rsid w:val="00283AA5"/>
    <w:rsid w:val="00284BA0"/>
    <w:rsid w:val="00284C59"/>
    <w:rsid w:val="002851F7"/>
    <w:rsid w:val="00286E08"/>
    <w:rsid w:val="00287AAA"/>
    <w:rsid w:val="00294A59"/>
    <w:rsid w:val="002A0835"/>
    <w:rsid w:val="002A48CF"/>
    <w:rsid w:val="002B0C66"/>
    <w:rsid w:val="002B137C"/>
    <w:rsid w:val="002B20EB"/>
    <w:rsid w:val="002B490E"/>
    <w:rsid w:val="002B4D96"/>
    <w:rsid w:val="002B7513"/>
    <w:rsid w:val="002B79E3"/>
    <w:rsid w:val="002C2BEB"/>
    <w:rsid w:val="002C5C51"/>
    <w:rsid w:val="002D5975"/>
    <w:rsid w:val="002E20C7"/>
    <w:rsid w:val="002E2B5D"/>
    <w:rsid w:val="002E4B22"/>
    <w:rsid w:val="002E6021"/>
    <w:rsid w:val="002E6B63"/>
    <w:rsid w:val="002F1A39"/>
    <w:rsid w:val="003051D1"/>
    <w:rsid w:val="00316E19"/>
    <w:rsid w:val="00326F45"/>
    <w:rsid w:val="0033085D"/>
    <w:rsid w:val="00330C32"/>
    <w:rsid w:val="0033442E"/>
    <w:rsid w:val="00336E1C"/>
    <w:rsid w:val="00346326"/>
    <w:rsid w:val="00346735"/>
    <w:rsid w:val="00355146"/>
    <w:rsid w:val="003675AB"/>
    <w:rsid w:val="0037152B"/>
    <w:rsid w:val="003776F1"/>
    <w:rsid w:val="0039235E"/>
    <w:rsid w:val="00392743"/>
    <w:rsid w:val="003979F8"/>
    <w:rsid w:val="003A2906"/>
    <w:rsid w:val="003A7B8B"/>
    <w:rsid w:val="003B049E"/>
    <w:rsid w:val="003B08C0"/>
    <w:rsid w:val="003B702C"/>
    <w:rsid w:val="003C79A3"/>
    <w:rsid w:val="003D247A"/>
    <w:rsid w:val="003D3866"/>
    <w:rsid w:val="003D4AA3"/>
    <w:rsid w:val="003D7D00"/>
    <w:rsid w:val="003E231A"/>
    <w:rsid w:val="003E3CDF"/>
    <w:rsid w:val="003E495A"/>
    <w:rsid w:val="003E5765"/>
    <w:rsid w:val="003F0C61"/>
    <w:rsid w:val="003F2BD8"/>
    <w:rsid w:val="00400954"/>
    <w:rsid w:val="004040EA"/>
    <w:rsid w:val="004118FB"/>
    <w:rsid w:val="00413781"/>
    <w:rsid w:val="00413E4A"/>
    <w:rsid w:val="004309E0"/>
    <w:rsid w:val="00433182"/>
    <w:rsid w:val="004342CD"/>
    <w:rsid w:val="00434D41"/>
    <w:rsid w:val="00434E66"/>
    <w:rsid w:val="00437412"/>
    <w:rsid w:val="00455E44"/>
    <w:rsid w:val="004576AD"/>
    <w:rsid w:val="004622A6"/>
    <w:rsid w:val="00463F41"/>
    <w:rsid w:val="004653AF"/>
    <w:rsid w:val="0047398F"/>
    <w:rsid w:val="00477484"/>
    <w:rsid w:val="00481503"/>
    <w:rsid w:val="00483662"/>
    <w:rsid w:val="00490FFE"/>
    <w:rsid w:val="00496E97"/>
    <w:rsid w:val="004A246D"/>
    <w:rsid w:val="004A5CA4"/>
    <w:rsid w:val="004A6863"/>
    <w:rsid w:val="004A6911"/>
    <w:rsid w:val="004A6E1E"/>
    <w:rsid w:val="004A7D92"/>
    <w:rsid w:val="004B0980"/>
    <w:rsid w:val="004B2A5D"/>
    <w:rsid w:val="004E0524"/>
    <w:rsid w:val="004E0892"/>
    <w:rsid w:val="004E1256"/>
    <w:rsid w:val="004E1F00"/>
    <w:rsid w:val="004E607E"/>
    <w:rsid w:val="004F0AAC"/>
    <w:rsid w:val="00506263"/>
    <w:rsid w:val="00506403"/>
    <w:rsid w:val="005129AF"/>
    <w:rsid w:val="00513A59"/>
    <w:rsid w:val="005212F7"/>
    <w:rsid w:val="005218E6"/>
    <w:rsid w:val="00522BD0"/>
    <w:rsid w:val="00524470"/>
    <w:rsid w:val="005270D9"/>
    <w:rsid w:val="0053429C"/>
    <w:rsid w:val="0055782A"/>
    <w:rsid w:val="00560231"/>
    <w:rsid w:val="00562E3C"/>
    <w:rsid w:val="00564295"/>
    <w:rsid w:val="00565FAD"/>
    <w:rsid w:val="00575220"/>
    <w:rsid w:val="00575E04"/>
    <w:rsid w:val="00577C59"/>
    <w:rsid w:val="00591E6F"/>
    <w:rsid w:val="00592974"/>
    <w:rsid w:val="0059311E"/>
    <w:rsid w:val="00593545"/>
    <w:rsid w:val="005A7056"/>
    <w:rsid w:val="005B053E"/>
    <w:rsid w:val="005B30DC"/>
    <w:rsid w:val="005B4F07"/>
    <w:rsid w:val="005D5B0E"/>
    <w:rsid w:val="005D6470"/>
    <w:rsid w:val="005D6615"/>
    <w:rsid w:val="005D6D65"/>
    <w:rsid w:val="005E54C6"/>
    <w:rsid w:val="005E5E1B"/>
    <w:rsid w:val="005E60B5"/>
    <w:rsid w:val="005E7938"/>
    <w:rsid w:val="005F06C7"/>
    <w:rsid w:val="00602E46"/>
    <w:rsid w:val="00611174"/>
    <w:rsid w:val="00612B14"/>
    <w:rsid w:val="00613B5F"/>
    <w:rsid w:val="00615BBC"/>
    <w:rsid w:val="00617646"/>
    <w:rsid w:val="00620145"/>
    <w:rsid w:val="00623792"/>
    <w:rsid w:val="0063696E"/>
    <w:rsid w:val="0064776F"/>
    <w:rsid w:val="0065022C"/>
    <w:rsid w:val="00650307"/>
    <w:rsid w:val="0065590E"/>
    <w:rsid w:val="00663F13"/>
    <w:rsid w:val="00666DEC"/>
    <w:rsid w:val="0067305E"/>
    <w:rsid w:val="0067414F"/>
    <w:rsid w:val="00675770"/>
    <w:rsid w:val="00680FFB"/>
    <w:rsid w:val="00681A03"/>
    <w:rsid w:val="0068364B"/>
    <w:rsid w:val="00686A31"/>
    <w:rsid w:val="00690971"/>
    <w:rsid w:val="0069568B"/>
    <w:rsid w:val="0069682B"/>
    <w:rsid w:val="006A6FE0"/>
    <w:rsid w:val="006B79C7"/>
    <w:rsid w:val="006D2EED"/>
    <w:rsid w:val="006D6960"/>
    <w:rsid w:val="006E437D"/>
    <w:rsid w:val="00704500"/>
    <w:rsid w:val="00704539"/>
    <w:rsid w:val="00713930"/>
    <w:rsid w:val="007143F3"/>
    <w:rsid w:val="00717ED2"/>
    <w:rsid w:val="00726BF6"/>
    <w:rsid w:val="00734124"/>
    <w:rsid w:val="00735F1E"/>
    <w:rsid w:val="00737AE2"/>
    <w:rsid w:val="00741A69"/>
    <w:rsid w:val="00743E6C"/>
    <w:rsid w:val="00746B4B"/>
    <w:rsid w:val="00753103"/>
    <w:rsid w:val="0075484F"/>
    <w:rsid w:val="007616DB"/>
    <w:rsid w:val="00770DD1"/>
    <w:rsid w:val="00773557"/>
    <w:rsid w:val="0078347C"/>
    <w:rsid w:val="007913AC"/>
    <w:rsid w:val="00792048"/>
    <w:rsid w:val="00793A68"/>
    <w:rsid w:val="007959C0"/>
    <w:rsid w:val="0079791A"/>
    <w:rsid w:val="007979EB"/>
    <w:rsid w:val="007A279D"/>
    <w:rsid w:val="007D125C"/>
    <w:rsid w:val="007D4AD2"/>
    <w:rsid w:val="007E6551"/>
    <w:rsid w:val="007E67C6"/>
    <w:rsid w:val="007F3A3E"/>
    <w:rsid w:val="007F726C"/>
    <w:rsid w:val="0080672E"/>
    <w:rsid w:val="00811A09"/>
    <w:rsid w:val="00812FC1"/>
    <w:rsid w:val="0081331F"/>
    <w:rsid w:val="008134A1"/>
    <w:rsid w:val="00816088"/>
    <w:rsid w:val="00816E00"/>
    <w:rsid w:val="00821DC3"/>
    <w:rsid w:val="00822FD8"/>
    <w:rsid w:val="00833A93"/>
    <w:rsid w:val="008340E6"/>
    <w:rsid w:val="00835AA3"/>
    <w:rsid w:val="00837421"/>
    <w:rsid w:val="008407CC"/>
    <w:rsid w:val="00841CE7"/>
    <w:rsid w:val="008513BA"/>
    <w:rsid w:val="00852539"/>
    <w:rsid w:val="00853200"/>
    <w:rsid w:val="008532AA"/>
    <w:rsid w:val="008620D4"/>
    <w:rsid w:val="00864F4B"/>
    <w:rsid w:val="00865782"/>
    <w:rsid w:val="0086701C"/>
    <w:rsid w:val="0086720C"/>
    <w:rsid w:val="00880125"/>
    <w:rsid w:val="00880A2C"/>
    <w:rsid w:val="00890536"/>
    <w:rsid w:val="00890BCB"/>
    <w:rsid w:val="008929EC"/>
    <w:rsid w:val="008A1977"/>
    <w:rsid w:val="008D051F"/>
    <w:rsid w:val="008D1152"/>
    <w:rsid w:val="008D3D79"/>
    <w:rsid w:val="008D5F59"/>
    <w:rsid w:val="008D7B74"/>
    <w:rsid w:val="008E1FE5"/>
    <w:rsid w:val="008E3C27"/>
    <w:rsid w:val="009033E9"/>
    <w:rsid w:val="0090503F"/>
    <w:rsid w:val="009127DB"/>
    <w:rsid w:val="00924D1A"/>
    <w:rsid w:val="0093102C"/>
    <w:rsid w:val="0093350E"/>
    <w:rsid w:val="0093439C"/>
    <w:rsid w:val="00947854"/>
    <w:rsid w:val="0095032D"/>
    <w:rsid w:val="00952AB3"/>
    <w:rsid w:val="0095322B"/>
    <w:rsid w:val="009549EA"/>
    <w:rsid w:val="00966ABD"/>
    <w:rsid w:val="0097124B"/>
    <w:rsid w:val="00973CB9"/>
    <w:rsid w:val="00974C5A"/>
    <w:rsid w:val="00975547"/>
    <w:rsid w:val="0097764B"/>
    <w:rsid w:val="0098479B"/>
    <w:rsid w:val="00986438"/>
    <w:rsid w:val="009867E7"/>
    <w:rsid w:val="009922AF"/>
    <w:rsid w:val="00994315"/>
    <w:rsid w:val="00995791"/>
    <w:rsid w:val="00995A1B"/>
    <w:rsid w:val="0099609A"/>
    <w:rsid w:val="009A248F"/>
    <w:rsid w:val="009B54F4"/>
    <w:rsid w:val="009C519A"/>
    <w:rsid w:val="009D04F8"/>
    <w:rsid w:val="009F7A84"/>
    <w:rsid w:val="00A00EE2"/>
    <w:rsid w:val="00A05608"/>
    <w:rsid w:val="00A0651D"/>
    <w:rsid w:val="00A06E39"/>
    <w:rsid w:val="00A12944"/>
    <w:rsid w:val="00A30E9F"/>
    <w:rsid w:val="00A31122"/>
    <w:rsid w:val="00A31916"/>
    <w:rsid w:val="00A359AF"/>
    <w:rsid w:val="00A42E51"/>
    <w:rsid w:val="00A45466"/>
    <w:rsid w:val="00A57519"/>
    <w:rsid w:val="00A61F4F"/>
    <w:rsid w:val="00A67C00"/>
    <w:rsid w:val="00A739E8"/>
    <w:rsid w:val="00A75767"/>
    <w:rsid w:val="00A81D10"/>
    <w:rsid w:val="00A8534A"/>
    <w:rsid w:val="00AA710D"/>
    <w:rsid w:val="00AB3066"/>
    <w:rsid w:val="00AB4C14"/>
    <w:rsid w:val="00AB6E45"/>
    <w:rsid w:val="00AB7B8E"/>
    <w:rsid w:val="00AC1C3E"/>
    <w:rsid w:val="00AC4CA5"/>
    <w:rsid w:val="00AD0E41"/>
    <w:rsid w:val="00AD31A1"/>
    <w:rsid w:val="00AD76C4"/>
    <w:rsid w:val="00AE0747"/>
    <w:rsid w:val="00AE3F6D"/>
    <w:rsid w:val="00AE5E7B"/>
    <w:rsid w:val="00AF10E0"/>
    <w:rsid w:val="00AF4DE5"/>
    <w:rsid w:val="00AF6669"/>
    <w:rsid w:val="00B12053"/>
    <w:rsid w:val="00B25686"/>
    <w:rsid w:val="00B307D3"/>
    <w:rsid w:val="00B32F56"/>
    <w:rsid w:val="00B33285"/>
    <w:rsid w:val="00B34AE0"/>
    <w:rsid w:val="00B36413"/>
    <w:rsid w:val="00B36C2C"/>
    <w:rsid w:val="00B406E3"/>
    <w:rsid w:val="00B8153D"/>
    <w:rsid w:val="00B820E5"/>
    <w:rsid w:val="00B87968"/>
    <w:rsid w:val="00B87DEA"/>
    <w:rsid w:val="00B9049B"/>
    <w:rsid w:val="00BA17F9"/>
    <w:rsid w:val="00BA1E99"/>
    <w:rsid w:val="00BA1EE6"/>
    <w:rsid w:val="00BB402D"/>
    <w:rsid w:val="00BB4DD3"/>
    <w:rsid w:val="00BB6FAF"/>
    <w:rsid w:val="00BB73D3"/>
    <w:rsid w:val="00BB7A46"/>
    <w:rsid w:val="00BB7ED7"/>
    <w:rsid w:val="00BC1A89"/>
    <w:rsid w:val="00BD2357"/>
    <w:rsid w:val="00BE1352"/>
    <w:rsid w:val="00BE1601"/>
    <w:rsid w:val="00BE3929"/>
    <w:rsid w:val="00BE4B0B"/>
    <w:rsid w:val="00BE6BDC"/>
    <w:rsid w:val="00BE7E57"/>
    <w:rsid w:val="00BF426A"/>
    <w:rsid w:val="00C008CD"/>
    <w:rsid w:val="00C027CB"/>
    <w:rsid w:val="00C03B9A"/>
    <w:rsid w:val="00C109AC"/>
    <w:rsid w:val="00C11981"/>
    <w:rsid w:val="00C24659"/>
    <w:rsid w:val="00C24948"/>
    <w:rsid w:val="00C33237"/>
    <w:rsid w:val="00C405EB"/>
    <w:rsid w:val="00C40E27"/>
    <w:rsid w:val="00C44570"/>
    <w:rsid w:val="00C50442"/>
    <w:rsid w:val="00C509FB"/>
    <w:rsid w:val="00C56743"/>
    <w:rsid w:val="00C5701C"/>
    <w:rsid w:val="00C57532"/>
    <w:rsid w:val="00C57E63"/>
    <w:rsid w:val="00C63247"/>
    <w:rsid w:val="00C67FD9"/>
    <w:rsid w:val="00C70711"/>
    <w:rsid w:val="00C76617"/>
    <w:rsid w:val="00C82116"/>
    <w:rsid w:val="00C82807"/>
    <w:rsid w:val="00C97F05"/>
    <w:rsid w:val="00CA3978"/>
    <w:rsid w:val="00CA4DC9"/>
    <w:rsid w:val="00CA6C7F"/>
    <w:rsid w:val="00CB49B0"/>
    <w:rsid w:val="00CC1787"/>
    <w:rsid w:val="00CC23DC"/>
    <w:rsid w:val="00CC3C9E"/>
    <w:rsid w:val="00CC3EC5"/>
    <w:rsid w:val="00CC3F01"/>
    <w:rsid w:val="00CC4905"/>
    <w:rsid w:val="00CD2D3D"/>
    <w:rsid w:val="00CD3551"/>
    <w:rsid w:val="00CD54EF"/>
    <w:rsid w:val="00CD55EB"/>
    <w:rsid w:val="00CD6272"/>
    <w:rsid w:val="00CE1FE0"/>
    <w:rsid w:val="00CE31DA"/>
    <w:rsid w:val="00CE4AC6"/>
    <w:rsid w:val="00CE6751"/>
    <w:rsid w:val="00D054FD"/>
    <w:rsid w:val="00D21EB9"/>
    <w:rsid w:val="00D35EE7"/>
    <w:rsid w:val="00D373FA"/>
    <w:rsid w:val="00D40DE0"/>
    <w:rsid w:val="00D464C3"/>
    <w:rsid w:val="00D46B6D"/>
    <w:rsid w:val="00D64927"/>
    <w:rsid w:val="00D671B3"/>
    <w:rsid w:val="00D720D7"/>
    <w:rsid w:val="00D81961"/>
    <w:rsid w:val="00D840AC"/>
    <w:rsid w:val="00D850DD"/>
    <w:rsid w:val="00D87DBC"/>
    <w:rsid w:val="00D91816"/>
    <w:rsid w:val="00D923FD"/>
    <w:rsid w:val="00DA53FB"/>
    <w:rsid w:val="00DA6459"/>
    <w:rsid w:val="00DB0916"/>
    <w:rsid w:val="00DC5008"/>
    <w:rsid w:val="00DD2F77"/>
    <w:rsid w:val="00DD551F"/>
    <w:rsid w:val="00DE5AA3"/>
    <w:rsid w:val="00DF0C3B"/>
    <w:rsid w:val="00DF37EB"/>
    <w:rsid w:val="00DF495F"/>
    <w:rsid w:val="00DF574D"/>
    <w:rsid w:val="00E012B3"/>
    <w:rsid w:val="00E0267C"/>
    <w:rsid w:val="00E159AC"/>
    <w:rsid w:val="00E2573D"/>
    <w:rsid w:val="00E34E0D"/>
    <w:rsid w:val="00E41223"/>
    <w:rsid w:val="00E41B7A"/>
    <w:rsid w:val="00E63F2D"/>
    <w:rsid w:val="00E64FFD"/>
    <w:rsid w:val="00E71FC5"/>
    <w:rsid w:val="00E72179"/>
    <w:rsid w:val="00E76066"/>
    <w:rsid w:val="00E77764"/>
    <w:rsid w:val="00E86E5D"/>
    <w:rsid w:val="00E870F8"/>
    <w:rsid w:val="00EB2F65"/>
    <w:rsid w:val="00EB7C39"/>
    <w:rsid w:val="00EC6C49"/>
    <w:rsid w:val="00ED79E4"/>
    <w:rsid w:val="00ED7C06"/>
    <w:rsid w:val="00EE3836"/>
    <w:rsid w:val="00EF73D2"/>
    <w:rsid w:val="00F018A5"/>
    <w:rsid w:val="00F03866"/>
    <w:rsid w:val="00F05C8A"/>
    <w:rsid w:val="00F0628B"/>
    <w:rsid w:val="00F0725C"/>
    <w:rsid w:val="00F0758A"/>
    <w:rsid w:val="00F108EB"/>
    <w:rsid w:val="00F24906"/>
    <w:rsid w:val="00F31890"/>
    <w:rsid w:val="00F32C28"/>
    <w:rsid w:val="00F3344A"/>
    <w:rsid w:val="00F37A04"/>
    <w:rsid w:val="00F444DA"/>
    <w:rsid w:val="00F5523D"/>
    <w:rsid w:val="00F56F44"/>
    <w:rsid w:val="00F655EE"/>
    <w:rsid w:val="00F7199A"/>
    <w:rsid w:val="00F73EFE"/>
    <w:rsid w:val="00F75CB4"/>
    <w:rsid w:val="00F76057"/>
    <w:rsid w:val="00F768F1"/>
    <w:rsid w:val="00F905EB"/>
    <w:rsid w:val="00F968B0"/>
    <w:rsid w:val="00F9773B"/>
    <w:rsid w:val="00FA142A"/>
    <w:rsid w:val="00FB12A7"/>
    <w:rsid w:val="00FB1AAC"/>
    <w:rsid w:val="00FB3C2C"/>
    <w:rsid w:val="00FB4118"/>
    <w:rsid w:val="00FC186E"/>
    <w:rsid w:val="00FC26D9"/>
    <w:rsid w:val="00FC2C37"/>
    <w:rsid w:val="00FC34F9"/>
    <w:rsid w:val="00FC59FA"/>
    <w:rsid w:val="00FD2625"/>
    <w:rsid w:val="00FD7B4C"/>
    <w:rsid w:val="00FE1336"/>
    <w:rsid w:val="00FE3758"/>
    <w:rsid w:val="00FE3AD7"/>
    <w:rsid w:val="00FE522D"/>
    <w:rsid w:val="00FF1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7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de-CH"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basedOn w:val="Absatz-Standardschriftart"/>
    <w:link w:val="Fuzeile"/>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de-CH" w:eastAsia="de-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994315"/>
    <w:pPr>
      <w:spacing w:before="60" w:after="60" w:line="276" w:lineRule="auto"/>
      <w:ind w:left="720"/>
      <w:contextualSpacing/>
    </w:pPr>
    <w:rPr>
      <w:rFonts w:eastAsiaTheme="minorHAnsi" w:cstheme="minorBidi"/>
      <w:szCs w:val="22"/>
    </w:rPr>
  </w:style>
  <w:style w:type="paragraph" w:customStyle="1" w:styleId="Bullet">
    <w:name w:val="Bullet"/>
    <w:basedOn w:val="Listenabsatz"/>
    <w:qFormat/>
    <w:rsid w:val="00994315"/>
    <w:pPr>
      <w:numPr>
        <w:numId w:val="8"/>
      </w:numPr>
      <w:spacing w:line="240" w:lineRule="auto"/>
      <w:contextualSpacing w:val="0"/>
    </w:pPr>
    <w:rPr>
      <w:rFonts w:cs="Arial"/>
      <w:sz w:val="16"/>
      <w:szCs w:val="16"/>
    </w:rPr>
  </w:style>
  <w:style w:type="character" w:styleId="Kommentarzeichen">
    <w:name w:val="annotation reference"/>
    <w:basedOn w:val="Absatz-Standardschriftart"/>
    <w:semiHidden/>
    <w:unhideWhenUsed/>
    <w:rsid w:val="00FE3AD7"/>
    <w:rPr>
      <w:sz w:val="16"/>
      <w:szCs w:val="16"/>
    </w:rPr>
  </w:style>
  <w:style w:type="paragraph" w:styleId="Kommentartext">
    <w:name w:val="annotation text"/>
    <w:basedOn w:val="Standard"/>
    <w:link w:val="KommentartextZchn"/>
    <w:semiHidden/>
    <w:unhideWhenUsed/>
    <w:rsid w:val="00FE3AD7"/>
    <w:pPr>
      <w:spacing w:line="240" w:lineRule="auto"/>
    </w:pPr>
  </w:style>
  <w:style w:type="character" w:customStyle="1" w:styleId="KommentartextZchn">
    <w:name w:val="Kommentartext Zchn"/>
    <w:basedOn w:val="Absatz-Standardschriftart"/>
    <w:link w:val="Kommentartext"/>
    <w:semiHidden/>
    <w:rsid w:val="00FE3AD7"/>
    <w:rPr>
      <w:rFonts w:ascii="Arial" w:hAnsi="Arial"/>
    </w:rPr>
  </w:style>
  <w:style w:type="paragraph" w:styleId="Kommentarthema">
    <w:name w:val="annotation subject"/>
    <w:basedOn w:val="Kommentartext"/>
    <w:next w:val="Kommentartext"/>
    <w:link w:val="KommentarthemaZchn"/>
    <w:semiHidden/>
    <w:unhideWhenUsed/>
    <w:rsid w:val="00FE3AD7"/>
    <w:rPr>
      <w:b/>
      <w:bCs/>
    </w:rPr>
  </w:style>
  <w:style w:type="character" w:customStyle="1" w:styleId="KommentarthemaZchn">
    <w:name w:val="Kommentarthema Zchn"/>
    <w:basedOn w:val="KommentartextZchn"/>
    <w:link w:val="Kommentarthema"/>
    <w:semiHidden/>
    <w:rsid w:val="00FE3AD7"/>
    <w:rPr>
      <w:rFonts w:ascii="Arial" w:hAnsi="Arial"/>
      <w:b/>
      <w:bCs/>
    </w:rPr>
  </w:style>
  <w:style w:type="paragraph" w:styleId="Funotentext">
    <w:name w:val="footnote text"/>
    <w:basedOn w:val="Standard"/>
    <w:link w:val="FunotentextZchn"/>
    <w:semiHidden/>
    <w:unhideWhenUsed/>
    <w:rsid w:val="00FF118E"/>
    <w:pPr>
      <w:spacing w:line="240" w:lineRule="auto"/>
    </w:pPr>
    <w:rPr>
      <w:lang w:eastAsia="de-DE" w:bidi="ar-SA"/>
    </w:rPr>
  </w:style>
  <w:style w:type="character" w:customStyle="1" w:styleId="FunotentextZchn">
    <w:name w:val="Fußnotentext Zchn"/>
    <w:basedOn w:val="Absatz-Standardschriftart"/>
    <w:link w:val="Funotentext"/>
    <w:semiHidden/>
    <w:rsid w:val="00FF118E"/>
    <w:rPr>
      <w:rFonts w:ascii="Arial" w:hAnsi="Arial"/>
      <w:lang w:eastAsia="de-DE" w:bidi="ar-SA"/>
    </w:rPr>
  </w:style>
  <w:style w:type="character" w:styleId="Funotenzeichen">
    <w:name w:val="footnote reference"/>
    <w:basedOn w:val="Absatz-Standardschriftart"/>
    <w:semiHidden/>
    <w:unhideWhenUsed/>
    <w:rsid w:val="00FF118E"/>
    <w:rPr>
      <w:vertAlign w:val="superscript"/>
    </w:rPr>
  </w:style>
  <w:style w:type="paragraph" w:styleId="berarbeitung">
    <w:name w:val="Revision"/>
    <w:hidden/>
    <w:uiPriority w:val="99"/>
    <w:semiHidden/>
    <w:rsid w:val="007D4A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732">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2.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faa2c4049937e96c26a4daea6e9829d1">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ffa39f9f084cb61b9888e64adbdaf3db"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ocument xmlns="http://www.docugate.com/2015/docugatedatastorexml">
  <snapins xmlns=""/>
</document>
</file>

<file path=customXml/item6.xml><?xml version="1.0" encoding="utf-8"?>
<p:properties xmlns:p="http://schemas.microsoft.com/office/2006/metadata/properties" xmlns:xsi="http://www.w3.org/2001/XMLSchema-instance" xmlns:pc="http://schemas.microsoft.com/office/infopath/2007/PartnerControls">
  <documentManagement>
    <ToBeArchived xmlns="eab9f746-4c47-47af-9544-703ae8d09e76">Ja</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7002-T-2-21782</_dlc_DocId>
    <_dlc_DocIdUrl xmlns="2e1eec62-3f83-4498-8267-62ad71ac9197">
      <Url>https://dok.finma.ch/sites/7002-T/_layouts/15/DocIdRedir.aspx?ID=7002-T-2-21782</Url>
      <Description>7002-T-2-21782</Description>
    </_dlc_DocIdUrl>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15</RetentionPeriod>
    <SeqenceNumber xmlns="eab9f746-4c47-47af-9544-703ae8d09e76" xsi:nil="true"/>
    <DocumentDate xmlns="EAB9F746-4C47-47AF-9544-703AE8D09E76">2020-05-05T22:00:00+00:00</DocumentDate>
    <AgendaItemGUID xmlns="eab9f746-4c47-47af-9544-703ae8d09e7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11C9-AF6C-4620-A272-6EA4ED32BFAB}"/>
</file>

<file path=customXml/itemProps2.xml><?xml version="1.0" encoding="utf-8"?>
<ds:datastoreItem xmlns:ds="http://schemas.openxmlformats.org/officeDocument/2006/customXml" ds:itemID="{52364CDE-A66F-4CE0-BBC6-DA64A76137E3}"/>
</file>

<file path=customXml/itemProps3.xml><?xml version="1.0" encoding="utf-8"?>
<ds:datastoreItem xmlns:ds="http://schemas.openxmlformats.org/officeDocument/2006/customXml" ds:itemID="{1364A0F5-B963-47B8-8AD9-6A28407379E3}"/>
</file>

<file path=customXml/itemProps4.xml><?xml version="1.0" encoding="utf-8"?>
<ds:datastoreItem xmlns:ds="http://schemas.openxmlformats.org/officeDocument/2006/customXml" ds:itemID="{95589B16-13B0-4688-A2E3-A42875B21E02}"/>
</file>

<file path=customXml/itemProps5.xml><?xml version="1.0" encoding="utf-8"?>
<ds:datastoreItem xmlns:ds="http://schemas.openxmlformats.org/officeDocument/2006/customXml" ds:itemID="{8E4ECE80-E5F9-4F73-AC87-AE68A7681A6A}"/>
</file>

<file path=customXml/itemProps6.xml><?xml version="1.0" encoding="utf-8"?>
<ds:datastoreItem xmlns:ds="http://schemas.openxmlformats.org/officeDocument/2006/customXml" ds:itemID="{78BD6ADF-332C-415E-BD4B-E6CAA324FEF6}"/>
</file>

<file path=customXml/itemProps7.xml><?xml version="1.0" encoding="utf-8"?>
<ds:datastoreItem xmlns:ds="http://schemas.openxmlformats.org/officeDocument/2006/customXml" ds:itemID="{BF92C98C-1206-4C57-B3F2-F5CF1402053A}"/>
</file>

<file path=docProps/app.xml><?xml version="1.0" encoding="utf-8"?>
<Properties xmlns="http://schemas.openxmlformats.org/officeDocument/2006/extended-properties" xmlns:vt="http://schemas.openxmlformats.org/officeDocument/2006/docPropsVTypes">
  <Template>Normal.dotm</Template>
  <TotalTime>0</TotalTime>
  <Pages>9</Pages>
  <Words>1295</Words>
  <Characters>10092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Suitability</vt:lpstr>
    </vt:vector>
  </TitlesOfParts>
  <Manager/>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
  <cp:lastModifiedBy/>
  <cp:revision>1</cp:revision>
  <dcterms:created xsi:type="dcterms:W3CDTF">2020-05-19T06:20:00Z</dcterms:created>
  <dcterms:modified xsi:type="dcterms:W3CDTF">2020-05-19T06:43:00Z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d2ad779e-b505-4fc0-a3e6-d8faf4483abf</vt:lpwstr>
  </property>
  <property fmtid="{D5CDD505-2E9C-101B-9397-08002B2CF9AE}" pid="8" name="DossierStatus_Note">
    <vt:lpwstr/>
  </property>
</Properties>
</file>