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08D30" w14:textId="13B06895" w:rsidR="001B763E" w:rsidRPr="00885CAE" w:rsidRDefault="0073176F" w:rsidP="00166DBD">
      <w:pPr>
        <w:spacing w:before="0" w:after="0" w:line="240" w:lineRule="auto"/>
        <w:rPr>
          <w:rFonts w:cs="Arial"/>
          <w:b/>
          <w:sz w:val="28"/>
          <w:szCs w:val="28"/>
          <w:lang w:val="de-CH"/>
        </w:rPr>
      </w:pPr>
      <w:r w:rsidRPr="00885CAE">
        <w:rPr>
          <w:b/>
          <w:sz w:val="28"/>
          <w:lang w:val="de-CH"/>
        </w:rPr>
        <w:t>Prüfp</w:t>
      </w:r>
      <w:r w:rsidR="00495685">
        <w:rPr>
          <w:b/>
          <w:sz w:val="28"/>
          <w:lang w:val="de-CH"/>
        </w:rPr>
        <w:t>unkte</w:t>
      </w:r>
      <w:r w:rsidRPr="00885CAE">
        <w:rPr>
          <w:b/>
          <w:sz w:val="28"/>
          <w:lang w:val="de-CH"/>
        </w:rPr>
        <w:t> </w:t>
      </w:r>
      <w:r w:rsidR="003D5B18">
        <w:rPr>
          <w:b/>
          <w:sz w:val="28"/>
          <w:lang w:val="de-CH"/>
        </w:rPr>
        <w:t>zur internen Organisation und zum internen Kontrollsystem</w:t>
      </w:r>
    </w:p>
    <w:p w14:paraId="6D608D31" w14:textId="77777777" w:rsidR="00DB7CF3" w:rsidRPr="00885CAE" w:rsidRDefault="00DB7CF3" w:rsidP="00166DBD">
      <w:pPr>
        <w:spacing w:before="0" w:after="0" w:line="240" w:lineRule="auto"/>
        <w:rPr>
          <w:rFonts w:cs="Arial"/>
          <w:b/>
          <w:lang w:val="de-CH"/>
        </w:rPr>
      </w:pPr>
    </w:p>
    <w:p w14:paraId="6D608D32" w14:textId="77777777" w:rsidR="00D247FF" w:rsidRPr="00885CAE" w:rsidRDefault="005D00E1" w:rsidP="00166DBD">
      <w:pPr>
        <w:spacing w:before="0" w:after="0" w:line="240" w:lineRule="auto"/>
        <w:rPr>
          <w:rFonts w:cs="Arial"/>
          <w:b/>
          <w:lang w:val="de-CH"/>
        </w:rPr>
      </w:pPr>
      <w:r w:rsidRPr="00885CAE">
        <w:rPr>
          <w:b/>
          <w:lang w:val="de-CH"/>
        </w:rPr>
        <w:t>Übersicht</w:t>
      </w:r>
    </w:p>
    <w:tbl>
      <w:tblPr>
        <w:tblStyle w:val="Tabellenraster"/>
        <w:tblW w:w="0" w:type="auto"/>
        <w:tblInd w:w="108" w:type="dxa"/>
        <w:tblLook w:val="04A0" w:firstRow="1" w:lastRow="0" w:firstColumn="1" w:lastColumn="0" w:noHBand="0" w:noVBand="1"/>
      </w:tblPr>
      <w:tblGrid>
        <w:gridCol w:w="2653"/>
        <w:gridCol w:w="11516"/>
      </w:tblGrid>
      <w:tr w:rsidR="001B763E" w:rsidRPr="00885CAE" w14:paraId="6D608D35" w14:textId="77777777" w:rsidTr="00EA067E">
        <w:tc>
          <w:tcPr>
            <w:tcW w:w="2694" w:type="dxa"/>
            <w:shd w:val="pct10" w:color="auto" w:fill="auto"/>
          </w:tcPr>
          <w:p w14:paraId="6D608D33" w14:textId="77777777" w:rsidR="001B763E" w:rsidRPr="00885CAE" w:rsidRDefault="001B763E" w:rsidP="00166DBD">
            <w:pPr>
              <w:tabs>
                <w:tab w:val="left" w:pos="1418"/>
              </w:tabs>
              <w:spacing w:before="0" w:after="0"/>
              <w:rPr>
                <w:rFonts w:cs="Arial"/>
                <w:b/>
                <w:szCs w:val="20"/>
                <w:lang w:val="de-CH"/>
              </w:rPr>
            </w:pPr>
            <w:r w:rsidRPr="00885CAE">
              <w:rPr>
                <w:b/>
                <w:lang w:val="de-CH"/>
              </w:rPr>
              <w:t>Prüfgebiet:</w:t>
            </w:r>
          </w:p>
        </w:tc>
        <w:tc>
          <w:tcPr>
            <w:tcW w:w="11701" w:type="dxa"/>
            <w:shd w:val="pct10" w:color="auto" w:fill="auto"/>
          </w:tcPr>
          <w:p w14:paraId="6D608D34" w14:textId="2460FE27" w:rsidR="001B763E" w:rsidRPr="00885CAE" w:rsidRDefault="008D677E" w:rsidP="00166DBD">
            <w:pPr>
              <w:tabs>
                <w:tab w:val="left" w:pos="1859"/>
              </w:tabs>
              <w:spacing w:before="0" w:after="0"/>
              <w:rPr>
                <w:rFonts w:cs="Arial"/>
                <w:b/>
                <w:szCs w:val="20"/>
                <w:lang w:val="de-CH"/>
              </w:rPr>
            </w:pPr>
            <w:r w:rsidRPr="00885CAE">
              <w:rPr>
                <w:b/>
                <w:lang w:val="de-CH"/>
              </w:rPr>
              <w:t>Interne Organisation u</w:t>
            </w:r>
            <w:r w:rsidR="00C67EC1">
              <w:rPr>
                <w:b/>
                <w:lang w:val="de-CH"/>
              </w:rPr>
              <w:t>nd internes Kontrollsystem</w:t>
            </w:r>
          </w:p>
        </w:tc>
      </w:tr>
      <w:tr w:rsidR="009F7E12" w:rsidRPr="00885CAE" w14:paraId="6D608D3A" w14:textId="77777777" w:rsidTr="00EA067E">
        <w:tc>
          <w:tcPr>
            <w:tcW w:w="2694" w:type="dxa"/>
            <w:shd w:val="pct10" w:color="auto" w:fill="auto"/>
          </w:tcPr>
          <w:p w14:paraId="6D608D36" w14:textId="77777777" w:rsidR="009F7E12" w:rsidRPr="00885CAE" w:rsidRDefault="00982F4E" w:rsidP="00166DBD">
            <w:pPr>
              <w:tabs>
                <w:tab w:val="left" w:pos="1418"/>
              </w:tabs>
              <w:spacing w:before="0" w:after="0"/>
              <w:rPr>
                <w:rFonts w:cs="Arial"/>
                <w:b/>
                <w:szCs w:val="20"/>
                <w:lang w:val="de-CH"/>
              </w:rPr>
            </w:pPr>
            <w:r w:rsidRPr="00885CAE">
              <w:rPr>
                <w:b/>
                <w:lang w:val="de-CH"/>
              </w:rPr>
              <w:t>Abgedeckte Elemente /</w:t>
            </w:r>
            <w:r w:rsidRPr="00885CAE">
              <w:rPr>
                <w:rFonts w:cs="Arial"/>
                <w:b/>
                <w:szCs w:val="20"/>
                <w:lang w:val="de-CH"/>
              </w:rPr>
              <w:br/>
            </w:r>
            <w:r w:rsidRPr="00885CAE">
              <w:rPr>
                <w:b/>
                <w:lang w:val="de-CH"/>
              </w:rPr>
              <w:t>Prüftiefe:</w:t>
            </w:r>
          </w:p>
        </w:tc>
        <w:tc>
          <w:tcPr>
            <w:tcW w:w="11701" w:type="dxa"/>
            <w:shd w:val="pct10" w:color="auto" w:fill="auto"/>
          </w:tcPr>
          <w:p w14:paraId="6D608D37" w14:textId="77777777" w:rsidR="00357D7F" w:rsidRPr="00885CAE" w:rsidRDefault="00357D7F" w:rsidP="00250F35">
            <w:pPr>
              <w:tabs>
                <w:tab w:val="left" w:pos="1859"/>
              </w:tabs>
              <w:spacing w:before="0" w:after="120"/>
              <w:rPr>
                <w:rFonts w:cs="Arial"/>
                <w:szCs w:val="20"/>
                <w:lang w:val="de-CH"/>
              </w:rPr>
            </w:pPr>
            <w:r w:rsidRPr="00885CAE">
              <w:rPr>
                <w:lang w:val="de-CH"/>
              </w:rPr>
              <w:t xml:space="preserve">Abgedeckte Elemente: </w:t>
            </w:r>
            <w:r w:rsidRPr="00885CAE">
              <w:rPr>
                <w:highlight w:val="yellow"/>
                <w:lang w:val="de-CH"/>
              </w:rPr>
              <w:t>[xx]</w:t>
            </w:r>
          </w:p>
          <w:p w14:paraId="6D608D38" w14:textId="0838837C" w:rsidR="005D15FC" w:rsidRPr="00885CAE" w:rsidRDefault="00982F4E" w:rsidP="00166DBD">
            <w:pPr>
              <w:tabs>
                <w:tab w:val="left" w:pos="1859"/>
              </w:tabs>
              <w:spacing w:before="0" w:after="0"/>
              <w:rPr>
                <w:rFonts w:cs="Arial"/>
                <w:szCs w:val="20"/>
                <w:highlight w:val="yellow"/>
                <w:lang w:val="de-CH"/>
              </w:rPr>
            </w:pPr>
            <w:r w:rsidRPr="00885CAE">
              <w:rPr>
                <w:lang w:val="de-CH"/>
              </w:rPr>
              <w:t>Prüftiefe: [</w:t>
            </w:r>
            <w:r w:rsidRPr="00885CAE">
              <w:rPr>
                <w:highlight w:val="yellow"/>
                <w:lang w:val="de-CH"/>
              </w:rPr>
              <w:t>Prüfung / kritische Beurteilung]</w:t>
            </w:r>
            <w:r w:rsidR="00724D92">
              <w:rPr>
                <w:rStyle w:val="Funotenzeichen"/>
                <w:highlight w:val="yellow"/>
                <w:lang w:val="de-CH"/>
              </w:rPr>
              <w:footnoteReference w:id="1"/>
            </w:r>
          </w:p>
          <w:p w14:paraId="6D608D39" w14:textId="77777777" w:rsidR="00357D7F" w:rsidRPr="00885CAE" w:rsidRDefault="00357D7F" w:rsidP="00166DBD">
            <w:pPr>
              <w:tabs>
                <w:tab w:val="left" w:pos="1859"/>
              </w:tabs>
              <w:spacing w:before="0" w:after="0"/>
              <w:rPr>
                <w:rFonts w:cs="Arial"/>
                <w:szCs w:val="20"/>
                <w:lang w:val="de-CH"/>
              </w:rPr>
            </w:pPr>
          </w:p>
        </w:tc>
      </w:tr>
      <w:tr w:rsidR="00F37CB4" w:rsidRPr="00885CAE" w14:paraId="6D608D41" w14:textId="77777777" w:rsidTr="00F37CB4">
        <w:tc>
          <w:tcPr>
            <w:tcW w:w="2694" w:type="dxa"/>
          </w:tcPr>
          <w:p w14:paraId="6D608D3B" w14:textId="77777777" w:rsidR="00F37CB4" w:rsidRPr="00A315A0" w:rsidRDefault="00F37CB4" w:rsidP="00166DBD">
            <w:pPr>
              <w:tabs>
                <w:tab w:val="left" w:pos="1418"/>
              </w:tabs>
              <w:spacing w:before="0" w:after="0"/>
              <w:rPr>
                <w:rFonts w:cs="Arial"/>
                <w:b/>
                <w:szCs w:val="20"/>
                <w:lang w:val="de-CH"/>
              </w:rPr>
            </w:pPr>
            <w:r w:rsidRPr="00A315A0">
              <w:rPr>
                <w:b/>
                <w:lang w:val="de-CH"/>
              </w:rPr>
              <w:t>Vorschriften:</w:t>
            </w:r>
          </w:p>
          <w:p w14:paraId="6D608D3C" w14:textId="77777777" w:rsidR="008F1FC1" w:rsidRPr="00A315A0" w:rsidRDefault="008F1FC1" w:rsidP="00166DBD">
            <w:pPr>
              <w:tabs>
                <w:tab w:val="left" w:pos="1418"/>
              </w:tabs>
              <w:spacing w:before="0" w:after="0"/>
              <w:rPr>
                <w:rFonts w:cs="Arial"/>
                <w:szCs w:val="20"/>
                <w:lang w:val="de-CH"/>
              </w:rPr>
            </w:pPr>
            <w:r w:rsidRPr="00A315A0">
              <w:rPr>
                <w:lang w:val="de-CH"/>
              </w:rPr>
              <w:t>(Liste ist nicht abschliessend)</w:t>
            </w:r>
          </w:p>
        </w:tc>
        <w:tc>
          <w:tcPr>
            <w:tcW w:w="11701" w:type="dxa"/>
          </w:tcPr>
          <w:p w14:paraId="432D3207" w14:textId="242CC661" w:rsidR="006D7D5E" w:rsidRDefault="006D7D5E" w:rsidP="00222D10">
            <w:pPr>
              <w:tabs>
                <w:tab w:val="left" w:pos="1859"/>
              </w:tabs>
              <w:spacing w:before="0" w:after="0"/>
              <w:rPr>
                <w:lang w:val="de-CH"/>
              </w:rPr>
            </w:pPr>
            <w:r>
              <w:rPr>
                <w:lang w:val="de-CH"/>
              </w:rPr>
              <w:t xml:space="preserve">Art. 3 Abs. 2 Bst. </w:t>
            </w:r>
            <w:r w:rsidR="008B029D">
              <w:rPr>
                <w:lang w:val="de-CH"/>
              </w:rPr>
              <w:t>a</w:t>
            </w:r>
            <w:r w:rsidR="00A20A30">
              <w:rPr>
                <w:lang w:val="de-CH"/>
              </w:rPr>
              <w:t xml:space="preserve">, </w:t>
            </w:r>
            <w:proofErr w:type="spellStart"/>
            <w:r w:rsidR="00A20A30">
              <w:rPr>
                <w:lang w:val="de-CH"/>
              </w:rPr>
              <w:t>c</w:t>
            </w:r>
            <w:r w:rsidR="00A20A30" w:rsidRPr="00A20A30">
              <w:rPr>
                <w:vertAlign w:val="superscript"/>
                <w:lang w:val="de-CH"/>
              </w:rPr>
              <w:t>bis</w:t>
            </w:r>
            <w:proofErr w:type="spellEnd"/>
            <w:r>
              <w:rPr>
                <w:lang w:val="de-CH"/>
              </w:rPr>
              <w:t xml:space="preserve"> und d Bankengesetz (BankG)</w:t>
            </w:r>
          </w:p>
          <w:p w14:paraId="175DAF11" w14:textId="19395E34" w:rsidR="00A20A30" w:rsidRDefault="00A20A30" w:rsidP="00A20A30">
            <w:pPr>
              <w:tabs>
                <w:tab w:val="left" w:pos="1859"/>
              </w:tabs>
              <w:rPr>
                <w:lang w:val="de-CH"/>
              </w:rPr>
            </w:pPr>
            <w:r>
              <w:rPr>
                <w:lang w:val="de-CH"/>
              </w:rPr>
              <w:t>Art. 9 und 11 Finanzinstitutsgesetz (FINIG)</w:t>
            </w:r>
          </w:p>
          <w:p w14:paraId="6D608D3D" w14:textId="6BFE7104" w:rsidR="00FC40A7" w:rsidRDefault="00FD5115" w:rsidP="00166DBD">
            <w:pPr>
              <w:tabs>
                <w:tab w:val="left" w:pos="1859"/>
              </w:tabs>
              <w:spacing w:before="0" w:after="0"/>
              <w:rPr>
                <w:lang w:val="de-CH"/>
              </w:rPr>
            </w:pPr>
            <w:r w:rsidRPr="00A315A0">
              <w:rPr>
                <w:lang w:val="de-CH"/>
              </w:rPr>
              <w:t>Art. </w:t>
            </w:r>
            <w:r w:rsidR="006D7D5E" w:rsidRPr="00222D10">
              <w:rPr>
                <w:lang w:val="de-CH"/>
              </w:rPr>
              <w:t>9</w:t>
            </w:r>
            <w:r w:rsidR="00B11AA6">
              <w:rPr>
                <w:lang w:val="de-CH"/>
              </w:rPr>
              <w:t>–</w:t>
            </w:r>
            <w:r w:rsidR="006D7D5E" w:rsidRPr="00222D10">
              <w:rPr>
                <w:lang w:val="de-CH"/>
              </w:rPr>
              <w:t>12</w:t>
            </w:r>
            <w:r w:rsidRPr="00A315A0">
              <w:rPr>
                <w:lang w:val="de-CH"/>
              </w:rPr>
              <w:t xml:space="preserve"> Bankenverordnung (BankV)</w:t>
            </w:r>
          </w:p>
          <w:p w14:paraId="6D608D3E" w14:textId="3E168761" w:rsidR="002E017C" w:rsidRPr="00DE3CF0" w:rsidRDefault="00A20A30" w:rsidP="00A20A30">
            <w:pPr>
              <w:tabs>
                <w:tab w:val="left" w:pos="1859"/>
              </w:tabs>
              <w:rPr>
                <w:rFonts w:cs="Arial"/>
                <w:szCs w:val="20"/>
                <w:lang w:val="de-CH"/>
              </w:rPr>
            </w:pPr>
            <w:r>
              <w:rPr>
                <w:lang w:val="de-CH"/>
              </w:rPr>
              <w:t>Art. 12 und 66</w:t>
            </w:r>
            <w:r w:rsidR="00B11AA6">
              <w:rPr>
                <w:lang w:val="de-CH"/>
              </w:rPr>
              <w:t>–</w:t>
            </w:r>
            <w:r>
              <w:rPr>
                <w:lang w:val="de-CH"/>
              </w:rPr>
              <w:t>68 Finanzinstitutsverordnung (FINIV)</w:t>
            </w:r>
          </w:p>
          <w:p w14:paraId="725965E4" w14:textId="1DA8E489" w:rsidR="00DA4652" w:rsidRPr="00A20A30" w:rsidRDefault="00DA4652" w:rsidP="00A20A30">
            <w:pPr>
              <w:tabs>
                <w:tab w:val="left" w:pos="1859"/>
              </w:tabs>
              <w:rPr>
                <w:lang w:val="de-CH"/>
              </w:rPr>
            </w:pPr>
            <w:r w:rsidRPr="00DE3CF0">
              <w:rPr>
                <w:lang w:val="de-CH"/>
              </w:rPr>
              <w:t>FINMA-Rundschreiben 2017/1 Corporate Governance – Banken (FINMA-RS 17/1</w:t>
            </w:r>
            <w:r w:rsidR="00060C63" w:rsidRPr="00DE3CF0">
              <w:rPr>
                <w:lang w:val="de-CH"/>
              </w:rPr>
              <w:t>;</w:t>
            </w:r>
            <w:r w:rsidR="00FD7ED8" w:rsidRPr="00DE3CF0">
              <w:rPr>
                <w:lang w:val="de-CH"/>
              </w:rPr>
              <w:t xml:space="preserve"> Rz 1</w:t>
            </w:r>
            <w:r w:rsidR="00B11AA6">
              <w:rPr>
                <w:lang w:val="de-CH"/>
              </w:rPr>
              <w:t>–</w:t>
            </w:r>
            <w:r w:rsidR="00FD7ED8" w:rsidRPr="00DE3CF0">
              <w:rPr>
                <w:lang w:val="de-CH"/>
              </w:rPr>
              <w:t>61</w:t>
            </w:r>
            <w:r w:rsidR="00B11AA6">
              <w:rPr>
                <w:lang w:val="de-CH"/>
              </w:rPr>
              <w:t>,</w:t>
            </w:r>
            <w:r w:rsidR="00E72E52" w:rsidRPr="00DE3CF0">
              <w:rPr>
                <w:lang w:val="de-CH"/>
              </w:rPr>
              <w:t xml:space="preserve"> 63</w:t>
            </w:r>
            <w:r w:rsidR="00B11AA6">
              <w:rPr>
                <w:lang w:val="de-CH"/>
              </w:rPr>
              <w:t xml:space="preserve">, </w:t>
            </w:r>
            <w:r w:rsidR="00FD7ED8" w:rsidRPr="00DE3CF0">
              <w:rPr>
                <w:lang w:val="de-CH"/>
              </w:rPr>
              <w:t>98-105</w:t>
            </w:r>
            <w:r w:rsidR="00A20A30">
              <w:rPr>
                <w:lang w:val="de-CH"/>
              </w:rPr>
              <w:t>)</w:t>
            </w:r>
          </w:p>
          <w:p w14:paraId="4598F23B" w14:textId="77777777" w:rsidR="009764A7" w:rsidRDefault="0072112E" w:rsidP="00A20A30">
            <w:pPr>
              <w:tabs>
                <w:tab w:val="left" w:pos="1859"/>
              </w:tabs>
              <w:rPr>
                <w:lang w:val="de-CH"/>
              </w:rPr>
            </w:pPr>
            <w:r w:rsidRPr="00DE3CF0">
              <w:rPr>
                <w:lang w:val="de-CH"/>
              </w:rPr>
              <w:t>FINMA-Rundschreiben 2010/1 Vergütungssysteme (FINMA-RS 10/1)</w:t>
            </w:r>
            <w:r w:rsidRPr="00A20A30">
              <w:rPr>
                <w:rStyle w:val="Funotenzeichen"/>
                <w:lang w:val="de-CH"/>
              </w:rPr>
              <w:footnoteReference w:id="2"/>
            </w:r>
          </w:p>
          <w:p w14:paraId="6D608D40" w14:textId="60C0FA2D" w:rsidR="00DA20CA" w:rsidRPr="00885CAE" w:rsidRDefault="00DA20CA" w:rsidP="00A20A30">
            <w:pPr>
              <w:tabs>
                <w:tab w:val="left" w:pos="1859"/>
              </w:tabs>
              <w:rPr>
                <w:rFonts w:cs="Arial"/>
                <w:szCs w:val="20"/>
                <w:lang w:val="de-CH"/>
              </w:rPr>
            </w:pPr>
            <w:r w:rsidRPr="00A20A30">
              <w:rPr>
                <w:lang w:val="de-CH"/>
              </w:rPr>
              <w:t>FINMA-Rundschreiben 2016/1 Offenlegung – Banken (</w:t>
            </w:r>
            <w:r w:rsidR="00EB27D8" w:rsidRPr="00A20A30">
              <w:rPr>
                <w:lang w:val="de-CH"/>
              </w:rPr>
              <w:t xml:space="preserve">FINMA-RS 16/1; Rz 20, 41.1 &amp; </w:t>
            </w:r>
            <w:r w:rsidRPr="00A20A30">
              <w:rPr>
                <w:lang w:val="de-CH"/>
              </w:rPr>
              <w:t xml:space="preserve">Anhang </w:t>
            </w:r>
            <w:r w:rsidR="00420151" w:rsidRPr="00A20A30">
              <w:rPr>
                <w:lang w:val="de-CH"/>
              </w:rPr>
              <w:t>4</w:t>
            </w:r>
            <w:r w:rsidRPr="00A20A30">
              <w:rPr>
                <w:lang w:val="de-CH"/>
              </w:rPr>
              <w:t>)</w:t>
            </w:r>
          </w:p>
        </w:tc>
      </w:tr>
      <w:tr w:rsidR="00F37CB4" w:rsidRPr="00885CAE" w14:paraId="6D608D54" w14:textId="77777777" w:rsidTr="00C720C6">
        <w:trPr>
          <w:trHeight w:val="1623"/>
        </w:trPr>
        <w:tc>
          <w:tcPr>
            <w:tcW w:w="2694" w:type="dxa"/>
          </w:tcPr>
          <w:p w14:paraId="6D608D42" w14:textId="77777777" w:rsidR="00F37CB4" w:rsidRPr="00885CAE" w:rsidRDefault="00F37CB4" w:rsidP="00166DBD">
            <w:pPr>
              <w:tabs>
                <w:tab w:val="left" w:pos="1418"/>
              </w:tabs>
              <w:spacing w:before="0" w:after="0"/>
              <w:rPr>
                <w:rFonts w:cs="Arial"/>
                <w:b/>
                <w:szCs w:val="20"/>
                <w:lang w:val="de-CH"/>
              </w:rPr>
            </w:pPr>
            <w:proofErr w:type="spellStart"/>
            <w:r w:rsidRPr="00885CAE">
              <w:rPr>
                <w:b/>
                <w:lang w:val="de-CH"/>
              </w:rPr>
              <w:t>Sign</w:t>
            </w:r>
            <w:proofErr w:type="spellEnd"/>
            <w:r w:rsidRPr="00885CAE">
              <w:rPr>
                <w:b/>
                <w:lang w:val="de-CH"/>
              </w:rPr>
              <w:t>-offs:</w:t>
            </w:r>
          </w:p>
        </w:tc>
        <w:tc>
          <w:tcPr>
            <w:tcW w:w="11701" w:type="dxa"/>
          </w:tcPr>
          <w:p w14:paraId="6D608D43" w14:textId="77777777" w:rsidR="00F37CB4" w:rsidRPr="00885CAE" w:rsidRDefault="00F37CB4" w:rsidP="00166DBD">
            <w:pPr>
              <w:tabs>
                <w:tab w:val="left" w:pos="1859"/>
              </w:tabs>
              <w:spacing w:before="0" w:after="0"/>
              <w:rPr>
                <w:rFonts w:cs="Arial"/>
                <w:sz w:val="2"/>
                <w:szCs w:val="2"/>
                <w:lang w:val="de-CH"/>
              </w:rPr>
            </w:pPr>
          </w:p>
          <w:tbl>
            <w:tblPr>
              <w:tblStyle w:val="Tabellenraster"/>
              <w:tblW w:w="0" w:type="auto"/>
              <w:tblLook w:val="04A0" w:firstRow="1" w:lastRow="0" w:firstColumn="1" w:lastColumn="0" w:noHBand="0" w:noVBand="1"/>
            </w:tblPr>
            <w:tblGrid>
              <w:gridCol w:w="1983"/>
              <w:gridCol w:w="3620"/>
              <w:gridCol w:w="3480"/>
              <w:gridCol w:w="2207"/>
            </w:tblGrid>
            <w:tr w:rsidR="009F7E12" w:rsidRPr="00885CAE" w14:paraId="6D608D48" w14:textId="77777777" w:rsidTr="00DB7CF3">
              <w:tc>
                <w:tcPr>
                  <w:tcW w:w="2013" w:type="dxa"/>
                  <w:shd w:val="clear" w:color="auto" w:fill="D9D9D9" w:themeFill="background1" w:themeFillShade="D9"/>
                </w:tcPr>
                <w:p w14:paraId="6D608D44" w14:textId="77777777" w:rsidR="009F7E12" w:rsidRPr="00885CAE" w:rsidRDefault="009F7E12" w:rsidP="00166DBD">
                  <w:pPr>
                    <w:tabs>
                      <w:tab w:val="left" w:pos="1859"/>
                    </w:tabs>
                    <w:spacing w:before="0" w:after="0"/>
                    <w:rPr>
                      <w:rFonts w:cs="Arial"/>
                      <w:b/>
                      <w:sz w:val="18"/>
                      <w:szCs w:val="18"/>
                      <w:lang w:val="de-CH"/>
                    </w:rPr>
                  </w:pPr>
                  <w:proofErr w:type="spellStart"/>
                  <w:r w:rsidRPr="00885CAE">
                    <w:rPr>
                      <w:b/>
                      <w:sz w:val="18"/>
                      <w:lang w:val="de-CH"/>
                    </w:rPr>
                    <w:t>Sign</w:t>
                  </w:r>
                  <w:proofErr w:type="spellEnd"/>
                  <w:r w:rsidRPr="00885CAE">
                    <w:rPr>
                      <w:b/>
                      <w:sz w:val="18"/>
                      <w:lang w:val="de-CH"/>
                    </w:rPr>
                    <w:t>-offs:</w:t>
                  </w:r>
                </w:p>
              </w:tc>
              <w:tc>
                <w:tcPr>
                  <w:tcW w:w="3685" w:type="dxa"/>
                  <w:shd w:val="clear" w:color="auto" w:fill="D9D9D9" w:themeFill="background1" w:themeFillShade="D9"/>
                </w:tcPr>
                <w:p w14:paraId="6D608D45" w14:textId="77777777" w:rsidR="009F7E12" w:rsidRPr="00885CAE" w:rsidRDefault="009F7E12" w:rsidP="00166DBD">
                  <w:pPr>
                    <w:tabs>
                      <w:tab w:val="left" w:pos="1859"/>
                    </w:tabs>
                    <w:spacing w:before="0" w:after="0"/>
                    <w:jc w:val="center"/>
                    <w:rPr>
                      <w:rFonts w:cs="Arial"/>
                      <w:b/>
                      <w:sz w:val="18"/>
                      <w:szCs w:val="18"/>
                      <w:lang w:val="de-CH"/>
                    </w:rPr>
                  </w:pPr>
                  <w:r w:rsidRPr="00885CAE">
                    <w:rPr>
                      <w:b/>
                      <w:sz w:val="18"/>
                      <w:lang w:val="de-CH"/>
                    </w:rPr>
                    <w:t>Name:</w:t>
                  </w:r>
                </w:p>
              </w:tc>
              <w:tc>
                <w:tcPr>
                  <w:tcW w:w="3544" w:type="dxa"/>
                  <w:shd w:val="clear" w:color="auto" w:fill="D9D9D9" w:themeFill="background1" w:themeFillShade="D9"/>
                </w:tcPr>
                <w:p w14:paraId="6D608D46" w14:textId="77777777" w:rsidR="009F7E12" w:rsidRPr="00885CAE" w:rsidRDefault="009F7E12" w:rsidP="00166DBD">
                  <w:pPr>
                    <w:tabs>
                      <w:tab w:val="left" w:pos="1859"/>
                    </w:tabs>
                    <w:spacing w:before="0" w:after="0"/>
                    <w:jc w:val="center"/>
                    <w:rPr>
                      <w:rFonts w:cs="Arial"/>
                      <w:b/>
                      <w:sz w:val="18"/>
                      <w:szCs w:val="18"/>
                      <w:lang w:val="de-CH"/>
                    </w:rPr>
                  </w:pPr>
                  <w:r w:rsidRPr="00885CAE">
                    <w:rPr>
                      <w:b/>
                      <w:sz w:val="18"/>
                      <w:lang w:val="de-CH"/>
                    </w:rPr>
                    <w:t>Funktion:</w:t>
                  </w:r>
                </w:p>
              </w:tc>
              <w:tc>
                <w:tcPr>
                  <w:tcW w:w="2228" w:type="dxa"/>
                  <w:shd w:val="clear" w:color="auto" w:fill="D9D9D9" w:themeFill="background1" w:themeFillShade="D9"/>
                </w:tcPr>
                <w:p w14:paraId="6D608D47" w14:textId="77777777" w:rsidR="009F7E12" w:rsidRPr="00885CAE" w:rsidRDefault="009F7E12" w:rsidP="00166DBD">
                  <w:pPr>
                    <w:tabs>
                      <w:tab w:val="left" w:pos="1859"/>
                    </w:tabs>
                    <w:spacing w:before="0" w:after="0"/>
                    <w:jc w:val="center"/>
                    <w:rPr>
                      <w:rFonts w:cs="Arial"/>
                      <w:b/>
                      <w:sz w:val="18"/>
                      <w:szCs w:val="18"/>
                      <w:lang w:val="de-CH"/>
                    </w:rPr>
                  </w:pPr>
                  <w:r w:rsidRPr="00885CAE">
                    <w:rPr>
                      <w:b/>
                      <w:sz w:val="18"/>
                      <w:lang w:val="de-CH"/>
                    </w:rPr>
                    <w:t>Datum:</w:t>
                  </w:r>
                </w:p>
              </w:tc>
            </w:tr>
            <w:tr w:rsidR="009F7E12" w:rsidRPr="00885CAE" w14:paraId="6D608D4D" w14:textId="77777777" w:rsidTr="00537739">
              <w:tc>
                <w:tcPr>
                  <w:tcW w:w="2013" w:type="dxa"/>
                </w:tcPr>
                <w:p w14:paraId="6D608D49" w14:textId="77777777" w:rsidR="009F7E12" w:rsidRPr="00885CAE" w:rsidRDefault="009F7E12" w:rsidP="00166DBD">
                  <w:pPr>
                    <w:tabs>
                      <w:tab w:val="left" w:pos="1859"/>
                    </w:tabs>
                    <w:spacing w:before="0" w:after="0"/>
                    <w:rPr>
                      <w:rFonts w:cs="Arial"/>
                      <w:sz w:val="18"/>
                      <w:szCs w:val="18"/>
                      <w:lang w:val="de-CH"/>
                    </w:rPr>
                  </w:pPr>
                  <w:r w:rsidRPr="00885CAE">
                    <w:rPr>
                      <w:sz w:val="18"/>
                      <w:lang w:val="de-CH"/>
                    </w:rPr>
                    <w:t xml:space="preserve">Prüfer: </w:t>
                  </w:r>
                </w:p>
              </w:tc>
              <w:tc>
                <w:tcPr>
                  <w:tcW w:w="3685" w:type="dxa"/>
                </w:tcPr>
                <w:p w14:paraId="6D608D4A" w14:textId="77777777" w:rsidR="009F7E12" w:rsidRPr="00885CAE" w:rsidRDefault="009F7E12" w:rsidP="00166DBD">
                  <w:pPr>
                    <w:tabs>
                      <w:tab w:val="left" w:pos="1859"/>
                    </w:tabs>
                    <w:spacing w:before="0" w:after="0"/>
                    <w:jc w:val="center"/>
                    <w:rPr>
                      <w:rFonts w:cs="Arial"/>
                      <w:sz w:val="18"/>
                      <w:szCs w:val="18"/>
                      <w:lang w:val="de-CH"/>
                    </w:rPr>
                  </w:pPr>
                  <w:r w:rsidRPr="00885CAE">
                    <w:rPr>
                      <w:sz w:val="18"/>
                      <w:highlight w:val="yellow"/>
                      <w:lang w:val="de-CH"/>
                    </w:rPr>
                    <w:t>[Name]</w:t>
                  </w:r>
                </w:p>
              </w:tc>
              <w:tc>
                <w:tcPr>
                  <w:tcW w:w="3544" w:type="dxa"/>
                </w:tcPr>
                <w:p w14:paraId="6D608D4B" w14:textId="799F996D" w:rsidR="009F7E12" w:rsidRPr="00885CAE" w:rsidRDefault="009F7E12" w:rsidP="00166DBD">
                  <w:pPr>
                    <w:tabs>
                      <w:tab w:val="left" w:pos="1859"/>
                    </w:tabs>
                    <w:spacing w:before="0" w:after="0"/>
                    <w:jc w:val="center"/>
                    <w:rPr>
                      <w:rFonts w:cs="Arial"/>
                      <w:sz w:val="18"/>
                      <w:szCs w:val="18"/>
                      <w:lang w:val="de-CH"/>
                    </w:rPr>
                  </w:pPr>
                  <w:r w:rsidRPr="00885CAE">
                    <w:rPr>
                      <w:sz w:val="18"/>
                      <w:highlight w:val="yellow"/>
                      <w:lang w:val="de-CH"/>
                    </w:rPr>
                    <w:t>[Assistent / S</w:t>
                  </w:r>
                  <w:r w:rsidR="00223F6D">
                    <w:rPr>
                      <w:sz w:val="18"/>
                      <w:highlight w:val="yellow"/>
                      <w:lang w:val="de-CH"/>
                    </w:rPr>
                    <w:t>enior</w:t>
                  </w:r>
                  <w:r w:rsidRPr="00885CAE">
                    <w:rPr>
                      <w:sz w:val="18"/>
                      <w:highlight w:val="yellow"/>
                      <w:lang w:val="de-CH"/>
                    </w:rPr>
                    <w:t xml:space="preserve"> / Manager / Senior Manager / Partner]</w:t>
                  </w:r>
                </w:p>
              </w:tc>
              <w:tc>
                <w:tcPr>
                  <w:tcW w:w="2228" w:type="dxa"/>
                </w:tcPr>
                <w:p w14:paraId="6D608D4C" w14:textId="77777777" w:rsidR="009F7E12" w:rsidRPr="00885CAE" w:rsidRDefault="009F7E12" w:rsidP="00350E54">
                  <w:pPr>
                    <w:tabs>
                      <w:tab w:val="left" w:pos="1859"/>
                    </w:tabs>
                    <w:spacing w:before="0" w:after="0"/>
                    <w:jc w:val="center"/>
                    <w:rPr>
                      <w:rFonts w:cs="Arial"/>
                      <w:sz w:val="18"/>
                      <w:szCs w:val="18"/>
                      <w:lang w:val="de-CH"/>
                    </w:rPr>
                  </w:pPr>
                  <w:r w:rsidRPr="00885CAE">
                    <w:rPr>
                      <w:sz w:val="18"/>
                      <w:highlight w:val="yellow"/>
                      <w:lang w:val="de-CH"/>
                    </w:rPr>
                    <w:t>[TT.MM.JJJJ]</w:t>
                  </w:r>
                </w:p>
              </w:tc>
            </w:tr>
            <w:tr w:rsidR="009F7E12" w:rsidRPr="00885CAE" w14:paraId="6D608D52" w14:textId="77777777" w:rsidTr="00537739">
              <w:tc>
                <w:tcPr>
                  <w:tcW w:w="2013" w:type="dxa"/>
                </w:tcPr>
                <w:p w14:paraId="6D608D4E" w14:textId="77777777" w:rsidR="009F7E12" w:rsidRPr="00885CAE" w:rsidRDefault="009F7E12" w:rsidP="00166DBD">
                  <w:pPr>
                    <w:tabs>
                      <w:tab w:val="left" w:pos="1859"/>
                    </w:tabs>
                    <w:spacing w:before="0" w:after="0"/>
                    <w:rPr>
                      <w:rFonts w:cs="Arial"/>
                      <w:sz w:val="18"/>
                      <w:szCs w:val="18"/>
                      <w:lang w:val="de-CH"/>
                    </w:rPr>
                  </w:pPr>
                  <w:proofErr w:type="spellStart"/>
                  <w:r w:rsidRPr="00885CAE">
                    <w:rPr>
                      <w:sz w:val="18"/>
                      <w:lang w:val="de-CH"/>
                    </w:rPr>
                    <w:t>Reviewer</w:t>
                  </w:r>
                  <w:proofErr w:type="spellEnd"/>
                  <w:r w:rsidRPr="00885CAE">
                    <w:rPr>
                      <w:sz w:val="18"/>
                      <w:lang w:val="de-CH"/>
                    </w:rPr>
                    <w:t>:</w:t>
                  </w:r>
                </w:p>
              </w:tc>
              <w:tc>
                <w:tcPr>
                  <w:tcW w:w="3685" w:type="dxa"/>
                </w:tcPr>
                <w:p w14:paraId="6D608D4F" w14:textId="77777777" w:rsidR="009F7E12" w:rsidRPr="00885CAE" w:rsidRDefault="009F7E12" w:rsidP="00166DBD">
                  <w:pPr>
                    <w:tabs>
                      <w:tab w:val="left" w:pos="1859"/>
                    </w:tabs>
                    <w:spacing w:before="0" w:after="0"/>
                    <w:jc w:val="center"/>
                    <w:rPr>
                      <w:rFonts w:cs="Arial"/>
                      <w:sz w:val="18"/>
                      <w:szCs w:val="18"/>
                      <w:highlight w:val="yellow"/>
                      <w:lang w:val="de-CH"/>
                    </w:rPr>
                  </w:pPr>
                  <w:r w:rsidRPr="00885CAE">
                    <w:rPr>
                      <w:sz w:val="18"/>
                      <w:highlight w:val="yellow"/>
                      <w:lang w:val="de-CH"/>
                    </w:rPr>
                    <w:t>[Name]</w:t>
                  </w:r>
                </w:p>
              </w:tc>
              <w:tc>
                <w:tcPr>
                  <w:tcW w:w="3544" w:type="dxa"/>
                </w:tcPr>
                <w:p w14:paraId="6D608D50" w14:textId="7ACDD152" w:rsidR="009F7E12" w:rsidRPr="00885CAE" w:rsidRDefault="009F7E12" w:rsidP="00166DBD">
                  <w:pPr>
                    <w:tabs>
                      <w:tab w:val="left" w:pos="1859"/>
                    </w:tabs>
                    <w:spacing w:before="0" w:after="0"/>
                    <w:jc w:val="center"/>
                    <w:rPr>
                      <w:rFonts w:cs="Arial"/>
                      <w:sz w:val="18"/>
                      <w:szCs w:val="18"/>
                      <w:highlight w:val="yellow"/>
                      <w:lang w:val="de-CH"/>
                    </w:rPr>
                  </w:pPr>
                  <w:r w:rsidRPr="00885CAE">
                    <w:rPr>
                      <w:sz w:val="18"/>
                      <w:highlight w:val="yellow"/>
                      <w:lang w:val="de-CH"/>
                    </w:rPr>
                    <w:t>[S</w:t>
                  </w:r>
                  <w:r w:rsidR="00223F6D">
                    <w:rPr>
                      <w:sz w:val="18"/>
                      <w:highlight w:val="yellow"/>
                      <w:lang w:val="de-CH"/>
                    </w:rPr>
                    <w:t>enior</w:t>
                  </w:r>
                  <w:r w:rsidRPr="00885CAE">
                    <w:rPr>
                      <w:sz w:val="18"/>
                      <w:highlight w:val="yellow"/>
                      <w:lang w:val="de-CH"/>
                    </w:rPr>
                    <w:t xml:space="preserve"> / Manager / Senior Manager </w:t>
                  </w:r>
                  <w:r w:rsidRPr="00885CAE">
                    <w:rPr>
                      <w:rFonts w:cs="Arial"/>
                      <w:sz w:val="18"/>
                      <w:szCs w:val="18"/>
                      <w:highlight w:val="yellow"/>
                      <w:lang w:val="de-CH"/>
                    </w:rPr>
                    <w:br/>
                  </w:r>
                  <w:r w:rsidRPr="00885CAE">
                    <w:rPr>
                      <w:sz w:val="18"/>
                      <w:highlight w:val="yellow"/>
                      <w:lang w:val="de-CH"/>
                    </w:rPr>
                    <w:t>/ Partner]</w:t>
                  </w:r>
                </w:p>
              </w:tc>
              <w:tc>
                <w:tcPr>
                  <w:tcW w:w="2228" w:type="dxa"/>
                </w:tcPr>
                <w:p w14:paraId="6D608D51" w14:textId="77777777" w:rsidR="009F7E12" w:rsidRPr="00885CAE" w:rsidRDefault="009F7E12" w:rsidP="00350E54">
                  <w:pPr>
                    <w:tabs>
                      <w:tab w:val="left" w:pos="1859"/>
                    </w:tabs>
                    <w:spacing w:before="0" w:after="0"/>
                    <w:jc w:val="center"/>
                    <w:rPr>
                      <w:rFonts w:cs="Arial"/>
                      <w:sz w:val="18"/>
                      <w:szCs w:val="18"/>
                      <w:highlight w:val="yellow"/>
                      <w:lang w:val="de-CH"/>
                    </w:rPr>
                  </w:pPr>
                  <w:r w:rsidRPr="00885CAE">
                    <w:rPr>
                      <w:sz w:val="18"/>
                      <w:highlight w:val="yellow"/>
                      <w:lang w:val="de-CH"/>
                    </w:rPr>
                    <w:t>[TT.MM.JJJJ]</w:t>
                  </w:r>
                </w:p>
              </w:tc>
            </w:tr>
          </w:tbl>
          <w:p w14:paraId="6D608D53" w14:textId="77777777" w:rsidR="00F37CB4" w:rsidRPr="00885CAE" w:rsidRDefault="00F37CB4" w:rsidP="00166DBD">
            <w:pPr>
              <w:tabs>
                <w:tab w:val="left" w:pos="1859"/>
              </w:tabs>
              <w:spacing w:before="0" w:after="0"/>
              <w:rPr>
                <w:rFonts w:cs="Arial"/>
                <w:sz w:val="18"/>
                <w:szCs w:val="18"/>
                <w:lang w:val="de-CH"/>
              </w:rPr>
            </w:pPr>
          </w:p>
        </w:tc>
      </w:tr>
    </w:tbl>
    <w:p w14:paraId="6D608D55" w14:textId="77777777" w:rsidR="00F37CB4" w:rsidRPr="00885CAE" w:rsidRDefault="00F37CB4" w:rsidP="00166DBD">
      <w:pPr>
        <w:spacing w:before="0" w:after="0" w:line="240" w:lineRule="auto"/>
        <w:rPr>
          <w:rFonts w:cs="Arial"/>
          <w:szCs w:val="20"/>
          <w:lang w:val="de-CH"/>
        </w:rPr>
      </w:pPr>
    </w:p>
    <w:p w14:paraId="6D608D56" w14:textId="402E8CBA" w:rsidR="00DB0891" w:rsidRDefault="00DB0891" w:rsidP="00DB0891">
      <w:pPr>
        <w:jc w:val="both"/>
        <w:rPr>
          <w:b/>
          <w:lang w:val="de-CH"/>
        </w:rPr>
      </w:pPr>
      <w:r w:rsidRPr="00885CAE">
        <w:rPr>
          <w:b/>
          <w:lang w:val="de-CH"/>
        </w:rPr>
        <w:t>Dies ist ein Standard-Prüfprogramm</w:t>
      </w:r>
      <w:r w:rsidR="00DA20CA">
        <w:rPr>
          <w:b/>
          <w:lang w:val="de-CH"/>
        </w:rPr>
        <w:t xml:space="preserve">, </w:t>
      </w:r>
      <w:r w:rsidR="00DA20CA" w:rsidRPr="009D74D1">
        <w:rPr>
          <w:b/>
          <w:lang w:val="de-CH"/>
        </w:rPr>
        <w:t xml:space="preserve">das </w:t>
      </w:r>
      <w:r w:rsidR="00EA6B4C" w:rsidRPr="009D74D1">
        <w:rPr>
          <w:b/>
          <w:lang w:val="de-CH"/>
        </w:rPr>
        <w:t xml:space="preserve">pro abgedecktes Element </w:t>
      </w:r>
      <w:r w:rsidR="00DA20CA" w:rsidRPr="009D74D1">
        <w:rPr>
          <w:b/>
          <w:lang w:val="de-CH"/>
        </w:rPr>
        <w:t>in diesem Prüfgebiet bei jeder In</w:t>
      </w:r>
      <w:r w:rsidR="00DF41FF" w:rsidRPr="009D74D1">
        <w:rPr>
          <w:b/>
          <w:lang w:val="de-CH"/>
        </w:rPr>
        <w:t>ter</w:t>
      </w:r>
      <w:r w:rsidR="00DA20CA" w:rsidRPr="009D74D1">
        <w:rPr>
          <w:b/>
          <w:lang w:val="de-CH"/>
        </w:rPr>
        <w:t xml:space="preserve">vention </w:t>
      </w:r>
      <w:r w:rsidR="00724D92">
        <w:rPr>
          <w:b/>
          <w:lang w:val="de-CH"/>
        </w:rPr>
        <w:t>gemäss Prü</w:t>
      </w:r>
      <w:r w:rsidR="002B2539">
        <w:rPr>
          <w:b/>
          <w:lang w:val="de-CH"/>
        </w:rPr>
        <w:t>fstrategie (Rz 28</w:t>
      </w:r>
      <w:r w:rsidR="00B11AA6">
        <w:rPr>
          <w:b/>
          <w:lang w:val="de-CH"/>
        </w:rPr>
        <w:t> </w:t>
      </w:r>
      <w:r w:rsidR="0039230C">
        <w:rPr>
          <w:b/>
          <w:lang w:val="de-CH"/>
        </w:rPr>
        <w:t xml:space="preserve">ff FINMA-RS </w:t>
      </w:r>
      <w:r w:rsidR="00724D92">
        <w:rPr>
          <w:b/>
          <w:lang w:val="de-CH"/>
        </w:rPr>
        <w:t>13/3</w:t>
      </w:r>
      <w:r w:rsidR="00B11AA6">
        <w:rPr>
          <w:b/>
          <w:lang w:val="de-CH"/>
        </w:rPr>
        <w:t xml:space="preserve"> „Prüfwesen“</w:t>
      </w:r>
      <w:r w:rsidR="00724D92">
        <w:rPr>
          <w:b/>
          <w:lang w:val="de-CH"/>
        </w:rPr>
        <w:t xml:space="preserve">) </w:t>
      </w:r>
      <w:r w:rsidR="00DA20CA" w:rsidRPr="009D74D1">
        <w:rPr>
          <w:b/>
          <w:lang w:val="de-CH"/>
        </w:rPr>
        <w:t>grundsätzlich anzuwenden ist</w:t>
      </w:r>
      <w:r w:rsidRPr="00885CAE">
        <w:rPr>
          <w:b/>
          <w:lang w:val="de-CH"/>
        </w:rPr>
        <w:t xml:space="preserve">. Es liegt in der Verantwortung des Prüfteams, das Standard-Prüfprogramm an die spezifische Situation (Grösse, Geschäftsmodell, Organisation, Prozesse, </w:t>
      </w:r>
      <w:proofErr w:type="spellStart"/>
      <w:r w:rsidRPr="00885CAE">
        <w:rPr>
          <w:b/>
          <w:lang w:val="de-CH"/>
        </w:rPr>
        <w:t>Risikoexposure</w:t>
      </w:r>
      <w:proofErr w:type="spellEnd"/>
      <w:r w:rsidRPr="00885CAE">
        <w:rPr>
          <w:b/>
          <w:lang w:val="de-CH"/>
        </w:rPr>
        <w:t xml:space="preserve"> usw.) des geprüften Instituts anzupassen. Werden </w:t>
      </w:r>
      <w:r w:rsidR="003D5B18">
        <w:rPr>
          <w:b/>
          <w:lang w:val="de-CH"/>
        </w:rPr>
        <w:t>die angegebenen</w:t>
      </w:r>
      <w:r w:rsidR="003D5B18" w:rsidRPr="00885CAE">
        <w:rPr>
          <w:b/>
          <w:lang w:val="de-CH"/>
        </w:rPr>
        <w:t xml:space="preserve"> </w:t>
      </w:r>
      <w:r w:rsidRPr="00885CAE">
        <w:rPr>
          <w:b/>
          <w:lang w:val="de-CH"/>
        </w:rPr>
        <w:t xml:space="preserve">Prüfungshandlungen </w:t>
      </w:r>
      <w:r w:rsidR="00223F6D">
        <w:rPr>
          <w:b/>
          <w:lang w:val="de-CH"/>
        </w:rPr>
        <w:t xml:space="preserve">nicht </w:t>
      </w:r>
      <w:r w:rsidR="00651702">
        <w:rPr>
          <w:b/>
          <w:lang w:val="de-CH"/>
        </w:rPr>
        <w:t xml:space="preserve">vollständig </w:t>
      </w:r>
      <w:r w:rsidRPr="00885CAE">
        <w:rPr>
          <w:b/>
          <w:lang w:val="de-CH"/>
        </w:rPr>
        <w:t xml:space="preserve">durchgeführt, ist in den Arbeitspapieren eine aussagekräftige Erläuterung </w:t>
      </w:r>
      <w:r w:rsidR="00A75969">
        <w:rPr>
          <w:b/>
          <w:lang w:val="de-CH"/>
        </w:rPr>
        <w:t xml:space="preserve">dazu </w:t>
      </w:r>
      <w:r w:rsidRPr="00885CAE">
        <w:rPr>
          <w:b/>
          <w:lang w:val="de-CH"/>
        </w:rPr>
        <w:t>anzubringen.</w:t>
      </w:r>
      <w:r w:rsidR="003D5B18">
        <w:rPr>
          <w:b/>
          <w:lang w:val="de-CH"/>
        </w:rPr>
        <w:t xml:space="preserve"> Die mit </w:t>
      </w:r>
      <w:r w:rsidR="00141559">
        <w:rPr>
          <w:b/>
          <w:lang w:val="de-CH"/>
        </w:rPr>
        <w:t>einem</w:t>
      </w:r>
      <w:r w:rsidR="006D2BB7">
        <w:rPr>
          <w:b/>
          <w:lang w:val="de-CH"/>
        </w:rPr>
        <w:t xml:space="preserve"> </w:t>
      </w:r>
      <w:r w:rsidR="001B380C">
        <w:rPr>
          <w:b/>
          <w:lang w:val="de-CH"/>
        </w:rPr>
        <w:t>Stern (*)</w:t>
      </w:r>
      <w:r w:rsidR="003D5B18">
        <w:rPr>
          <w:b/>
          <w:lang w:val="de-CH"/>
        </w:rPr>
        <w:t xml:space="preserve"> markierten Prüfpunkte sind bei allen Banken der Aufsichtskategorien 4 und 5 nicht anwendbar.</w:t>
      </w:r>
    </w:p>
    <w:p w14:paraId="6D608D57" w14:textId="77777777" w:rsidR="00594CFF" w:rsidRPr="00885CAE" w:rsidRDefault="00594CFF" w:rsidP="00166DBD">
      <w:pPr>
        <w:spacing w:before="0" w:after="0" w:line="240" w:lineRule="auto"/>
        <w:rPr>
          <w:rFonts w:cs="Arial"/>
          <w:szCs w:val="20"/>
          <w:lang w:val="de-CH"/>
        </w:rPr>
      </w:pPr>
      <w:r w:rsidRPr="00885CAE">
        <w:rPr>
          <w:lang w:val="de-CH"/>
        </w:rPr>
        <w:br w:type="page"/>
      </w:r>
    </w:p>
    <w:p w14:paraId="6D608D58" w14:textId="77777777" w:rsidR="00352874" w:rsidRPr="00885CAE" w:rsidRDefault="00352874" w:rsidP="00166DBD">
      <w:pPr>
        <w:spacing w:before="0" w:after="0" w:line="240" w:lineRule="auto"/>
        <w:rPr>
          <w:rFonts w:cs="Arial"/>
          <w:b/>
          <w:lang w:val="de-CH"/>
        </w:rPr>
      </w:pPr>
      <w:r w:rsidRPr="00885CAE">
        <w:rPr>
          <w:b/>
          <w:lang w:val="de-CH"/>
        </w:rPr>
        <w:lastRenderedPageBreak/>
        <w:t>Abschliessende Zusammenfassung</w:t>
      </w:r>
    </w:p>
    <w:p w14:paraId="6D608D59" w14:textId="77777777" w:rsidR="00352874" w:rsidRPr="00885CAE" w:rsidRDefault="00352874" w:rsidP="00166DBD">
      <w:pPr>
        <w:spacing w:before="0" w:after="0" w:line="240" w:lineRule="auto"/>
        <w:rPr>
          <w:rFonts w:cs="Arial"/>
          <w:szCs w:val="20"/>
          <w:lang w:val="de-CH"/>
        </w:rPr>
      </w:pPr>
    </w:p>
    <w:tbl>
      <w:tblPr>
        <w:tblStyle w:val="Tabellenraster"/>
        <w:tblW w:w="0" w:type="auto"/>
        <w:tblInd w:w="108" w:type="dxa"/>
        <w:tblLook w:val="04A0" w:firstRow="1" w:lastRow="0" w:firstColumn="1" w:lastColumn="0" w:noHBand="0" w:noVBand="1"/>
      </w:tblPr>
      <w:tblGrid>
        <w:gridCol w:w="3006"/>
        <w:gridCol w:w="11163"/>
      </w:tblGrid>
      <w:tr w:rsidR="0045532C" w:rsidRPr="00885CAE" w14:paraId="6D608D5C" w14:textId="77777777" w:rsidTr="000869BB">
        <w:trPr>
          <w:trHeight w:val="552"/>
          <w:tblHeader/>
        </w:trPr>
        <w:tc>
          <w:tcPr>
            <w:tcW w:w="3006" w:type="dxa"/>
            <w:shd w:val="pct15" w:color="auto" w:fill="auto"/>
          </w:tcPr>
          <w:p w14:paraId="6D608D5A" w14:textId="77777777" w:rsidR="0045532C" w:rsidRPr="00885CAE" w:rsidRDefault="0045532C" w:rsidP="00166DBD">
            <w:pPr>
              <w:tabs>
                <w:tab w:val="left" w:pos="1418"/>
              </w:tabs>
              <w:spacing w:before="0" w:after="0"/>
              <w:rPr>
                <w:rFonts w:cs="Arial"/>
                <w:b/>
                <w:sz w:val="16"/>
                <w:szCs w:val="16"/>
                <w:lang w:val="de-CH"/>
              </w:rPr>
            </w:pPr>
            <w:r w:rsidRPr="00885CAE">
              <w:rPr>
                <w:b/>
                <w:sz w:val="16"/>
                <w:lang w:val="de-CH"/>
              </w:rPr>
              <w:t>Thema:</w:t>
            </w:r>
          </w:p>
        </w:tc>
        <w:tc>
          <w:tcPr>
            <w:tcW w:w="11163" w:type="dxa"/>
            <w:shd w:val="pct15" w:color="auto" w:fill="auto"/>
          </w:tcPr>
          <w:p w14:paraId="6D608D5B" w14:textId="77777777" w:rsidR="0045532C" w:rsidRPr="00885CAE" w:rsidRDefault="0045532C" w:rsidP="00166DBD">
            <w:pPr>
              <w:tabs>
                <w:tab w:val="left" w:pos="1859"/>
              </w:tabs>
              <w:spacing w:before="0" w:after="0"/>
              <w:rPr>
                <w:rFonts w:cs="Arial"/>
                <w:b/>
                <w:sz w:val="16"/>
                <w:szCs w:val="16"/>
                <w:lang w:val="de-CH"/>
              </w:rPr>
            </w:pPr>
            <w:r w:rsidRPr="00885CAE">
              <w:rPr>
                <w:b/>
                <w:sz w:val="16"/>
                <w:lang w:val="de-CH"/>
              </w:rPr>
              <w:t>Information / Beschreibung:</w:t>
            </w:r>
          </w:p>
        </w:tc>
      </w:tr>
      <w:tr w:rsidR="00B7671A" w:rsidRPr="00885CAE" w14:paraId="6D608D93" w14:textId="77777777" w:rsidTr="000869BB">
        <w:trPr>
          <w:trHeight w:val="2114"/>
        </w:trPr>
        <w:tc>
          <w:tcPr>
            <w:tcW w:w="3006" w:type="dxa"/>
          </w:tcPr>
          <w:p w14:paraId="6D608D5D" w14:textId="039CC323" w:rsidR="00B7671A" w:rsidRPr="00885CAE" w:rsidRDefault="00B7671A" w:rsidP="00166DBD">
            <w:pPr>
              <w:tabs>
                <w:tab w:val="left" w:pos="1418"/>
              </w:tabs>
              <w:spacing w:before="0" w:after="0"/>
              <w:rPr>
                <w:rFonts w:cs="Arial"/>
                <w:sz w:val="16"/>
                <w:szCs w:val="16"/>
                <w:lang w:val="de-CH"/>
              </w:rPr>
            </w:pPr>
            <w:r w:rsidRPr="00885CAE">
              <w:rPr>
                <w:sz w:val="16"/>
                <w:lang w:val="de-CH"/>
              </w:rPr>
              <w:t xml:space="preserve">Über einen Zeitraum von 6 Jahren </w:t>
            </w:r>
            <w:r w:rsidR="00223F6D">
              <w:rPr>
                <w:sz w:val="16"/>
                <w:lang w:val="de-CH"/>
              </w:rPr>
              <w:t>graduell</w:t>
            </w:r>
            <w:r w:rsidRPr="00885CAE">
              <w:rPr>
                <w:sz w:val="16"/>
                <w:lang w:val="de-CH"/>
              </w:rPr>
              <w:t xml:space="preserve"> abzudeckende Elemente (einschliesslich Prüftiefe)</w:t>
            </w:r>
          </w:p>
        </w:tc>
        <w:tc>
          <w:tcPr>
            <w:tcW w:w="11163" w:type="dxa"/>
          </w:tcPr>
          <w:p w14:paraId="6D608D5E" w14:textId="77777777" w:rsidR="00B7671A" w:rsidRPr="00885CAE" w:rsidRDefault="00B7671A" w:rsidP="00166DBD">
            <w:pPr>
              <w:spacing w:before="0" w:after="0"/>
              <w:rPr>
                <w:rFonts w:cs="Arial"/>
                <w:sz w:val="6"/>
                <w:szCs w:val="6"/>
                <w:highlight w:val="yellow"/>
                <w:lang w:val="de-CH"/>
              </w:rPr>
            </w:pPr>
          </w:p>
          <w:p w14:paraId="6D608D5F" w14:textId="77777777" w:rsidR="00B7671A" w:rsidRPr="00885CAE" w:rsidRDefault="00B7671A" w:rsidP="00166DBD">
            <w:pPr>
              <w:spacing w:before="0" w:after="0"/>
              <w:rPr>
                <w:rFonts w:cs="Arial"/>
                <w:sz w:val="6"/>
                <w:szCs w:val="6"/>
                <w:highlight w:val="yellow"/>
                <w:lang w:val="de-CH"/>
              </w:rPr>
            </w:pPr>
          </w:p>
          <w:tbl>
            <w:tblPr>
              <w:tblStyle w:val="Tabellenraster"/>
              <w:tblW w:w="0" w:type="auto"/>
              <w:tblLook w:val="04A0" w:firstRow="1" w:lastRow="0" w:firstColumn="1" w:lastColumn="0" w:noHBand="0" w:noVBand="1"/>
            </w:tblPr>
            <w:tblGrid>
              <w:gridCol w:w="4502"/>
              <w:gridCol w:w="1069"/>
              <w:gridCol w:w="1070"/>
              <w:gridCol w:w="1066"/>
              <w:gridCol w:w="1077"/>
              <w:gridCol w:w="1076"/>
              <w:gridCol w:w="1077"/>
            </w:tblGrid>
            <w:tr w:rsidR="00B7671A" w:rsidRPr="00885CAE" w14:paraId="6D608D67" w14:textId="77777777" w:rsidTr="00E72C82">
              <w:tc>
                <w:tcPr>
                  <w:tcW w:w="4707" w:type="dxa"/>
                  <w:shd w:val="clear" w:color="auto" w:fill="D9D9D9" w:themeFill="background1" w:themeFillShade="D9"/>
                  <w:tcMar>
                    <w:left w:w="0" w:type="dxa"/>
                  </w:tcMar>
                </w:tcPr>
                <w:p w14:paraId="6D608D60" w14:textId="77777777" w:rsidR="00B7671A" w:rsidRPr="00885CAE" w:rsidRDefault="00B7671A" w:rsidP="00E72C82">
                  <w:pPr>
                    <w:tabs>
                      <w:tab w:val="left" w:pos="1859"/>
                    </w:tabs>
                    <w:ind w:left="29"/>
                    <w:rPr>
                      <w:rFonts w:cs="Arial"/>
                      <w:b/>
                      <w:sz w:val="16"/>
                      <w:szCs w:val="16"/>
                      <w:lang w:val="de-CH"/>
                    </w:rPr>
                  </w:pPr>
                  <w:r w:rsidRPr="00885CAE">
                    <w:rPr>
                      <w:b/>
                      <w:sz w:val="16"/>
                      <w:lang w:val="de-CH"/>
                    </w:rPr>
                    <w:t>Elemente:</w:t>
                  </w:r>
                </w:p>
              </w:tc>
              <w:tc>
                <w:tcPr>
                  <w:tcW w:w="1091" w:type="dxa"/>
                  <w:shd w:val="clear" w:color="auto" w:fill="D9D9D9" w:themeFill="background1" w:themeFillShade="D9"/>
                </w:tcPr>
                <w:p w14:paraId="6D608D61" w14:textId="77777777" w:rsidR="00B7671A" w:rsidRPr="00885CAE" w:rsidRDefault="00B7671A" w:rsidP="00E72C82">
                  <w:pPr>
                    <w:tabs>
                      <w:tab w:val="left" w:pos="1859"/>
                    </w:tabs>
                    <w:jc w:val="center"/>
                    <w:rPr>
                      <w:rFonts w:cs="Arial"/>
                      <w:b/>
                      <w:sz w:val="16"/>
                      <w:szCs w:val="16"/>
                      <w:highlight w:val="yellow"/>
                      <w:lang w:val="de-CH"/>
                    </w:rPr>
                  </w:pPr>
                  <w:r w:rsidRPr="00885CAE">
                    <w:rPr>
                      <w:b/>
                      <w:sz w:val="16"/>
                      <w:highlight w:val="yellow"/>
                      <w:lang w:val="de-CH"/>
                    </w:rPr>
                    <w:t>20XX-2</w:t>
                  </w:r>
                </w:p>
              </w:tc>
              <w:tc>
                <w:tcPr>
                  <w:tcW w:w="1092" w:type="dxa"/>
                  <w:shd w:val="clear" w:color="auto" w:fill="D9D9D9" w:themeFill="background1" w:themeFillShade="D9"/>
                </w:tcPr>
                <w:p w14:paraId="6D608D62" w14:textId="77777777" w:rsidR="00B7671A" w:rsidRPr="00885CAE" w:rsidRDefault="00B7671A" w:rsidP="00E72C82">
                  <w:pPr>
                    <w:tabs>
                      <w:tab w:val="left" w:pos="1859"/>
                    </w:tabs>
                    <w:jc w:val="center"/>
                    <w:rPr>
                      <w:rFonts w:cs="Arial"/>
                      <w:b/>
                      <w:sz w:val="16"/>
                      <w:szCs w:val="16"/>
                      <w:highlight w:val="yellow"/>
                      <w:lang w:val="de-CH"/>
                    </w:rPr>
                  </w:pPr>
                  <w:r w:rsidRPr="00885CAE">
                    <w:rPr>
                      <w:b/>
                      <w:sz w:val="16"/>
                      <w:highlight w:val="yellow"/>
                      <w:lang w:val="de-CH"/>
                    </w:rPr>
                    <w:t>20XX-1</w:t>
                  </w:r>
                </w:p>
              </w:tc>
              <w:tc>
                <w:tcPr>
                  <w:tcW w:w="1091" w:type="dxa"/>
                  <w:shd w:val="clear" w:color="auto" w:fill="D9D9D9" w:themeFill="background1" w:themeFillShade="D9"/>
                </w:tcPr>
                <w:p w14:paraId="6D608D63" w14:textId="77777777" w:rsidR="00B7671A" w:rsidRPr="00885CAE" w:rsidRDefault="00B7671A" w:rsidP="00E72C82">
                  <w:pPr>
                    <w:tabs>
                      <w:tab w:val="left" w:pos="1859"/>
                    </w:tabs>
                    <w:jc w:val="center"/>
                    <w:rPr>
                      <w:rFonts w:cs="Arial"/>
                      <w:b/>
                      <w:sz w:val="16"/>
                      <w:szCs w:val="16"/>
                      <w:highlight w:val="yellow"/>
                      <w:lang w:val="de-CH"/>
                    </w:rPr>
                  </w:pPr>
                  <w:r w:rsidRPr="00885CAE">
                    <w:rPr>
                      <w:b/>
                      <w:sz w:val="16"/>
                      <w:highlight w:val="yellow"/>
                      <w:lang w:val="de-CH"/>
                    </w:rPr>
                    <w:t>20XX</w:t>
                  </w:r>
                </w:p>
              </w:tc>
              <w:tc>
                <w:tcPr>
                  <w:tcW w:w="1092" w:type="dxa"/>
                  <w:shd w:val="clear" w:color="auto" w:fill="D9D9D9" w:themeFill="background1" w:themeFillShade="D9"/>
                </w:tcPr>
                <w:p w14:paraId="6D608D64" w14:textId="77777777" w:rsidR="00B7671A" w:rsidRPr="00885CAE" w:rsidRDefault="00B7671A" w:rsidP="00E72C82">
                  <w:pPr>
                    <w:tabs>
                      <w:tab w:val="left" w:pos="1859"/>
                    </w:tabs>
                    <w:jc w:val="center"/>
                    <w:rPr>
                      <w:rFonts w:cs="Arial"/>
                      <w:b/>
                      <w:sz w:val="16"/>
                      <w:szCs w:val="16"/>
                      <w:highlight w:val="yellow"/>
                      <w:lang w:val="de-CH"/>
                    </w:rPr>
                  </w:pPr>
                  <w:r w:rsidRPr="00885CAE">
                    <w:rPr>
                      <w:b/>
                      <w:sz w:val="16"/>
                      <w:highlight w:val="yellow"/>
                      <w:lang w:val="de-CH"/>
                    </w:rPr>
                    <w:t>20XX+1</w:t>
                  </w:r>
                </w:p>
              </w:tc>
              <w:tc>
                <w:tcPr>
                  <w:tcW w:w="1091" w:type="dxa"/>
                  <w:shd w:val="clear" w:color="auto" w:fill="D9D9D9" w:themeFill="background1" w:themeFillShade="D9"/>
                </w:tcPr>
                <w:p w14:paraId="6D608D65" w14:textId="77777777" w:rsidR="00B7671A" w:rsidRPr="00885CAE" w:rsidRDefault="00B7671A" w:rsidP="00E72C82">
                  <w:pPr>
                    <w:tabs>
                      <w:tab w:val="left" w:pos="1859"/>
                    </w:tabs>
                    <w:jc w:val="center"/>
                    <w:rPr>
                      <w:rFonts w:cs="Arial"/>
                      <w:b/>
                      <w:sz w:val="16"/>
                      <w:szCs w:val="16"/>
                      <w:highlight w:val="yellow"/>
                      <w:lang w:val="de-CH"/>
                    </w:rPr>
                  </w:pPr>
                  <w:r w:rsidRPr="00885CAE">
                    <w:rPr>
                      <w:b/>
                      <w:sz w:val="16"/>
                      <w:highlight w:val="yellow"/>
                      <w:lang w:val="de-CH"/>
                    </w:rPr>
                    <w:t>20XX+2</w:t>
                  </w:r>
                </w:p>
              </w:tc>
              <w:tc>
                <w:tcPr>
                  <w:tcW w:w="1092" w:type="dxa"/>
                  <w:shd w:val="clear" w:color="auto" w:fill="D9D9D9" w:themeFill="background1" w:themeFillShade="D9"/>
                </w:tcPr>
                <w:p w14:paraId="6D608D66" w14:textId="77777777" w:rsidR="00B7671A" w:rsidRPr="00885CAE" w:rsidRDefault="00B7671A" w:rsidP="00E72C82">
                  <w:pPr>
                    <w:tabs>
                      <w:tab w:val="left" w:pos="1859"/>
                    </w:tabs>
                    <w:jc w:val="center"/>
                    <w:rPr>
                      <w:rFonts w:cs="Arial"/>
                      <w:b/>
                      <w:sz w:val="16"/>
                      <w:szCs w:val="16"/>
                      <w:highlight w:val="yellow"/>
                      <w:lang w:val="de-CH"/>
                    </w:rPr>
                  </w:pPr>
                  <w:r w:rsidRPr="00885CAE">
                    <w:rPr>
                      <w:b/>
                      <w:sz w:val="16"/>
                      <w:highlight w:val="yellow"/>
                      <w:lang w:val="de-CH"/>
                    </w:rPr>
                    <w:t>20XX+3</w:t>
                  </w:r>
                </w:p>
              </w:tc>
            </w:tr>
            <w:tr w:rsidR="00B7671A" w:rsidRPr="00885CAE" w14:paraId="6D608D6F" w14:textId="77777777" w:rsidTr="00E72C82">
              <w:tc>
                <w:tcPr>
                  <w:tcW w:w="4707" w:type="dxa"/>
                  <w:tcMar>
                    <w:left w:w="0" w:type="dxa"/>
                  </w:tcMar>
                </w:tcPr>
                <w:p w14:paraId="6D608D68" w14:textId="77777777" w:rsidR="00F40C28" w:rsidRPr="00885CAE" w:rsidRDefault="001F440D" w:rsidP="00E36B30">
                  <w:pPr>
                    <w:tabs>
                      <w:tab w:val="left" w:pos="1859"/>
                    </w:tabs>
                    <w:ind w:left="29"/>
                    <w:rPr>
                      <w:sz w:val="16"/>
                      <w:szCs w:val="16"/>
                      <w:lang w:val="de-CH"/>
                    </w:rPr>
                  </w:pPr>
                  <w:r w:rsidRPr="00885CAE">
                    <w:rPr>
                      <w:sz w:val="16"/>
                      <w:lang w:val="de-CH"/>
                    </w:rPr>
                    <w:t>Angemessenheit der allgemeinen internen Organisation</w:t>
                  </w:r>
                  <w:r w:rsidRPr="00885CAE">
                    <w:rPr>
                      <w:sz w:val="16"/>
                      <w:szCs w:val="16"/>
                      <w:lang w:val="de-CH"/>
                    </w:rPr>
                    <w:br/>
                  </w:r>
                  <w:r w:rsidRPr="00885CAE">
                    <w:rPr>
                      <w:sz w:val="16"/>
                      <w:lang w:val="de-CH"/>
                    </w:rPr>
                    <w:t>(Organisationsstruktur, Funktionentrennung, Stellenbeschreibungen, Verantwortlichkeiten und Kompetenzen)</w:t>
                  </w:r>
                </w:p>
              </w:tc>
              <w:tc>
                <w:tcPr>
                  <w:tcW w:w="1091" w:type="dxa"/>
                </w:tcPr>
                <w:p w14:paraId="6D608D69"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6A"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1" w:type="dxa"/>
                  <w:shd w:val="clear" w:color="auto" w:fill="F2F2F2" w:themeFill="background1" w:themeFillShade="F2"/>
                </w:tcPr>
                <w:p w14:paraId="6D608D6B"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6C"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1" w:type="dxa"/>
                </w:tcPr>
                <w:p w14:paraId="6D608D6D"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6E"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r>
            <w:tr w:rsidR="00B7671A" w:rsidRPr="00885CAE" w14:paraId="6D608D77" w14:textId="77777777" w:rsidTr="00E72C82">
              <w:tc>
                <w:tcPr>
                  <w:tcW w:w="4707" w:type="dxa"/>
                  <w:tcMar>
                    <w:left w:w="0" w:type="dxa"/>
                  </w:tcMar>
                </w:tcPr>
                <w:p w14:paraId="6D608D70" w14:textId="77777777" w:rsidR="00FC4DB8" w:rsidRPr="00885CAE" w:rsidRDefault="001F440D" w:rsidP="00FC4DB8">
                  <w:pPr>
                    <w:tabs>
                      <w:tab w:val="left" w:pos="1859"/>
                    </w:tabs>
                    <w:ind w:left="29"/>
                    <w:rPr>
                      <w:sz w:val="16"/>
                      <w:szCs w:val="16"/>
                      <w:lang w:val="de-CH"/>
                    </w:rPr>
                  </w:pPr>
                  <w:r w:rsidRPr="00885CAE">
                    <w:rPr>
                      <w:sz w:val="16"/>
                      <w:lang w:val="de-CH"/>
                    </w:rPr>
                    <w:t>Angemessenheit der internen Weisungen (Struktur, Klarheit, Aktualität, regelmässige Überprüfung und Genehmigungsprozess usw.)</w:t>
                  </w:r>
                </w:p>
              </w:tc>
              <w:tc>
                <w:tcPr>
                  <w:tcW w:w="1091" w:type="dxa"/>
                </w:tcPr>
                <w:p w14:paraId="6D608D71"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72"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1" w:type="dxa"/>
                  <w:shd w:val="clear" w:color="auto" w:fill="F2F2F2" w:themeFill="background1" w:themeFillShade="F2"/>
                </w:tcPr>
                <w:p w14:paraId="6D608D73"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74"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1" w:type="dxa"/>
                </w:tcPr>
                <w:p w14:paraId="6D608D75"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76"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r>
            <w:tr w:rsidR="00B7671A" w:rsidRPr="00885CAE" w14:paraId="6D608D7F" w14:textId="77777777" w:rsidTr="00E72C82">
              <w:tc>
                <w:tcPr>
                  <w:tcW w:w="4707" w:type="dxa"/>
                  <w:tcMar>
                    <w:left w:w="0" w:type="dxa"/>
                  </w:tcMar>
                </w:tcPr>
                <w:p w14:paraId="6D608D78" w14:textId="143C9F65" w:rsidR="00FC4DB8" w:rsidRPr="00885CAE" w:rsidRDefault="001F440D" w:rsidP="003043F6">
                  <w:pPr>
                    <w:tabs>
                      <w:tab w:val="left" w:pos="1859"/>
                    </w:tabs>
                    <w:ind w:left="29"/>
                    <w:rPr>
                      <w:sz w:val="16"/>
                      <w:szCs w:val="16"/>
                      <w:lang w:val="de-CH"/>
                    </w:rPr>
                  </w:pPr>
                  <w:r w:rsidRPr="00885CAE">
                    <w:rPr>
                      <w:sz w:val="16"/>
                      <w:lang w:val="de-CH"/>
                    </w:rPr>
                    <w:t xml:space="preserve">Angemessenheit des internen Kontrollsystems (Methoden zur Risikoidentifikation, </w:t>
                  </w:r>
                  <w:r w:rsidR="00223F6D">
                    <w:rPr>
                      <w:sz w:val="16"/>
                      <w:lang w:val="de-CH"/>
                    </w:rPr>
                    <w:t>-b</w:t>
                  </w:r>
                  <w:r w:rsidRPr="00885CAE">
                    <w:rPr>
                      <w:sz w:val="16"/>
                      <w:lang w:val="de-CH"/>
                    </w:rPr>
                    <w:t xml:space="preserve">ewertung, </w:t>
                  </w:r>
                  <w:r w:rsidR="00223F6D">
                    <w:rPr>
                      <w:sz w:val="16"/>
                      <w:lang w:val="de-CH"/>
                    </w:rPr>
                    <w:t>-m</w:t>
                  </w:r>
                  <w:r w:rsidRPr="00885CAE">
                    <w:rPr>
                      <w:sz w:val="16"/>
                      <w:lang w:val="de-CH"/>
                    </w:rPr>
                    <w:t xml:space="preserve">essung, </w:t>
                  </w:r>
                  <w:r w:rsidR="00223F6D">
                    <w:rPr>
                      <w:sz w:val="16"/>
                      <w:lang w:val="de-CH"/>
                    </w:rPr>
                    <w:t>-ü</w:t>
                  </w:r>
                  <w:r w:rsidRPr="00885CAE">
                    <w:rPr>
                      <w:sz w:val="16"/>
                      <w:lang w:val="de-CH"/>
                    </w:rPr>
                    <w:t xml:space="preserve">berwachung und </w:t>
                  </w:r>
                  <w:r w:rsidR="00223F6D">
                    <w:rPr>
                      <w:sz w:val="16"/>
                      <w:lang w:val="de-CH"/>
                    </w:rPr>
                    <w:t>-b</w:t>
                  </w:r>
                  <w:r w:rsidRPr="00885CAE">
                    <w:rPr>
                      <w:sz w:val="16"/>
                      <w:lang w:val="de-CH"/>
                    </w:rPr>
                    <w:t>erichterstattung, Implementierung von Kontrollen)</w:t>
                  </w:r>
                </w:p>
              </w:tc>
              <w:tc>
                <w:tcPr>
                  <w:tcW w:w="1091" w:type="dxa"/>
                </w:tcPr>
                <w:p w14:paraId="6D608D79"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7A"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1" w:type="dxa"/>
                  <w:shd w:val="clear" w:color="auto" w:fill="F2F2F2" w:themeFill="background1" w:themeFillShade="F2"/>
                </w:tcPr>
                <w:p w14:paraId="6D608D7B"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7C"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1" w:type="dxa"/>
                </w:tcPr>
                <w:p w14:paraId="6D608D7D"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7E"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r>
            <w:tr w:rsidR="00B7671A" w:rsidRPr="00885CAE" w14:paraId="6D608D87" w14:textId="77777777" w:rsidTr="00E72C82">
              <w:tc>
                <w:tcPr>
                  <w:tcW w:w="4707" w:type="dxa"/>
                  <w:tcMar>
                    <w:left w:w="0" w:type="dxa"/>
                  </w:tcMar>
                </w:tcPr>
                <w:p w14:paraId="6D608D80" w14:textId="77777777" w:rsidR="00B7671A" w:rsidRPr="00885CAE" w:rsidRDefault="001F440D" w:rsidP="00E72C82">
                  <w:pPr>
                    <w:tabs>
                      <w:tab w:val="left" w:pos="1859"/>
                    </w:tabs>
                    <w:ind w:left="29"/>
                    <w:rPr>
                      <w:sz w:val="16"/>
                      <w:szCs w:val="16"/>
                      <w:lang w:val="de-CH"/>
                    </w:rPr>
                  </w:pPr>
                  <w:r w:rsidRPr="00885CAE">
                    <w:rPr>
                      <w:sz w:val="16"/>
                      <w:lang w:val="de-CH"/>
                    </w:rPr>
                    <w:t>Massnahmen zur angemessenen Begrenzung von Interessenkonflikten (einschl. Vergütungssystemen)</w:t>
                  </w:r>
                </w:p>
              </w:tc>
              <w:tc>
                <w:tcPr>
                  <w:tcW w:w="1091" w:type="dxa"/>
                </w:tcPr>
                <w:p w14:paraId="6D608D81"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82"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1" w:type="dxa"/>
                  <w:shd w:val="clear" w:color="auto" w:fill="F2F2F2" w:themeFill="background1" w:themeFillShade="F2"/>
                </w:tcPr>
                <w:p w14:paraId="6D608D83"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84"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1" w:type="dxa"/>
                </w:tcPr>
                <w:p w14:paraId="6D608D85"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86"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r>
            <w:tr w:rsidR="00B7671A" w:rsidRPr="00885CAE" w14:paraId="6D608D8F" w14:textId="77777777" w:rsidTr="00E72C82">
              <w:tc>
                <w:tcPr>
                  <w:tcW w:w="4707" w:type="dxa"/>
                  <w:tcMar>
                    <w:left w:w="0" w:type="dxa"/>
                  </w:tcMar>
                </w:tcPr>
                <w:p w14:paraId="6D608D88" w14:textId="5A3D7521" w:rsidR="00B7671A" w:rsidRPr="00885CAE" w:rsidRDefault="001F440D">
                  <w:pPr>
                    <w:tabs>
                      <w:tab w:val="left" w:pos="1859"/>
                    </w:tabs>
                    <w:ind w:left="29"/>
                    <w:rPr>
                      <w:sz w:val="16"/>
                      <w:szCs w:val="16"/>
                      <w:lang w:val="de-CH"/>
                    </w:rPr>
                  </w:pPr>
                  <w:r w:rsidRPr="00885CAE">
                    <w:rPr>
                      <w:sz w:val="16"/>
                      <w:lang w:val="de-CH"/>
                    </w:rPr>
                    <w:t>Interne Berichterstattung (Inhalt, Empfänger, Periodizität, Eskalationsprozesse usw.)</w:t>
                  </w:r>
                  <w:r w:rsidR="00EA6B4C">
                    <w:rPr>
                      <w:sz w:val="16"/>
                      <w:lang w:val="de-CH"/>
                    </w:rPr>
                    <w:t xml:space="preserve"> </w:t>
                  </w:r>
                  <w:r w:rsidR="00EA6B4C" w:rsidRPr="009D74D1">
                    <w:rPr>
                      <w:sz w:val="16"/>
                      <w:lang w:val="de-CH"/>
                    </w:rPr>
                    <w:t>und Offenlegung in Bezug auf die Corporate Governance</w:t>
                  </w:r>
                </w:p>
              </w:tc>
              <w:tc>
                <w:tcPr>
                  <w:tcW w:w="1091" w:type="dxa"/>
                </w:tcPr>
                <w:p w14:paraId="6D608D89"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8A"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1" w:type="dxa"/>
                  <w:shd w:val="clear" w:color="auto" w:fill="F2F2F2" w:themeFill="background1" w:themeFillShade="F2"/>
                </w:tcPr>
                <w:p w14:paraId="6D608D8B"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8C"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1" w:type="dxa"/>
                </w:tcPr>
                <w:p w14:paraId="6D608D8D"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c>
                <w:tcPr>
                  <w:tcW w:w="1092" w:type="dxa"/>
                </w:tcPr>
                <w:p w14:paraId="6D608D8E" w14:textId="77777777" w:rsidR="00B7671A" w:rsidRPr="00885CAE" w:rsidRDefault="00B7671A" w:rsidP="00E72C82">
                  <w:pPr>
                    <w:tabs>
                      <w:tab w:val="left" w:pos="1859"/>
                    </w:tabs>
                    <w:jc w:val="center"/>
                    <w:rPr>
                      <w:rFonts w:cs="Arial"/>
                      <w:sz w:val="16"/>
                      <w:szCs w:val="16"/>
                      <w:lang w:val="de-CH"/>
                    </w:rPr>
                  </w:pPr>
                  <w:r w:rsidRPr="00885CAE">
                    <w:rPr>
                      <w:sz w:val="16"/>
                      <w:highlight w:val="yellow"/>
                      <w:lang w:val="de-CH"/>
                    </w:rPr>
                    <w:t>[A / CA / –]</w:t>
                  </w:r>
                </w:p>
              </w:tc>
            </w:tr>
            <w:tr w:rsidR="00354A23" w:rsidRPr="00885CAE" w14:paraId="356D93C2" w14:textId="77777777" w:rsidTr="00E72C82">
              <w:tc>
                <w:tcPr>
                  <w:tcW w:w="4707" w:type="dxa"/>
                  <w:tcMar>
                    <w:left w:w="0" w:type="dxa"/>
                  </w:tcMar>
                </w:tcPr>
                <w:p w14:paraId="607F9D19" w14:textId="74BBAB4C" w:rsidR="00354A23" w:rsidRPr="00DE3CF0" w:rsidRDefault="00905007" w:rsidP="00354A23">
                  <w:pPr>
                    <w:tabs>
                      <w:tab w:val="left" w:pos="1859"/>
                    </w:tabs>
                    <w:ind w:left="29"/>
                    <w:rPr>
                      <w:sz w:val="16"/>
                      <w:lang w:val="de-CH"/>
                    </w:rPr>
                  </w:pPr>
                  <w:r>
                    <w:rPr>
                      <w:sz w:val="16"/>
                      <w:lang w:val="de-CH"/>
                    </w:rPr>
                    <w:t>Risikopolitik und Grundzüge</w:t>
                  </w:r>
                  <w:r w:rsidRPr="00DE3CF0">
                    <w:rPr>
                      <w:sz w:val="16"/>
                      <w:lang w:val="de-CH"/>
                    </w:rPr>
                    <w:t xml:space="preserve"> </w:t>
                  </w:r>
                  <w:r w:rsidR="00354A23" w:rsidRPr="00DE3CF0">
                    <w:rPr>
                      <w:sz w:val="16"/>
                      <w:lang w:val="de-CH"/>
                    </w:rPr>
                    <w:t>für das institutsweite Risikomanagement</w:t>
                  </w:r>
                </w:p>
              </w:tc>
              <w:tc>
                <w:tcPr>
                  <w:tcW w:w="1091" w:type="dxa"/>
                </w:tcPr>
                <w:p w14:paraId="1ABABEC5" w14:textId="3BEFA2A0" w:rsidR="00354A23" w:rsidRPr="003B2781" w:rsidRDefault="00354A23" w:rsidP="00354A23">
                  <w:pPr>
                    <w:tabs>
                      <w:tab w:val="left" w:pos="1859"/>
                    </w:tabs>
                    <w:jc w:val="center"/>
                    <w:rPr>
                      <w:sz w:val="16"/>
                      <w:highlight w:val="yellow"/>
                      <w:lang w:val="de-CH"/>
                    </w:rPr>
                  </w:pPr>
                  <w:r w:rsidRPr="003B2781">
                    <w:rPr>
                      <w:sz w:val="16"/>
                      <w:highlight w:val="yellow"/>
                      <w:lang w:val="de-CH"/>
                    </w:rPr>
                    <w:t>[A / CA / –]</w:t>
                  </w:r>
                </w:p>
              </w:tc>
              <w:tc>
                <w:tcPr>
                  <w:tcW w:w="1092" w:type="dxa"/>
                </w:tcPr>
                <w:p w14:paraId="09355A9F" w14:textId="2EB7734D" w:rsidR="00354A23" w:rsidRPr="003B2781" w:rsidRDefault="00354A23" w:rsidP="00354A23">
                  <w:pPr>
                    <w:tabs>
                      <w:tab w:val="left" w:pos="1859"/>
                    </w:tabs>
                    <w:jc w:val="center"/>
                    <w:rPr>
                      <w:sz w:val="16"/>
                      <w:highlight w:val="yellow"/>
                      <w:lang w:val="de-CH"/>
                    </w:rPr>
                  </w:pPr>
                  <w:r w:rsidRPr="003B2781">
                    <w:rPr>
                      <w:sz w:val="16"/>
                      <w:highlight w:val="yellow"/>
                      <w:lang w:val="de-CH"/>
                    </w:rPr>
                    <w:t>[A / CA / –]</w:t>
                  </w:r>
                </w:p>
              </w:tc>
              <w:tc>
                <w:tcPr>
                  <w:tcW w:w="1091" w:type="dxa"/>
                  <w:shd w:val="clear" w:color="auto" w:fill="F2F2F2" w:themeFill="background1" w:themeFillShade="F2"/>
                </w:tcPr>
                <w:p w14:paraId="5EE22B13" w14:textId="14AD434E" w:rsidR="00354A23" w:rsidRPr="003B2781" w:rsidRDefault="00354A23" w:rsidP="00354A23">
                  <w:pPr>
                    <w:tabs>
                      <w:tab w:val="left" w:pos="1859"/>
                    </w:tabs>
                    <w:jc w:val="center"/>
                    <w:rPr>
                      <w:sz w:val="16"/>
                      <w:highlight w:val="yellow"/>
                      <w:lang w:val="de-CH"/>
                    </w:rPr>
                  </w:pPr>
                  <w:r w:rsidRPr="003B2781">
                    <w:rPr>
                      <w:sz w:val="16"/>
                      <w:highlight w:val="yellow"/>
                      <w:lang w:val="de-CH"/>
                    </w:rPr>
                    <w:t>[A / CA / –]</w:t>
                  </w:r>
                </w:p>
              </w:tc>
              <w:tc>
                <w:tcPr>
                  <w:tcW w:w="1092" w:type="dxa"/>
                </w:tcPr>
                <w:p w14:paraId="259B6347" w14:textId="0018D034" w:rsidR="00354A23" w:rsidRPr="003B2781" w:rsidRDefault="00354A23" w:rsidP="00354A23">
                  <w:pPr>
                    <w:tabs>
                      <w:tab w:val="left" w:pos="1859"/>
                    </w:tabs>
                    <w:jc w:val="center"/>
                    <w:rPr>
                      <w:sz w:val="16"/>
                      <w:highlight w:val="yellow"/>
                      <w:lang w:val="de-CH"/>
                    </w:rPr>
                  </w:pPr>
                  <w:r w:rsidRPr="003B2781">
                    <w:rPr>
                      <w:sz w:val="16"/>
                      <w:highlight w:val="yellow"/>
                      <w:lang w:val="de-CH"/>
                    </w:rPr>
                    <w:t>[A / CA / –]</w:t>
                  </w:r>
                </w:p>
              </w:tc>
              <w:tc>
                <w:tcPr>
                  <w:tcW w:w="1091" w:type="dxa"/>
                </w:tcPr>
                <w:p w14:paraId="553C596F" w14:textId="6B90DE35" w:rsidR="00354A23" w:rsidRPr="003B2781" w:rsidRDefault="00354A23" w:rsidP="00354A23">
                  <w:pPr>
                    <w:tabs>
                      <w:tab w:val="left" w:pos="1859"/>
                    </w:tabs>
                    <w:jc w:val="center"/>
                    <w:rPr>
                      <w:sz w:val="16"/>
                      <w:highlight w:val="yellow"/>
                      <w:lang w:val="de-CH"/>
                    </w:rPr>
                  </w:pPr>
                  <w:r w:rsidRPr="003B2781">
                    <w:rPr>
                      <w:sz w:val="16"/>
                      <w:highlight w:val="yellow"/>
                      <w:lang w:val="de-CH"/>
                    </w:rPr>
                    <w:t>[A / CA / –]</w:t>
                  </w:r>
                </w:p>
              </w:tc>
              <w:tc>
                <w:tcPr>
                  <w:tcW w:w="1092" w:type="dxa"/>
                </w:tcPr>
                <w:p w14:paraId="073FCB79" w14:textId="30F8D523" w:rsidR="00354A23" w:rsidRPr="003B2781" w:rsidRDefault="00354A23" w:rsidP="00354A23">
                  <w:pPr>
                    <w:tabs>
                      <w:tab w:val="left" w:pos="1859"/>
                    </w:tabs>
                    <w:jc w:val="center"/>
                    <w:rPr>
                      <w:sz w:val="16"/>
                      <w:highlight w:val="yellow"/>
                      <w:lang w:val="de-CH"/>
                    </w:rPr>
                  </w:pPr>
                  <w:r w:rsidRPr="003B2781">
                    <w:rPr>
                      <w:sz w:val="16"/>
                      <w:highlight w:val="yellow"/>
                      <w:lang w:val="de-CH"/>
                    </w:rPr>
                    <w:t>[A / CA / –]</w:t>
                  </w:r>
                </w:p>
              </w:tc>
            </w:tr>
          </w:tbl>
          <w:p w14:paraId="6D608D91" w14:textId="77777777" w:rsidR="0072112E" w:rsidRPr="00885CAE" w:rsidRDefault="0072112E" w:rsidP="00166DBD">
            <w:pPr>
              <w:spacing w:before="0" w:after="0"/>
              <w:rPr>
                <w:rFonts w:cs="Arial"/>
                <w:sz w:val="6"/>
                <w:szCs w:val="6"/>
                <w:highlight w:val="yellow"/>
                <w:lang w:val="de-CH"/>
              </w:rPr>
            </w:pPr>
          </w:p>
          <w:p w14:paraId="6D608D92" w14:textId="77777777" w:rsidR="00B7671A" w:rsidRPr="00885CAE" w:rsidRDefault="00B7671A" w:rsidP="00166DBD">
            <w:pPr>
              <w:spacing w:before="0" w:after="0"/>
              <w:rPr>
                <w:rFonts w:cs="Arial"/>
                <w:sz w:val="6"/>
                <w:szCs w:val="6"/>
                <w:highlight w:val="yellow"/>
                <w:lang w:val="de-CH"/>
              </w:rPr>
            </w:pPr>
          </w:p>
        </w:tc>
      </w:tr>
      <w:tr w:rsidR="0045532C" w:rsidRPr="00885CAE" w14:paraId="6D608DA2" w14:textId="77777777" w:rsidTr="000869BB">
        <w:trPr>
          <w:trHeight w:val="1486"/>
        </w:trPr>
        <w:tc>
          <w:tcPr>
            <w:tcW w:w="3006" w:type="dxa"/>
          </w:tcPr>
          <w:p w14:paraId="6D608D94" w14:textId="4C17107D" w:rsidR="0045532C" w:rsidRPr="00885CAE" w:rsidRDefault="0045532C" w:rsidP="00166DBD">
            <w:pPr>
              <w:tabs>
                <w:tab w:val="left" w:pos="1418"/>
              </w:tabs>
              <w:spacing w:before="0" w:after="0"/>
              <w:rPr>
                <w:rFonts w:cs="Arial"/>
                <w:sz w:val="16"/>
                <w:szCs w:val="16"/>
                <w:lang w:val="de-CH"/>
              </w:rPr>
            </w:pPr>
            <w:r w:rsidRPr="00885CAE">
              <w:rPr>
                <w:sz w:val="16"/>
                <w:lang w:val="de-CH"/>
              </w:rPr>
              <w:t>Zusammenfass</w:t>
            </w:r>
            <w:r w:rsidR="00223F6D">
              <w:rPr>
                <w:sz w:val="16"/>
                <w:lang w:val="de-CH"/>
              </w:rPr>
              <w:t>ende Gesamtbeurteilung</w:t>
            </w:r>
          </w:p>
        </w:tc>
        <w:tc>
          <w:tcPr>
            <w:tcW w:w="11163" w:type="dxa"/>
          </w:tcPr>
          <w:p w14:paraId="6D608D95" w14:textId="77777777" w:rsidR="00FA041D" w:rsidRPr="00885CAE" w:rsidRDefault="00FA041D" w:rsidP="00166DBD">
            <w:pPr>
              <w:spacing w:before="0" w:after="0"/>
              <w:rPr>
                <w:rFonts w:cs="Arial"/>
                <w:sz w:val="6"/>
                <w:szCs w:val="6"/>
                <w:highlight w:val="yellow"/>
                <w:lang w:val="de-CH"/>
              </w:rPr>
            </w:pPr>
          </w:p>
          <w:tbl>
            <w:tblPr>
              <w:tblStyle w:val="Tabellenraster"/>
              <w:tblW w:w="0" w:type="auto"/>
              <w:tblLook w:val="04A0" w:firstRow="1" w:lastRow="0" w:firstColumn="1" w:lastColumn="0" w:noHBand="0" w:noVBand="1"/>
            </w:tblPr>
            <w:tblGrid>
              <w:gridCol w:w="5521"/>
              <w:gridCol w:w="5416"/>
            </w:tblGrid>
            <w:tr w:rsidR="00FA041D" w:rsidRPr="00885CAE" w14:paraId="6D608D98" w14:textId="77777777" w:rsidTr="00FF6D7C">
              <w:tc>
                <w:tcPr>
                  <w:tcW w:w="5733" w:type="dxa"/>
                  <w:shd w:val="clear" w:color="auto" w:fill="D9D9D9" w:themeFill="background1" w:themeFillShade="D9"/>
                  <w:tcMar>
                    <w:left w:w="0" w:type="dxa"/>
                  </w:tcMar>
                </w:tcPr>
                <w:p w14:paraId="6D608D96" w14:textId="77777777" w:rsidR="00FA041D" w:rsidRPr="00885CAE" w:rsidRDefault="00FA041D" w:rsidP="00166DBD">
                  <w:pPr>
                    <w:tabs>
                      <w:tab w:val="left" w:pos="1859"/>
                    </w:tabs>
                    <w:spacing w:before="0" w:after="0"/>
                    <w:ind w:left="34"/>
                    <w:rPr>
                      <w:rFonts w:cs="Arial"/>
                      <w:b/>
                      <w:sz w:val="16"/>
                      <w:szCs w:val="16"/>
                      <w:lang w:val="de-CH"/>
                    </w:rPr>
                  </w:pPr>
                  <w:r w:rsidRPr="00885CAE">
                    <w:rPr>
                      <w:b/>
                      <w:sz w:val="16"/>
                      <w:lang w:val="de-CH"/>
                    </w:rPr>
                    <w:t>Bestätigung im Prüfbericht:</w:t>
                  </w:r>
                </w:p>
              </w:tc>
              <w:tc>
                <w:tcPr>
                  <w:tcW w:w="5626" w:type="dxa"/>
                  <w:shd w:val="clear" w:color="auto" w:fill="D9D9D9" w:themeFill="background1" w:themeFillShade="D9"/>
                </w:tcPr>
                <w:p w14:paraId="6D608D97" w14:textId="77777777" w:rsidR="00FA041D" w:rsidRPr="00885CAE" w:rsidRDefault="00FA041D" w:rsidP="00166DBD">
                  <w:pPr>
                    <w:tabs>
                      <w:tab w:val="left" w:pos="1859"/>
                    </w:tabs>
                    <w:spacing w:before="0" w:after="0"/>
                    <w:rPr>
                      <w:rFonts w:cs="Arial"/>
                      <w:b/>
                      <w:sz w:val="16"/>
                      <w:szCs w:val="16"/>
                      <w:lang w:val="de-CH"/>
                    </w:rPr>
                  </w:pPr>
                  <w:r w:rsidRPr="00885CAE">
                    <w:rPr>
                      <w:b/>
                      <w:sz w:val="16"/>
                      <w:lang w:val="de-CH"/>
                    </w:rPr>
                    <w:t>Zusammenfassung:</w:t>
                  </w:r>
                </w:p>
              </w:tc>
            </w:tr>
            <w:tr w:rsidR="00FA041D" w:rsidRPr="00885CAE" w14:paraId="6D608D9C" w14:textId="77777777" w:rsidTr="00FE04AC">
              <w:tc>
                <w:tcPr>
                  <w:tcW w:w="5733" w:type="dxa"/>
                  <w:tcMar>
                    <w:left w:w="0" w:type="dxa"/>
                  </w:tcMar>
                </w:tcPr>
                <w:p w14:paraId="6D608D99" w14:textId="49619F45" w:rsidR="00FA041D" w:rsidRPr="00885CAE" w:rsidRDefault="00B1359C" w:rsidP="00166DBD">
                  <w:pPr>
                    <w:tabs>
                      <w:tab w:val="left" w:pos="1859"/>
                    </w:tabs>
                    <w:spacing w:before="0" w:after="0"/>
                    <w:ind w:left="34"/>
                    <w:rPr>
                      <w:rFonts w:cs="Arial"/>
                      <w:sz w:val="16"/>
                      <w:szCs w:val="16"/>
                      <w:lang w:val="de-CH"/>
                    </w:rPr>
                  </w:pPr>
                  <w:r w:rsidRPr="00885CAE">
                    <w:rPr>
                      <w:sz w:val="16"/>
                      <w:lang w:val="de-CH"/>
                    </w:rPr>
                    <w:t xml:space="preserve">Bestätigung, dass </w:t>
                  </w:r>
                  <w:r w:rsidR="00EF5567" w:rsidRPr="00D6498A">
                    <w:rPr>
                      <w:sz w:val="16"/>
                      <w:lang w:val="de-CH"/>
                    </w:rPr>
                    <w:t>die Vorschriften und Grundsätze der Corporate Governance</w:t>
                  </w:r>
                  <w:r w:rsidR="00EF5567">
                    <w:rPr>
                      <w:sz w:val="16"/>
                      <w:lang w:val="de-CH"/>
                    </w:rPr>
                    <w:t xml:space="preserve"> eingehalten wurden</w:t>
                  </w:r>
                  <w:r w:rsidR="00EF5567" w:rsidRPr="00885CAE">
                    <w:rPr>
                      <w:sz w:val="16"/>
                      <w:lang w:val="de-CH"/>
                    </w:rPr>
                    <w:t xml:space="preserve"> </w:t>
                  </w:r>
                  <w:r w:rsidR="00EF5567">
                    <w:rPr>
                      <w:sz w:val="16"/>
                      <w:lang w:val="de-CH"/>
                    </w:rPr>
                    <w:t xml:space="preserve">sowie </w:t>
                  </w:r>
                  <w:r w:rsidRPr="00885CAE">
                    <w:rPr>
                      <w:sz w:val="16"/>
                      <w:lang w:val="de-CH"/>
                    </w:rPr>
                    <w:t>d</w:t>
                  </w:r>
                  <w:r w:rsidR="00EF5567">
                    <w:rPr>
                      <w:sz w:val="16"/>
                      <w:lang w:val="de-CH"/>
                    </w:rPr>
                    <w:t>ie</w:t>
                  </w:r>
                  <w:r w:rsidRPr="00885CAE">
                    <w:rPr>
                      <w:sz w:val="16"/>
                      <w:lang w:val="de-CH"/>
                    </w:rPr>
                    <w:t xml:space="preserve"> Bereich</w:t>
                  </w:r>
                  <w:r w:rsidR="00EF5567">
                    <w:rPr>
                      <w:sz w:val="16"/>
                      <w:lang w:val="de-CH"/>
                    </w:rPr>
                    <w:t>e</w:t>
                  </w:r>
                  <w:r w:rsidRPr="00885CAE">
                    <w:rPr>
                      <w:sz w:val="16"/>
                      <w:lang w:val="de-CH"/>
                    </w:rPr>
                    <w:t xml:space="preserve"> „interne Organisation“ </w:t>
                  </w:r>
                  <w:r w:rsidR="00EF5567">
                    <w:rPr>
                      <w:sz w:val="16"/>
                      <w:lang w:val="de-CH"/>
                    </w:rPr>
                    <w:t xml:space="preserve">und </w:t>
                  </w:r>
                  <w:r w:rsidR="00B11AA6" w:rsidRPr="00885CAE">
                    <w:rPr>
                      <w:sz w:val="16"/>
                      <w:lang w:val="de-CH"/>
                    </w:rPr>
                    <w:t>„</w:t>
                  </w:r>
                  <w:r w:rsidR="00EF5567">
                    <w:rPr>
                      <w:sz w:val="16"/>
                      <w:lang w:val="de-CH"/>
                    </w:rPr>
                    <w:t>internes Kontrollsystem</w:t>
                  </w:r>
                  <w:r w:rsidR="00B11AA6" w:rsidRPr="00885CAE">
                    <w:rPr>
                      <w:sz w:val="16"/>
                      <w:lang w:val="de-CH"/>
                    </w:rPr>
                    <w:t>“</w:t>
                  </w:r>
                  <w:r w:rsidR="00EF5567">
                    <w:rPr>
                      <w:sz w:val="16"/>
                      <w:lang w:val="de-CH"/>
                    </w:rPr>
                    <w:t xml:space="preserve"> </w:t>
                  </w:r>
                  <w:r w:rsidRPr="00885CAE">
                    <w:rPr>
                      <w:sz w:val="16"/>
                      <w:lang w:val="de-CH"/>
                    </w:rPr>
                    <w:t>angemessen ausgestaltet war</w:t>
                  </w:r>
                  <w:r w:rsidR="00EF5567">
                    <w:rPr>
                      <w:sz w:val="16"/>
                      <w:lang w:val="de-CH"/>
                    </w:rPr>
                    <w:t>en</w:t>
                  </w:r>
                  <w:r w:rsidRPr="00885CAE">
                    <w:rPr>
                      <w:sz w:val="16"/>
                      <w:lang w:val="de-CH"/>
                    </w:rPr>
                    <w:t xml:space="preserve"> (basierend auf den Erkenntnissen der abgedeckten Elemente).</w:t>
                  </w:r>
                </w:p>
                <w:p w14:paraId="6D608D9A" w14:textId="77777777" w:rsidR="00577112" w:rsidRPr="00885CAE" w:rsidRDefault="00577112" w:rsidP="00166DBD">
                  <w:pPr>
                    <w:tabs>
                      <w:tab w:val="left" w:pos="1859"/>
                    </w:tabs>
                    <w:spacing w:before="0" w:after="0"/>
                    <w:ind w:left="34"/>
                    <w:rPr>
                      <w:rFonts w:cs="Arial"/>
                      <w:sz w:val="16"/>
                      <w:szCs w:val="16"/>
                      <w:lang w:val="de-CH"/>
                    </w:rPr>
                  </w:pPr>
                </w:p>
              </w:tc>
              <w:tc>
                <w:tcPr>
                  <w:tcW w:w="5626" w:type="dxa"/>
                </w:tcPr>
                <w:p w14:paraId="6D608D9B" w14:textId="0E15A283" w:rsidR="00FA041D" w:rsidRPr="00885CAE" w:rsidRDefault="00FA041D" w:rsidP="00166DBD">
                  <w:pPr>
                    <w:tabs>
                      <w:tab w:val="left" w:pos="1859"/>
                    </w:tabs>
                    <w:spacing w:before="0" w:after="0"/>
                    <w:rPr>
                      <w:rFonts w:cs="Arial"/>
                      <w:sz w:val="16"/>
                      <w:szCs w:val="16"/>
                      <w:lang w:val="de-CH"/>
                    </w:rPr>
                  </w:pPr>
                  <w:r w:rsidRPr="00885CAE">
                    <w:rPr>
                      <w:b/>
                      <w:sz w:val="16"/>
                      <w:highlight w:val="yellow"/>
                      <w:lang w:val="de-CH"/>
                    </w:rPr>
                    <w:t>Ja</w:t>
                  </w:r>
                  <w:r w:rsidRPr="00885CAE">
                    <w:rPr>
                      <w:sz w:val="16"/>
                      <w:highlight w:val="yellow"/>
                      <w:lang w:val="de-CH"/>
                    </w:rPr>
                    <w:t xml:space="preserve"> (Prüfung / kritische Beurteilung) / </w:t>
                  </w:r>
                  <w:r w:rsidRPr="00885CAE">
                    <w:rPr>
                      <w:b/>
                      <w:sz w:val="16"/>
                      <w:highlight w:val="yellow"/>
                      <w:lang w:val="de-CH"/>
                    </w:rPr>
                    <w:t>Nein</w:t>
                  </w:r>
                </w:p>
              </w:tc>
            </w:tr>
            <w:tr w:rsidR="0018043A" w:rsidRPr="00885CAE" w14:paraId="1E3CE10D" w14:textId="77777777" w:rsidTr="00FE04AC">
              <w:tc>
                <w:tcPr>
                  <w:tcW w:w="5733" w:type="dxa"/>
                  <w:tcMar>
                    <w:left w:w="0" w:type="dxa"/>
                  </w:tcMar>
                </w:tcPr>
                <w:p w14:paraId="7D2D2CB1" w14:textId="75EAB335" w:rsidR="0018043A" w:rsidRDefault="00D6498A" w:rsidP="00166DBD">
                  <w:pPr>
                    <w:tabs>
                      <w:tab w:val="left" w:pos="1859"/>
                    </w:tabs>
                    <w:spacing w:before="0" w:after="0"/>
                    <w:ind w:left="34"/>
                    <w:rPr>
                      <w:sz w:val="16"/>
                      <w:lang w:val="de-CH"/>
                    </w:rPr>
                  </w:pPr>
                  <w:r w:rsidRPr="00D6498A">
                    <w:rPr>
                      <w:sz w:val="16"/>
                      <w:lang w:val="de-CH"/>
                    </w:rPr>
                    <w:t>Bestätigung, dass eine adäquate Trennung zwischen dem Oberleitungsorgan und der Geschäftsleitung bestanden hat (basierend auf den Er</w:t>
                  </w:r>
                  <w:r>
                    <w:rPr>
                      <w:sz w:val="16"/>
                      <w:lang w:val="de-CH"/>
                    </w:rPr>
                    <w:t>kenntnissen der abgedeckten Ele</w:t>
                  </w:r>
                  <w:r w:rsidRPr="00D6498A">
                    <w:rPr>
                      <w:sz w:val="16"/>
                      <w:lang w:val="de-CH"/>
                    </w:rPr>
                    <w:t>mente</w:t>
                  </w:r>
                  <w:r>
                    <w:rPr>
                      <w:sz w:val="16"/>
                      <w:lang w:val="de-CH"/>
                    </w:rPr>
                    <w:t>).</w:t>
                  </w:r>
                </w:p>
                <w:p w14:paraId="7A192EDE" w14:textId="58317A49" w:rsidR="0018043A" w:rsidRDefault="0018043A" w:rsidP="00166DBD">
                  <w:pPr>
                    <w:tabs>
                      <w:tab w:val="left" w:pos="1859"/>
                    </w:tabs>
                    <w:spacing w:before="0" w:after="0"/>
                    <w:ind w:left="34"/>
                    <w:rPr>
                      <w:sz w:val="16"/>
                      <w:lang w:val="de-CH"/>
                    </w:rPr>
                  </w:pPr>
                </w:p>
              </w:tc>
              <w:tc>
                <w:tcPr>
                  <w:tcW w:w="5626" w:type="dxa"/>
                </w:tcPr>
                <w:p w14:paraId="3327F05D" w14:textId="0D0B11F7" w:rsidR="0018043A" w:rsidRDefault="00D6498A" w:rsidP="00166DBD">
                  <w:pPr>
                    <w:tabs>
                      <w:tab w:val="left" w:pos="1859"/>
                    </w:tabs>
                    <w:spacing w:before="0" w:after="0"/>
                    <w:rPr>
                      <w:b/>
                      <w:sz w:val="16"/>
                      <w:highlight w:val="yellow"/>
                      <w:lang w:val="de-CH"/>
                    </w:rPr>
                  </w:pPr>
                  <w:r w:rsidRPr="003A59C3">
                    <w:rPr>
                      <w:b/>
                      <w:sz w:val="16"/>
                      <w:highlight w:val="yellow"/>
                      <w:lang w:val="de-CH"/>
                    </w:rPr>
                    <w:t xml:space="preserve">Ja </w:t>
                  </w:r>
                  <w:r w:rsidRPr="003A59C3">
                    <w:rPr>
                      <w:sz w:val="16"/>
                      <w:highlight w:val="yellow"/>
                      <w:lang w:val="de-CH"/>
                    </w:rPr>
                    <w:t>(Prüfung / kritische Beurteilung)</w:t>
                  </w:r>
                  <w:r w:rsidRPr="003A59C3">
                    <w:rPr>
                      <w:b/>
                      <w:sz w:val="16"/>
                      <w:highlight w:val="yellow"/>
                      <w:lang w:val="de-CH"/>
                    </w:rPr>
                    <w:t xml:space="preserve"> / Nein</w:t>
                  </w:r>
                </w:p>
              </w:tc>
            </w:tr>
          </w:tbl>
          <w:p w14:paraId="6D608DA1" w14:textId="77777777" w:rsidR="00FA041D" w:rsidRPr="00885CAE" w:rsidRDefault="00FA041D" w:rsidP="00166DBD">
            <w:pPr>
              <w:tabs>
                <w:tab w:val="left" w:pos="1859"/>
              </w:tabs>
              <w:spacing w:before="0" w:after="0"/>
              <w:rPr>
                <w:rFonts w:cs="Arial"/>
                <w:sz w:val="16"/>
                <w:szCs w:val="16"/>
                <w:lang w:val="de-CH"/>
              </w:rPr>
            </w:pPr>
          </w:p>
        </w:tc>
      </w:tr>
      <w:tr w:rsidR="0045532C" w:rsidRPr="00885CAE" w14:paraId="6D608DA5" w14:textId="77777777" w:rsidTr="000869BB">
        <w:trPr>
          <w:trHeight w:val="561"/>
        </w:trPr>
        <w:tc>
          <w:tcPr>
            <w:tcW w:w="3006" w:type="dxa"/>
          </w:tcPr>
          <w:p w14:paraId="6D608DA3" w14:textId="77777777" w:rsidR="0045532C" w:rsidRPr="00885CAE" w:rsidRDefault="0045532C" w:rsidP="00166DBD">
            <w:pPr>
              <w:tabs>
                <w:tab w:val="left" w:pos="1418"/>
              </w:tabs>
              <w:spacing w:before="0" w:after="0"/>
              <w:rPr>
                <w:rFonts w:cs="Arial"/>
                <w:sz w:val="16"/>
                <w:szCs w:val="16"/>
                <w:lang w:val="de-CH"/>
              </w:rPr>
            </w:pPr>
            <w:r w:rsidRPr="00885CAE">
              <w:rPr>
                <w:sz w:val="16"/>
                <w:lang w:val="de-CH"/>
              </w:rPr>
              <w:t>Zusammenfassung der Prüfresultate / Beanstandungen und Empfehlungen</w:t>
            </w:r>
            <w:r w:rsidRPr="00885CAE">
              <w:rPr>
                <w:lang w:val="de-CH"/>
              </w:rPr>
              <w:br/>
            </w:r>
            <w:r w:rsidRPr="00885CAE">
              <w:rPr>
                <w:sz w:val="12"/>
                <w:lang w:val="de-CH"/>
              </w:rPr>
              <w:t>(ausführliche Informationen nachstehend)</w:t>
            </w:r>
          </w:p>
        </w:tc>
        <w:tc>
          <w:tcPr>
            <w:tcW w:w="11163" w:type="dxa"/>
          </w:tcPr>
          <w:p w14:paraId="6D608DA4" w14:textId="77777777" w:rsidR="0045532C" w:rsidRPr="00885CAE" w:rsidRDefault="0045532C" w:rsidP="00166DBD">
            <w:pPr>
              <w:tabs>
                <w:tab w:val="left" w:pos="1859"/>
              </w:tabs>
              <w:spacing w:before="0" w:after="0"/>
              <w:rPr>
                <w:rFonts w:cs="Arial"/>
                <w:sz w:val="16"/>
                <w:szCs w:val="16"/>
                <w:highlight w:val="yellow"/>
                <w:lang w:val="de-CH"/>
              </w:rPr>
            </w:pPr>
            <w:r w:rsidRPr="00885CAE">
              <w:rPr>
                <w:sz w:val="16"/>
                <w:highlight w:val="yellow"/>
                <w:lang w:val="de-CH"/>
              </w:rPr>
              <w:t>[Zusammenfassung der Prüfresultate / Beanstandungen und Empfehlungen]</w:t>
            </w:r>
          </w:p>
        </w:tc>
      </w:tr>
      <w:tr w:rsidR="0045532C" w:rsidRPr="00885CAE" w14:paraId="6D608DA8" w14:textId="77777777" w:rsidTr="000869BB">
        <w:trPr>
          <w:trHeight w:val="561"/>
        </w:trPr>
        <w:tc>
          <w:tcPr>
            <w:tcW w:w="3006" w:type="dxa"/>
          </w:tcPr>
          <w:p w14:paraId="6D608DA6" w14:textId="2BFC4024" w:rsidR="0045532C" w:rsidRPr="00885CAE" w:rsidRDefault="0045532C" w:rsidP="00A75969">
            <w:pPr>
              <w:tabs>
                <w:tab w:val="left" w:pos="1418"/>
              </w:tabs>
              <w:spacing w:before="0" w:after="0"/>
              <w:rPr>
                <w:rFonts w:cs="Arial"/>
                <w:sz w:val="16"/>
                <w:szCs w:val="16"/>
                <w:lang w:val="de-CH"/>
              </w:rPr>
            </w:pPr>
            <w:r w:rsidRPr="00885CAE">
              <w:rPr>
                <w:sz w:val="16"/>
                <w:lang w:val="de-CH"/>
              </w:rPr>
              <w:t>Prüffelder, Prüfresultate und Prüfung</w:t>
            </w:r>
            <w:r w:rsidR="00A75969">
              <w:rPr>
                <w:sz w:val="16"/>
                <w:lang w:val="de-CH"/>
              </w:rPr>
              <w:t>shandlungen der Internen Revision</w:t>
            </w:r>
            <w:r w:rsidRPr="00885CAE">
              <w:rPr>
                <w:sz w:val="16"/>
                <w:lang w:val="de-CH"/>
              </w:rPr>
              <w:t xml:space="preserve">, auf die sich die Prüfgesellschaft gestützt hat (einschliesslich der </w:t>
            </w:r>
            <w:r w:rsidR="00A75969">
              <w:rPr>
                <w:sz w:val="16"/>
                <w:lang w:val="de-CH"/>
              </w:rPr>
              <w:t>Würdigung durch die</w:t>
            </w:r>
            <w:r w:rsidRPr="00885CAE">
              <w:rPr>
                <w:sz w:val="16"/>
                <w:lang w:val="de-CH"/>
              </w:rPr>
              <w:t xml:space="preserve"> Prüfgesellschaft)</w:t>
            </w:r>
          </w:p>
        </w:tc>
        <w:tc>
          <w:tcPr>
            <w:tcW w:w="11163" w:type="dxa"/>
          </w:tcPr>
          <w:p w14:paraId="6D608DA7" w14:textId="77777777" w:rsidR="0045532C" w:rsidRPr="00885CAE" w:rsidRDefault="0045532C" w:rsidP="00166DBD">
            <w:pPr>
              <w:spacing w:before="0" w:after="0"/>
              <w:rPr>
                <w:rFonts w:cs="Arial"/>
                <w:sz w:val="16"/>
                <w:szCs w:val="16"/>
                <w:highlight w:val="yellow"/>
                <w:lang w:val="de-CH"/>
              </w:rPr>
            </w:pPr>
            <w:r w:rsidRPr="00885CAE">
              <w:rPr>
                <w:sz w:val="16"/>
                <w:highlight w:val="yellow"/>
                <w:lang w:val="de-CH"/>
              </w:rPr>
              <w:t>[Beschreibung]</w:t>
            </w:r>
          </w:p>
        </w:tc>
      </w:tr>
    </w:tbl>
    <w:p w14:paraId="6D608DA9" w14:textId="43ECF510" w:rsidR="00FC6E90" w:rsidRPr="00652C6C" w:rsidRDefault="00FC6E90" w:rsidP="00166DBD">
      <w:pPr>
        <w:spacing w:before="0" w:after="0" w:line="240" w:lineRule="auto"/>
        <w:rPr>
          <w:rFonts w:cs="Arial"/>
          <w:lang w:val="de-CH"/>
        </w:rPr>
      </w:pPr>
    </w:p>
    <w:p w14:paraId="6D608DAA" w14:textId="77777777" w:rsidR="00F16703" w:rsidRPr="00885CAE" w:rsidRDefault="00FC6E90" w:rsidP="00166DBD">
      <w:pPr>
        <w:spacing w:before="0" w:after="0" w:line="240" w:lineRule="auto"/>
        <w:rPr>
          <w:rFonts w:cs="Arial"/>
          <w:b/>
          <w:u w:val="single"/>
          <w:lang w:val="de-CH"/>
        </w:rPr>
      </w:pPr>
      <w:r w:rsidRPr="00885CAE">
        <w:rPr>
          <w:b/>
          <w:lang w:val="de-CH"/>
        </w:rPr>
        <w:t xml:space="preserve">Prüfprogramm – </w:t>
      </w:r>
      <w:r w:rsidRPr="00885CAE">
        <w:rPr>
          <w:b/>
          <w:u w:val="single"/>
          <w:lang w:val="de-CH"/>
        </w:rPr>
        <w:t xml:space="preserve">Interne Organisation und internes Kontrollsystem – Angemessenheit der allgemeinen internen Organisation </w:t>
      </w:r>
    </w:p>
    <w:p w14:paraId="6D608DAB" w14:textId="77777777" w:rsidR="00A23ED2" w:rsidRPr="00885CAE" w:rsidRDefault="00A23ED2" w:rsidP="00166DBD">
      <w:pPr>
        <w:spacing w:before="0" w:after="0" w:line="240" w:lineRule="auto"/>
        <w:rPr>
          <w:rFonts w:cs="Arial"/>
          <w:b/>
          <w:u w:val="single"/>
          <w:lang w:val="de-CH"/>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431"/>
        <w:gridCol w:w="1247"/>
      </w:tblGrid>
      <w:tr w:rsidR="00A23ED2" w:rsidRPr="00885CAE" w14:paraId="6D608DB2" w14:textId="77777777" w:rsidTr="004956B5">
        <w:trPr>
          <w:tblHeader/>
        </w:trPr>
        <w:tc>
          <w:tcPr>
            <w:tcW w:w="531" w:type="dxa"/>
            <w:tcBorders>
              <w:bottom w:val="single" w:sz="4" w:space="0" w:color="auto"/>
            </w:tcBorders>
            <w:shd w:val="pct20" w:color="auto" w:fill="auto"/>
          </w:tcPr>
          <w:p w14:paraId="6D608DAC" w14:textId="77777777" w:rsidR="00A23ED2" w:rsidRPr="00885CAE" w:rsidRDefault="00A23ED2" w:rsidP="00166DBD">
            <w:pPr>
              <w:spacing w:before="0" w:after="0" w:line="240" w:lineRule="auto"/>
              <w:rPr>
                <w:rFonts w:cs="Arial"/>
                <w:b/>
                <w:sz w:val="16"/>
                <w:szCs w:val="16"/>
                <w:lang w:val="de-CH"/>
              </w:rPr>
            </w:pPr>
            <w:r w:rsidRPr="00885CAE">
              <w:rPr>
                <w:b/>
                <w:sz w:val="16"/>
                <w:lang w:val="de-CH"/>
              </w:rPr>
              <w:t>Nr.</w:t>
            </w:r>
          </w:p>
        </w:tc>
        <w:tc>
          <w:tcPr>
            <w:tcW w:w="1596" w:type="dxa"/>
            <w:tcBorders>
              <w:bottom w:val="single" w:sz="4" w:space="0" w:color="auto"/>
            </w:tcBorders>
            <w:shd w:val="pct20" w:color="auto" w:fill="auto"/>
          </w:tcPr>
          <w:p w14:paraId="6D608DAD" w14:textId="77777777" w:rsidR="00A23ED2" w:rsidRPr="00885CAE" w:rsidRDefault="00A23ED2" w:rsidP="00166DBD">
            <w:pPr>
              <w:spacing w:before="0" w:after="0" w:line="240" w:lineRule="auto"/>
              <w:rPr>
                <w:rFonts w:cs="Arial"/>
                <w:b/>
                <w:sz w:val="16"/>
                <w:szCs w:val="16"/>
                <w:lang w:val="de-CH"/>
              </w:rPr>
            </w:pPr>
            <w:r w:rsidRPr="00885CAE">
              <w:rPr>
                <w:b/>
                <w:sz w:val="16"/>
                <w:lang w:val="de-CH"/>
              </w:rPr>
              <w:t>Thema:</w:t>
            </w:r>
          </w:p>
        </w:tc>
        <w:tc>
          <w:tcPr>
            <w:tcW w:w="3685" w:type="dxa"/>
            <w:tcBorders>
              <w:bottom w:val="single" w:sz="4" w:space="0" w:color="auto"/>
            </w:tcBorders>
            <w:shd w:val="pct20" w:color="auto" w:fill="auto"/>
          </w:tcPr>
          <w:p w14:paraId="6D608DAE" w14:textId="38DD43F1" w:rsidR="00A23ED2" w:rsidRPr="00885CAE" w:rsidRDefault="00A23ED2" w:rsidP="00166DBD">
            <w:pPr>
              <w:spacing w:before="0" w:after="0" w:line="240" w:lineRule="auto"/>
              <w:rPr>
                <w:rFonts w:cs="Arial"/>
                <w:b/>
                <w:sz w:val="16"/>
                <w:szCs w:val="16"/>
                <w:lang w:val="de-CH"/>
              </w:rPr>
            </w:pPr>
            <w:r w:rsidRPr="00885CAE">
              <w:rPr>
                <w:b/>
                <w:sz w:val="16"/>
                <w:lang w:val="de-CH"/>
              </w:rPr>
              <w:t>Prüfungshandlungen für Prüftiefe „kritische Beurteilung“:</w:t>
            </w:r>
          </w:p>
        </w:tc>
        <w:tc>
          <w:tcPr>
            <w:tcW w:w="3827" w:type="dxa"/>
            <w:tcBorders>
              <w:bottom w:val="single" w:sz="4" w:space="0" w:color="auto"/>
            </w:tcBorders>
            <w:shd w:val="pct20" w:color="auto" w:fill="auto"/>
          </w:tcPr>
          <w:p w14:paraId="6D608DAF" w14:textId="1B845416" w:rsidR="00A23ED2" w:rsidRPr="00885CAE" w:rsidRDefault="00A23ED2" w:rsidP="001B380C">
            <w:pPr>
              <w:spacing w:before="0" w:after="0" w:line="240" w:lineRule="auto"/>
              <w:rPr>
                <w:rFonts w:cs="Arial"/>
                <w:b/>
                <w:sz w:val="16"/>
                <w:szCs w:val="16"/>
                <w:lang w:val="de-CH"/>
              </w:rPr>
            </w:pPr>
            <w:r w:rsidRPr="00885CAE">
              <w:rPr>
                <w:b/>
                <w:sz w:val="16"/>
                <w:u w:val="single"/>
                <w:lang w:val="de-CH"/>
              </w:rPr>
              <w:t>Zusätzliche</w:t>
            </w:r>
            <w:r w:rsidRPr="00885CAE">
              <w:rPr>
                <w:b/>
                <w:sz w:val="16"/>
                <w:lang w:val="de-CH"/>
              </w:rPr>
              <w:t xml:space="preserve"> Prüfungshandlungen für Prüftiefe „Prüfung“:</w:t>
            </w:r>
          </w:p>
        </w:tc>
        <w:tc>
          <w:tcPr>
            <w:tcW w:w="3431" w:type="dxa"/>
            <w:tcBorders>
              <w:bottom w:val="single" w:sz="4" w:space="0" w:color="auto"/>
            </w:tcBorders>
            <w:shd w:val="pct20" w:color="auto" w:fill="auto"/>
          </w:tcPr>
          <w:p w14:paraId="6D608DB0" w14:textId="77777777" w:rsidR="00A23ED2" w:rsidRPr="00885CAE" w:rsidRDefault="00982F4E" w:rsidP="00166DBD">
            <w:pPr>
              <w:spacing w:before="0" w:after="0" w:line="240" w:lineRule="auto"/>
              <w:rPr>
                <w:rFonts w:cs="Arial"/>
                <w:b/>
                <w:sz w:val="16"/>
                <w:szCs w:val="16"/>
                <w:lang w:val="de-CH"/>
              </w:rPr>
            </w:pPr>
            <w:r w:rsidRPr="00885CAE">
              <w:rPr>
                <w:b/>
                <w:sz w:val="16"/>
                <w:lang w:val="de-CH"/>
              </w:rPr>
              <w:t>Durchgeführte Prüfungshandlungen / Feststellungen</w:t>
            </w:r>
          </w:p>
        </w:tc>
        <w:tc>
          <w:tcPr>
            <w:tcW w:w="1247" w:type="dxa"/>
            <w:tcBorders>
              <w:bottom w:val="single" w:sz="4" w:space="0" w:color="auto"/>
            </w:tcBorders>
            <w:shd w:val="pct20" w:color="auto" w:fill="auto"/>
          </w:tcPr>
          <w:p w14:paraId="6D608DB1" w14:textId="77777777" w:rsidR="00A23ED2" w:rsidRPr="00885CAE" w:rsidRDefault="00A23ED2" w:rsidP="00166DBD">
            <w:pPr>
              <w:spacing w:before="0" w:after="0" w:line="240" w:lineRule="auto"/>
              <w:rPr>
                <w:rFonts w:cs="Arial"/>
                <w:b/>
                <w:sz w:val="16"/>
                <w:szCs w:val="16"/>
                <w:lang w:val="de-CH"/>
              </w:rPr>
            </w:pPr>
            <w:r w:rsidRPr="00885CAE">
              <w:rPr>
                <w:b/>
                <w:sz w:val="16"/>
                <w:lang w:val="de-CH"/>
              </w:rPr>
              <w:t xml:space="preserve">Arbeitspapiere </w:t>
            </w:r>
            <w:proofErr w:type="spellStart"/>
            <w:r w:rsidRPr="00885CAE">
              <w:rPr>
                <w:b/>
                <w:sz w:val="16"/>
                <w:lang w:val="de-CH"/>
              </w:rPr>
              <w:t>Ref</w:t>
            </w:r>
            <w:proofErr w:type="spellEnd"/>
            <w:r w:rsidRPr="00885CAE">
              <w:rPr>
                <w:b/>
                <w:sz w:val="16"/>
                <w:lang w:val="de-CH"/>
              </w:rPr>
              <w:t>.:</w:t>
            </w:r>
          </w:p>
        </w:tc>
      </w:tr>
      <w:tr w:rsidR="00A23ED2" w:rsidRPr="00D6498A" w14:paraId="6D608DB6" w14:textId="77777777" w:rsidTr="00FE04AC">
        <w:tc>
          <w:tcPr>
            <w:tcW w:w="14317" w:type="dxa"/>
            <w:gridSpan w:val="6"/>
            <w:shd w:val="pct10" w:color="auto" w:fill="auto"/>
          </w:tcPr>
          <w:p w14:paraId="6D608DB5" w14:textId="60BC8180" w:rsidR="00093842" w:rsidRPr="0023086C" w:rsidRDefault="00093842" w:rsidP="002A238B">
            <w:pPr>
              <w:spacing w:before="0" w:after="0" w:line="240" w:lineRule="auto"/>
              <w:rPr>
                <w:rFonts w:cs="Arial"/>
                <w:i/>
                <w:sz w:val="16"/>
                <w:szCs w:val="16"/>
                <w:lang w:val="fr-CH"/>
              </w:rPr>
            </w:pPr>
          </w:p>
        </w:tc>
      </w:tr>
      <w:tr w:rsidR="00A7464F" w:rsidRPr="00885CAE" w14:paraId="6D608DBF" w14:textId="77777777" w:rsidTr="004956B5">
        <w:tc>
          <w:tcPr>
            <w:tcW w:w="531" w:type="dxa"/>
            <w:vMerge w:val="restart"/>
            <w:shd w:val="clear" w:color="auto" w:fill="auto"/>
          </w:tcPr>
          <w:p w14:paraId="6D608DB7" w14:textId="77777777" w:rsidR="00A7464F" w:rsidRPr="0023086C" w:rsidRDefault="00A7464F" w:rsidP="00166DBD">
            <w:pPr>
              <w:spacing w:before="0" w:after="0" w:line="240" w:lineRule="auto"/>
              <w:rPr>
                <w:rFonts w:cs="Arial"/>
                <w:sz w:val="16"/>
                <w:szCs w:val="16"/>
                <w:lang w:val="fr-CH"/>
              </w:rPr>
            </w:pPr>
          </w:p>
        </w:tc>
        <w:tc>
          <w:tcPr>
            <w:tcW w:w="1596" w:type="dxa"/>
            <w:vMerge w:val="restart"/>
            <w:shd w:val="clear" w:color="auto" w:fill="auto"/>
          </w:tcPr>
          <w:p w14:paraId="6D608DB8" w14:textId="77777777" w:rsidR="004E2F84" w:rsidRPr="00222D10" w:rsidRDefault="004E2F84" w:rsidP="00B652F2">
            <w:pPr>
              <w:spacing w:before="0" w:after="0" w:line="240" w:lineRule="auto"/>
              <w:rPr>
                <w:b/>
                <w:sz w:val="16"/>
                <w:szCs w:val="16"/>
                <w:lang w:val="de-CH"/>
              </w:rPr>
            </w:pPr>
            <w:r w:rsidRPr="00222D10">
              <w:rPr>
                <w:b/>
                <w:sz w:val="16"/>
                <w:lang w:val="de-CH"/>
              </w:rPr>
              <w:t>Angemessenheit der internen Organisation</w:t>
            </w:r>
          </w:p>
          <w:p w14:paraId="6D608DB9" w14:textId="77777777" w:rsidR="004E2F84" w:rsidRPr="00222D10" w:rsidRDefault="004E2F84" w:rsidP="00B652F2">
            <w:pPr>
              <w:spacing w:before="0" w:after="0" w:line="240" w:lineRule="auto"/>
              <w:rPr>
                <w:b/>
                <w:sz w:val="16"/>
                <w:szCs w:val="16"/>
                <w:lang w:val="de-CH"/>
              </w:rPr>
            </w:pPr>
          </w:p>
          <w:p w14:paraId="5356CB76" w14:textId="77777777" w:rsidR="00A7464F" w:rsidRPr="00C06A90" w:rsidRDefault="00982F4E" w:rsidP="00B652F2">
            <w:pPr>
              <w:spacing w:before="0" w:after="0" w:line="240" w:lineRule="auto"/>
              <w:rPr>
                <w:sz w:val="16"/>
                <w:lang w:val="de-CH"/>
              </w:rPr>
            </w:pPr>
            <w:r w:rsidRPr="00C06A90">
              <w:rPr>
                <w:sz w:val="16"/>
                <w:lang w:val="de-CH"/>
              </w:rPr>
              <w:t>(Organisationsstruktur)</w:t>
            </w:r>
          </w:p>
          <w:p w14:paraId="4D4359B0" w14:textId="77777777" w:rsidR="000E6A63" w:rsidRPr="00C333BF" w:rsidRDefault="000E6A63" w:rsidP="00B652F2">
            <w:pPr>
              <w:spacing w:before="0" w:after="0" w:line="240" w:lineRule="auto"/>
              <w:rPr>
                <w:sz w:val="16"/>
                <w:lang w:val="de-CH"/>
              </w:rPr>
            </w:pPr>
          </w:p>
          <w:p w14:paraId="6D608DBA" w14:textId="4413D080" w:rsidR="000E6A63" w:rsidRPr="00222D10" w:rsidRDefault="000E6A63" w:rsidP="00B11AA6">
            <w:pPr>
              <w:spacing w:before="0" w:after="0" w:line="240" w:lineRule="auto"/>
              <w:rPr>
                <w:rFonts w:cs="Arial"/>
                <w:sz w:val="16"/>
                <w:szCs w:val="16"/>
                <w:lang w:val="de-CH"/>
              </w:rPr>
            </w:pPr>
            <w:r w:rsidRPr="00222D10">
              <w:rPr>
                <w:sz w:val="16"/>
                <w:lang w:val="de-CH"/>
              </w:rPr>
              <w:t>Art. 3 Abs. 2 Bst. a</w:t>
            </w:r>
            <w:r w:rsidR="00D44253" w:rsidRPr="00222D10">
              <w:rPr>
                <w:sz w:val="16"/>
                <w:lang w:val="de-CH"/>
              </w:rPr>
              <w:t xml:space="preserve"> und d</w:t>
            </w:r>
            <w:r w:rsidR="00B11AA6">
              <w:rPr>
                <w:sz w:val="16"/>
                <w:lang w:val="de-CH"/>
              </w:rPr>
              <w:t xml:space="preserve"> BankG,</w:t>
            </w:r>
            <w:r w:rsidRPr="00222D10">
              <w:rPr>
                <w:sz w:val="16"/>
                <w:lang w:val="de-CH"/>
              </w:rPr>
              <w:t xml:space="preserve"> Art. 9</w:t>
            </w:r>
            <w:r w:rsidR="00B11AA6">
              <w:rPr>
                <w:sz w:val="16"/>
                <w:lang w:val="de-CH"/>
              </w:rPr>
              <w:t>–11 BankV,</w:t>
            </w:r>
            <w:r w:rsidRPr="00222D10">
              <w:rPr>
                <w:sz w:val="16"/>
                <w:lang w:val="de-CH"/>
              </w:rPr>
              <w:t xml:space="preserve"> Art. </w:t>
            </w:r>
            <w:r w:rsidR="00FF2DF9">
              <w:rPr>
                <w:sz w:val="16"/>
                <w:lang w:val="de-CH"/>
              </w:rPr>
              <w:t xml:space="preserve">9 </w:t>
            </w:r>
            <w:r w:rsidR="00B11AA6">
              <w:rPr>
                <w:sz w:val="16"/>
                <w:lang w:val="de-CH"/>
              </w:rPr>
              <w:t>FINIG,</w:t>
            </w:r>
            <w:r w:rsidR="00FF2DF9">
              <w:rPr>
                <w:sz w:val="16"/>
                <w:lang w:val="de-CH"/>
              </w:rPr>
              <w:t xml:space="preserve"> Art. 12 und 66 FINIV</w:t>
            </w:r>
          </w:p>
        </w:tc>
        <w:tc>
          <w:tcPr>
            <w:tcW w:w="3685" w:type="dxa"/>
            <w:shd w:val="clear" w:color="auto" w:fill="auto"/>
          </w:tcPr>
          <w:p w14:paraId="6D608DBB" w14:textId="77777777" w:rsidR="00A7464F" w:rsidRPr="00C06A90" w:rsidRDefault="00A7464F" w:rsidP="00865DB0">
            <w:pPr>
              <w:pStyle w:val="Bullet"/>
              <w:numPr>
                <w:ilvl w:val="0"/>
                <w:numId w:val="0"/>
              </w:numPr>
              <w:spacing w:before="0" w:after="0"/>
              <w:rPr>
                <w:i/>
                <w:lang w:val="de-CH"/>
              </w:rPr>
            </w:pPr>
            <w:r w:rsidRPr="00C06A90">
              <w:rPr>
                <w:i/>
                <w:lang w:val="de-CH"/>
              </w:rPr>
              <w:t>Beurteilung der Angemessenheit der Organisationsstruktur nach Massgabe der Grösse und der Geschäfts- und Organisationskomplexität des Instituts, namentlich</w:t>
            </w:r>
          </w:p>
        </w:tc>
        <w:tc>
          <w:tcPr>
            <w:tcW w:w="3827" w:type="dxa"/>
            <w:shd w:val="clear" w:color="auto" w:fill="auto"/>
          </w:tcPr>
          <w:p w14:paraId="6D608DBC" w14:textId="77777777" w:rsidR="00A7464F" w:rsidRPr="00885CAE" w:rsidRDefault="00A7464F" w:rsidP="00865DB0">
            <w:pPr>
              <w:spacing w:before="0" w:after="0" w:line="240" w:lineRule="auto"/>
              <w:rPr>
                <w:lang w:val="de-CH"/>
              </w:rPr>
            </w:pPr>
          </w:p>
        </w:tc>
        <w:tc>
          <w:tcPr>
            <w:tcW w:w="3431" w:type="dxa"/>
            <w:shd w:val="clear" w:color="auto" w:fill="auto"/>
          </w:tcPr>
          <w:p w14:paraId="6D608DBD" w14:textId="77777777" w:rsidR="00A7464F" w:rsidRPr="00885CAE" w:rsidRDefault="00A7464F" w:rsidP="00166DBD">
            <w:pPr>
              <w:spacing w:before="0" w:after="0" w:line="240" w:lineRule="auto"/>
              <w:rPr>
                <w:rFonts w:cs="Arial"/>
                <w:sz w:val="16"/>
                <w:szCs w:val="16"/>
                <w:highlight w:val="cyan"/>
                <w:lang w:val="de-CH"/>
              </w:rPr>
            </w:pPr>
          </w:p>
        </w:tc>
        <w:tc>
          <w:tcPr>
            <w:tcW w:w="1247" w:type="dxa"/>
            <w:shd w:val="clear" w:color="auto" w:fill="auto"/>
          </w:tcPr>
          <w:p w14:paraId="6D608DBE" w14:textId="77777777" w:rsidR="00A7464F" w:rsidRPr="00885CAE" w:rsidRDefault="00A7464F" w:rsidP="00166DBD">
            <w:pPr>
              <w:spacing w:before="0" w:after="0" w:line="240" w:lineRule="auto"/>
              <w:rPr>
                <w:rFonts w:cs="Arial"/>
                <w:sz w:val="16"/>
                <w:szCs w:val="16"/>
                <w:lang w:val="de-CH"/>
              </w:rPr>
            </w:pPr>
          </w:p>
        </w:tc>
      </w:tr>
      <w:tr w:rsidR="00A7464F" w:rsidRPr="00885CAE" w14:paraId="6D608DC6" w14:textId="77777777" w:rsidTr="004956B5">
        <w:tc>
          <w:tcPr>
            <w:tcW w:w="531" w:type="dxa"/>
            <w:vMerge/>
            <w:shd w:val="clear" w:color="auto" w:fill="auto"/>
          </w:tcPr>
          <w:p w14:paraId="6D608DC0" w14:textId="77777777" w:rsidR="00A7464F" w:rsidRPr="00885CAE" w:rsidRDefault="00A7464F" w:rsidP="00166DBD">
            <w:pPr>
              <w:spacing w:before="0" w:after="0" w:line="240" w:lineRule="auto"/>
              <w:rPr>
                <w:rFonts w:cs="Arial"/>
                <w:sz w:val="16"/>
                <w:szCs w:val="16"/>
                <w:lang w:val="de-CH"/>
              </w:rPr>
            </w:pPr>
          </w:p>
        </w:tc>
        <w:tc>
          <w:tcPr>
            <w:tcW w:w="1596" w:type="dxa"/>
            <w:vMerge/>
            <w:shd w:val="clear" w:color="auto" w:fill="auto"/>
          </w:tcPr>
          <w:p w14:paraId="6D608DC1" w14:textId="77777777" w:rsidR="00A7464F" w:rsidRPr="00222D10" w:rsidRDefault="00A7464F" w:rsidP="00166DBD">
            <w:pPr>
              <w:spacing w:before="0" w:after="0" w:line="240" w:lineRule="auto"/>
              <w:rPr>
                <w:b/>
                <w:sz w:val="16"/>
                <w:szCs w:val="16"/>
                <w:lang w:val="de-CH"/>
              </w:rPr>
            </w:pPr>
          </w:p>
        </w:tc>
        <w:tc>
          <w:tcPr>
            <w:tcW w:w="3685" w:type="dxa"/>
            <w:shd w:val="clear" w:color="auto" w:fill="auto"/>
          </w:tcPr>
          <w:p w14:paraId="77BE67B6" w14:textId="77777777" w:rsidR="00A7464F" w:rsidRPr="00222D10" w:rsidRDefault="00EA78DD" w:rsidP="00223F6D">
            <w:pPr>
              <w:spacing w:before="0" w:after="0" w:line="240" w:lineRule="auto"/>
              <w:rPr>
                <w:sz w:val="16"/>
                <w:lang w:val="de-CH"/>
              </w:rPr>
            </w:pPr>
            <w:r w:rsidRPr="00222D10">
              <w:rPr>
                <w:sz w:val="16"/>
                <w:lang w:val="de-CH"/>
              </w:rPr>
              <w:t xml:space="preserve">Einholen von </w:t>
            </w:r>
            <w:r w:rsidR="00A7464F" w:rsidRPr="00222D10">
              <w:rPr>
                <w:sz w:val="16"/>
                <w:lang w:val="de-CH"/>
              </w:rPr>
              <w:t xml:space="preserve">Statuten, </w:t>
            </w:r>
            <w:r w:rsidR="00223F6D" w:rsidRPr="00222D10">
              <w:rPr>
                <w:sz w:val="16"/>
                <w:lang w:val="de-CH"/>
              </w:rPr>
              <w:t xml:space="preserve">Organisations- und </w:t>
            </w:r>
            <w:proofErr w:type="spellStart"/>
            <w:r w:rsidR="00A7464F" w:rsidRPr="00222D10">
              <w:rPr>
                <w:sz w:val="16"/>
                <w:lang w:val="de-CH"/>
              </w:rPr>
              <w:t>Geschäftsreglementen</w:t>
            </w:r>
            <w:proofErr w:type="spellEnd"/>
            <w:r w:rsidR="00A7464F" w:rsidRPr="00222D10">
              <w:rPr>
                <w:sz w:val="16"/>
                <w:lang w:val="de-CH"/>
              </w:rPr>
              <w:t>, Partnervereinbarungen oder Regel</w:t>
            </w:r>
            <w:r w:rsidRPr="00222D10">
              <w:rPr>
                <w:sz w:val="16"/>
                <w:lang w:val="de-CH"/>
              </w:rPr>
              <w:t>werke</w:t>
            </w:r>
            <w:r w:rsidR="00A7464F" w:rsidRPr="00222D10">
              <w:rPr>
                <w:sz w:val="16"/>
                <w:lang w:val="de-CH"/>
              </w:rPr>
              <w:t xml:space="preserve"> sowie </w:t>
            </w:r>
            <w:r w:rsidRPr="00222D10">
              <w:rPr>
                <w:sz w:val="16"/>
                <w:lang w:val="de-CH"/>
              </w:rPr>
              <w:t xml:space="preserve">von </w:t>
            </w:r>
            <w:r w:rsidR="00A7464F" w:rsidRPr="00222D10">
              <w:rPr>
                <w:sz w:val="16"/>
                <w:lang w:val="de-CH"/>
              </w:rPr>
              <w:t>Organigramm</w:t>
            </w:r>
            <w:r w:rsidRPr="00222D10">
              <w:rPr>
                <w:sz w:val="16"/>
                <w:lang w:val="de-CH"/>
              </w:rPr>
              <w:t>en</w:t>
            </w:r>
            <w:r w:rsidR="00A7464F" w:rsidRPr="00222D10">
              <w:rPr>
                <w:sz w:val="16"/>
                <w:lang w:val="de-CH"/>
              </w:rPr>
              <w:t xml:space="preserve"> </w:t>
            </w:r>
            <w:r w:rsidRPr="00222D10">
              <w:rPr>
                <w:sz w:val="16"/>
                <w:lang w:val="de-CH"/>
              </w:rPr>
              <w:t>für</w:t>
            </w:r>
            <w:r w:rsidR="00A7464F" w:rsidRPr="00222D10">
              <w:rPr>
                <w:sz w:val="16"/>
                <w:lang w:val="de-CH"/>
              </w:rPr>
              <w:t xml:space="preserve"> sämtliche regionale Standorte.</w:t>
            </w:r>
          </w:p>
          <w:p w14:paraId="7FFA2194" w14:textId="77777777" w:rsidR="008B029D" w:rsidRPr="00222D10" w:rsidRDefault="008B029D" w:rsidP="00223F6D">
            <w:pPr>
              <w:spacing w:before="0" w:after="0" w:line="240" w:lineRule="auto"/>
              <w:rPr>
                <w:sz w:val="16"/>
                <w:lang w:val="de-CH"/>
              </w:rPr>
            </w:pPr>
          </w:p>
          <w:p w14:paraId="637D5582" w14:textId="58124EFC" w:rsidR="008B029D" w:rsidRDefault="008B029D" w:rsidP="008B029D">
            <w:pPr>
              <w:spacing w:before="0" w:after="0" w:line="240" w:lineRule="auto"/>
              <w:rPr>
                <w:sz w:val="16"/>
                <w:lang w:val="de-CH"/>
              </w:rPr>
            </w:pPr>
            <w:r w:rsidRPr="00222D10">
              <w:rPr>
                <w:sz w:val="16"/>
                <w:lang w:val="de-CH"/>
              </w:rPr>
              <w:t>Beurteilung, ob der Geschäftsbereich und dessen geographische Ausdehnung den finanzielle</w:t>
            </w:r>
            <w:r w:rsidR="00F158FD" w:rsidRPr="00222D10">
              <w:rPr>
                <w:sz w:val="16"/>
                <w:lang w:val="de-CH"/>
              </w:rPr>
              <w:t>n</w:t>
            </w:r>
            <w:r w:rsidRPr="00222D10">
              <w:rPr>
                <w:sz w:val="16"/>
                <w:lang w:val="de-CH"/>
              </w:rPr>
              <w:t xml:space="preserve"> Möglichkeiten sowie der Verwaltungsorganisation entsprechen.</w:t>
            </w:r>
          </w:p>
          <w:p w14:paraId="516CEED1" w14:textId="029B742C" w:rsidR="00222D10" w:rsidRDefault="00222D10" w:rsidP="008B029D">
            <w:pPr>
              <w:spacing w:before="0" w:after="0" w:line="240" w:lineRule="auto"/>
              <w:rPr>
                <w:sz w:val="16"/>
                <w:lang w:val="de-CH"/>
              </w:rPr>
            </w:pPr>
          </w:p>
          <w:p w14:paraId="20C464E6" w14:textId="58355D5E" w:rsidR="00222D10" w:rsidRDefault="00222D10" w:rsidP="008B029D">
            <w:pPr>
              <w:spacing w:before="0" w:after="0" w:line="240" w:lineRule="auto"/>
              <w:rPr>
                <w:sz w:val="16"/>
                <w:lang w:val="de-CH"/>
              </w:rPr>
            </w:pPr>
            <w:r w:rsidRPr="00222D10">
              <w:rPr>
                <w:sz w:val="16"/>
                <w:lang w:val="de-CH"/>
              </w:rPr>
              <w:t>Beurteilung, ob das Institut tatsächlich von der Schweiz aus geleitet wird und ob die Mitglieder der Geschäftsleitung die Geschäftsführung tatsächlich und verantwortlich ausüben.</w:t>
            </w:r>
          </w:p>
          <w:p w14:paraId="68E51060" w14:textId="77777777" w:rsidR="00222D10" w:rsidRPr="00222D10" w:rsidRDefault="00222D10" w:rsidP="008B029D">
            <w:pPr>
              <w:spacing w:before="0" w:after="0" w:line="240" w:lineRule="auto"/>
              <w:rPr>
                <w:sz w:val="16"/>
                <w:lang w:val="de-CH"/>
              </w:rPr>
            </w:pPr>
          </w:p>
          <w:p w14:paraId="6D608DC2" w14:textId="28ADCEBF" w:rsidR="008B029D" w:rsidRPr="00222D10" w:rsidRDefault="008B029D" w:rsidP="008B029D">
            <w:pPr>
              <w:spacing w:before="0" w:after="0" w:line="240" w:lineRule="auto"/>
              <w:rPr>
                <w:rFonts w:cs="Arial"/>
                <w:sz w:val="16"/>
                <w:szCs w:val="16"/>
                <w:lang w:val="de-CH"/>
              </w:rPr>
            </w:pPr>
            <w:r w:rsidRPr="00222D10">
              <w:rPr>
                <w:sz w:val="16"/>
                <w:lang w:val="de-CH"/>
              </w:rPr>
              <w:t>Beurteilung, ob das Oberleitungsorgan der Bank mindestens drei Mitglieder umfasst</w:t>
            </w:r>
          </w:p>
        </w:tc>
        <w:tc>
          <w:tcPr>
            <w:tcW w:w="3827" w:type="dxa"/>
            <w:shd w:val="clear" w:color="auto" w:fill="auto"/>
          </w:tcPr>
          <w:p w14:paraId="34C52E40" w14:textId="77777777" w:rsidR="00A7464F" w:rsidRDefault="00A7464F" w:rsidP="00A7464F">
            <w:pPr>
              <w:spacing w:before="0" w:after="0" w:line="240" w:lineRule="auto"/>
              <w:rPr>
                <w:sz w:val="16"/>
                <w:lang w:val="de-CH"/>
              </w:rPr>
            </w:pPr>
            <w:r w:rsidRPr="00885CAE">
              <w:rPr>
                <w:sz w:val="16"/>
                <w:lang w:val="de-CH"/>
              </w:rPr>
              <w:t xml:space="preserve">Beurteilung, ob die Statuten, die organisatorischen </w:t>
            </w:r>
            <w:proofErr w:type="spellStart"/>
            <w:r w:rsidRPr="00885CAE">
              <w:rPr>
                <w:sz w:val="16"/>
                <w:lang w:val="de-CH"/>
              </w:rPr>
              <w:t>Geschäftsreg</w:t>
            </w:r>
            <w:r w:rsidR="00EA78DD">
              <w:rPr>
                <w:sz w:val="16"/>
                <w:lang w:val="de-CH"/>
              </w:rPr>
              <w:t>lemente</w:t>
            </w:r>
            <w:proofErr w:type="spellEnd"/>
            <w:r w:rsidRPr="00885CAE">
              <w:rPr>
                <w:sz w:val="16"/>
                <w:lang w:val="de-CH"/>
              </w:rPr>
              <w:t xml:space="preserve"> und Organigramme die Geschäftstätigkeit und die geografische Dimension des Geschäfts angemessen widerspiegeln.</w:t>
            </w:r>
          </w:p>
          <w:p w14:paraId="64CFD6D8" w14:textId="77777777" w:rsidR="002F6C79" w:rsidRDefault="002F6C79" w:rsidP="00A7464F">
            <w:pPr>
              <w:spacing w:before="0" w:after="0" w:line="240" w:lineRule="auto"/>
              <w:rPr>
                <w:sz w:val="16"/>
                <w:lang w:val="de-CH"/>
              </w:rPr>
            </w:pPr>
          </w:p>
          <w:p w14:paraId="6D608DC3" w14:textId="64C48DB5" w:rsidR="002F6C79" w:rsidRPr="00885CAE" w:rsidRDefault="002F6C79" w:rsidP="002F6C79">
            <w:pPr>
              <w:spacing w:before="0" w:after="0" w:line="240" w:lineRule="auto"/>
              <w:rPr>
                <w:rFonts w:cs="Arial"/>
                <w:sz w:val="16"/>
                <w:szCs w:val="16"/>
                <w:lang w:val="de-CH"/>
              </w:rPr>
            </w:pPr>
          </w:p>
        </w:tc>
        <w:tc>
          <w:tcPr>
            <w:tcW w:w="3431" w:type="dxa"/>
            <w:shd w:val="clear" w:color="auto" w:fill="auto"/>
          </w:tcPr>
          <w:p w14:paraId="6D608DC4" w14:textId="77777777" w:rsidR="00A7464F" w:rsidRPr="00885CAE" w:rsidRDefault="00A7464F" w:rsidP="00166DBD">
            <w:pPr>
              <w:spacing w:before="0" w:after="0" w:line="240" w:lineRule="auto"/>
              <w:rPr>
                <w:rFonts w:cs="Arial"/>
                <w:sz w:val="16"/>
                <w:szCs w:val="16"/>
                <w:highlight w:val="cyan"/>
                <w:lang w:val="de-CH"/>
              </w:rPr>
            </w:pPr>
          </w:p>
        </w:tc>
        <w:tc>
          <w:tcPr>
            <w:tcW w:w="1247" w:type="dxa"/>
            <w:shd w:val="clear" w:color="auto" w:fill="auto"/>
          </w:tcPr>
          <w:p w14:paraId="6D608DC5" w14:textId="77777777" w:rsidR="00A7464F" w:rsidRPr="00885CAE" w:rsidRDefault="00A7464F" w:rsidP="00166DBD">
            <w:pPr>
              <w:spacing w:before="0" w:after="0" w:line="240" w:lineRule="auto"/>
              <w:rPr>
                <w:rFonts w:cs="Arial"/>
                <w:sz w:val="16"/>
                <w:szCs w:val="16"/>
                <w:lang w:val="de-CH"/>
              </w:rPr>
            </w:pPr>
          </w:p>
        </w:tc>
      </w:tr>
      <w:tr w:rsidR="00A7464F" w:rsidRPr="00885CAE" w14:paraId="6D608DCD" w14:textId="77777777" w:rsidTr="004956B5">
        <w:tc>
          <w:tcPr>
            <w:tcW w:w="531" w:type="dxa"/>
            <w:vMerge/>
            <w:shd w:val="clear" w:color="auto" w:fill="auto"/>
          </w:tcPr>
          <w:p w14:paraId="6D608DC7" w14:textId="77777777" w:rsidR="00A7464F" w:rsidRPr="00885CAE" w:rsidRDefault="00A7464F" w:rsidP="001038EF">
            <w:pPr>
              <w:spacing w:before="0" w:after="0" w:line="240" w:lineRule="auto"/>
              <w:rPr>
                <w:rFonts w:cs="Arial"/>
                <w:sz w:val="16"/>
                <w:szCs w:val="16"/>
                <w:lang w:val="de-CH"/>
              </w:rPr>
            </w:pPr>
          </w:p>
        </w:tc>
        <w:tc>
          <w:tcPr>
            <w:tcW w:w="1596" w:type="dxa"/>
            <w:vMerge/>
            <w:shd w:val="clear" w:color="auto" w:fill="auto"/>
          </w:tcPr>
          <w:p w14:paraId="6D608DC8" w14:textId="77777777" w:rsidR="00A7464F" w:rsidRPr="00885CAE" w:rsidRDefault="00A7464F" w:rsidP="001038EF">
            <w:pPr>
              <w:spacing w:before="0" w:after="0" w:line="240" w:lineRule="auto"/>
              <w:rPr>
                <w:b/>
                <w:sz w:val="16"/>
                <w:szCs w:val="16"/>
                <w:lang w:val="de-CH"/>
              </w:rPr>
            </w:pPr>
          </w:p>
        </w:tc>
        <w:tc>
          <w:tcPr>
            <w:tcW w:w="3685" w:type="dxa"/>
            <w:shd w:val="clear" w:color="auto" w:fill="auto"/>
          </w:tcPr>
          <w:p w14:paraId="6D608DC9" w14:textId="335EED61" w:rsidR="00A7464F" w:rsidRPr="00885CAE" w:rsidRDefault="00A7464F" w:rsidP="00EA78DD">
            <w:pPr>
              <w:spacing w:before="0" w:after="0" w:line="240" w:lineRule="auto"/>
              <w:rPr>
                <w:rFonts w:cs="Arial"/>
                <w:i/>
                <w:sz w:val="16"/>
                <w:szCs w:val="16"/>
                <w:lang w:val="de-CH"/>
              </w:rPr>
            </w:pPr>
            <w:r w:rsidRPr="00885CAE">
              <w:rPr>
                <w:sz w:val="16"/>
                <w:lang w:val="de-CH"/>
              </w:rPr>
              <w:t xml:space="preserve">Identifizierung verantwortlicher Abteilungen </w:t>
            </w:r>
            <w:r w:rsidR="00EA78DD">
              <w:rPr>
                <w:sz w:val="16"/>
                <w:lang w:val="de-CH"/>
              </w:rPr>
              <w:t>basierend auf dem</w:t>
            </w:r>
            <w:r w:rsidR="00EA78DD" w:rsidRPr="00885CAE">
              <w:rPr>
                <w:sz w:val="16"/>
                <w:lang w:val="de-CH"/>
              </w:rPr>
              <w:t xml:space="preserve"> bereitgestellten Organigramm </w:t>
            </w:r>
            <w:r w:rsidRPr="00885CAE">
              <w:rPr>
                <w:sz w:val="16"/>
                <w:lang w:val="de-CH"/>
              </w:rPr>
              <w:t>und Beurteilung, ob die Organisation der Schlüsselfunktionen angemessen ist (funktionale und hierarchische Integration, Berichtslinien usw.).</w:t>
            </w:r>
          </w:p>
        </w:tc>
        <w:tc>
          <w:tcPr>
            <w:tcW w:w="3827" w:type="dxa"/>
            <w:shd w:val="clear" w:color="auto" w:fill="auto"/>
          </w:tcPr>
          <w:p w14:paraId="6D608DCA" w14:textId="77777777" w:rsidR="00A7464F" w:rsidRPr="00885CAE" w:rsidRDefault="00A7464F" w:rsidP="00865DB0">
            <w:pPr>
              <w:spacing w:before="0" w:after="0" w:line="240" w:lineRule="auto"/>
              <w:rPr>
                <w:rFonts w:cs="Arial"/>
                <w:sz w:val="16"/>
                <w:szCs w:val="16"/>
                <w:lang w:val="de-CH"/>
              </w:rPr>
            </w:pPr>
          </w:p>
        </w:tc>
        <w:tc>
          <w:tcPr>
            <w:tcW w:w="3431" w:type="dxa"/>
            <w:shd w:val="clear" w:color="auto" w:fill="auto"/>
          </w:tcPr>
          <w:p w14:paraId="6D608DCB" w14:textId="77777777" w:rsidR="00A7464F" w:rsidRPr="00885CAE" w:rsidRDefault="00A7464F" w:rsidP="001038EF">
            <w:pPr>
              <w:spacing w:before="0" w:after="0" w:line="240" w:lineRule="auto"/>
              <w:rPr>
                <w:rFonts w:cs="Arial"/>
                <w:sz w:val="16"/>
                <w:szCs w:val="16"/>
                <w:highlight w:val="cyan"/>
                <w:lang w:val="de-CH"/>
              </w:rPr>
            </w:pPr>
          </w:p>
        </w:tc>
        <w:tc>
          <w:tcPr>
            <w:tcW w:w="1247" w:type="dxa"/>
            <w:shd w:val="clear" w:color="auto" w:fill="auto"/>
          </w:tcPr>
          <w:p w14:paraId="6D608DCC" w14:textId="77777777" w:rsidR="00A7464F" w:rsidRPr="00885CAE" w:rsidRDefault="00A7464F" w:rsidP="001038EF">
            <w:pPr>
              <w:spacing w:before="0" w:after="0" w:line="240" w:lineRule="auto"/>
              <w:rPr>
                <w:rFonts w:cs="Arial"/>
                <w:sz w:val="16"/>
                <w:szCs w:val="16"/>
                <w:lang w:val="de-CH"/>
              </w:rPr>
            </w:pPr>
          </w:p>
        </w:tc>
      </w:tr>
      <w:tr w:rsidR="00A7464F" w:rsidRPr="00885CAE" w14:paraId="6D608DD6" w14:textId="77777777" w:rsidTr="004956B5">
        <w:tc>
          <w:tcPr>
            <w:tcW w:w="531" w:type="dxa"/>
            <w:vMerge w:val="restart"/>
            <w:shd w:val="clear" w:color="auto" w:fill="auto"/>
          </w:tcPr>
          <w:p w14:paraId="6D608DCE" w14:textId="77777777" w:rsidR="00A7464F" w:rsidRPr="00885CAE" w:rsidRDefault="00A7464F" w:rsidP="001038EF">
            <w:pPr>
              <w:spacing w:before="0" w:after="0" w:line="240" w:lineRule="auto"/>
              <w:rPr>
                <w:rFonts w:cs="Arial"/>
                <w:sz w:val="16"/>
                <w:szCs w:val="16"/>
                <w:lang w:val="de-CH"/>
              </w:rPr>
            </w:pPr>
          </w:p>
        </w:tc>
        <w:tc>
          <w:tcPr>
            <w:tcW w:w="1596" w:type="dxa"/>
            <w:vMerge w:val="restart"/>
            <w:shd w:val="clear" w:color="auto" w:fill="auto"/>
          </w:tcPr>
          <w:p w14:paraId="6D608DCF" w14:textId="77777777" w:rsidR="004E2F84" w:rsidRPr="00885CAE" w:rsidRDefault="004E2F84" w:rsidP="004E2F84">
            <w:pPr>
              <w:spacing w:before="0" w:after="0" w:line="240" w:lineRule="auto"/>
              <w:rPr>
                <w:b/>
                <w:sz w:val="16"/>
                <w:szCs w:val="16"/>
                <w:lang w:val="de-CH"/>
              </w:rPr>
            </w:pPr>
            <w:r w:rsidRPr="00885CAE">
              <w:rPr>
                <w:b/>
                <w:sz w:val="16"/>
                <w:lang w:val="de-CH"/>
              </w:rPr>
              <w:t>Angemessenheit der internen Organisation</w:t>
            </w:r>
          </w:p>
          <w:p w14:paraId="6D608DD0" w14:textId="77777777" w:rsidR="004E2F84" w:rsidRPr="00885CAE" w:rsidRDefault="004E2F84" w:rsidP="001038EF">
            <w:pPr>
              <w:spacing w:before="0" w:after="0" w:line="240" w:lineRule="auto"/>
              <w:rPr>
                <w:b/>
                <w:sz w:val="16"/>
                <w:szCs w:val="16"/>
                <w:lang w:val="de-CH"/>
              </w:rPr>
            </w:pPr>
          </w:p>
          <w:p w14:paraId="6D608DD1" w14:textId="77777777" w:rsidR="00A7464F" w:rsidRPr="00885CAE" w:rsidRDefault="00982F4E" w:rsidP="001038EF">
            <w:pPr>
              <w:spacing w:before="0" w:after="0" w:line="240" w:lineRule="auto"/>
              <w:rPr>
                <w:sz w:val="16"/>
                <w:szCs w:val="16"/>
                <w:lang w:val="de-CH"/>
              </w:rPr>
            </w:pPr>
            <w:r w:rsidRPr="00885CAE">
              <w:rPr>
                <w:sz w:val="16"/>
                <w:lang w:val="de-CH"/>
              </w:rPr>
              <w:t>(Funktionentrennung)</w:t>
            </w:r>
          </w:p>
        </w:tc>
        <w:tc>
          <w:tcPr>
            <w:tcW w:w="3685" w:type="dxa"/>
            <w:shd w:val="clear" w:color="auto" w:fill="auto"/>
          </w:tcPr>
          <w:p w14:paraId="6D608DD2" w14:textId="77777777" w:rsidR="00A7464F" w:rsidRPr="00DE3CF0" w:rsidRDefault="00A7464F" w:rsidP="00B938EE">
            <w:pPr>
              <w:spacing w:before="0" w:after="0" w:line="240" w:lineRule="auto"/>
              <w:rPr>
                <w:rFonts w:cs="Arial"/>
                <w:i/>
                <w:sz w:val="16"/>
                <w:szCs w:val="16"/>
                <w:lang w:val="de-CH"/>
              </w:rPr>
            </w:pPr>
            <w:r w:rsidRPr="00DE3CF0">
              <w:rPr>
                <w:i/>
                <w:sz w:val="16"/>
                <w:lang w:val="de-CH"/>
              </w:rPr>
              <w:t>Beurteilung der allgemeinen Angemessenheit der Funktionentrennung nach Massgabe der Grösse und der Geschäfts- und Organisationskomplexität des Instituts, namentlich</w:t>
            </w:r>
          </w:p>
        </w:tc>
        <w:tc>
          <w:tcPr>
            <w:tcW w:w="3827" w:type="dxa"/>
            <w:shd w:val="clear" w:color="auto" w:fill="auto"/>
          </w:tcPr>
          <w:p w14:paraId="6D608DD3" w14:textId="77777777" w:rsidR="00A7464F" w:rsidRPr="00885CAE" w:rsidRDefault="00A7464F" w:rsidP="001038EF">
            <w:pPr>
              <w:spacing w:before="0" w:after="0" w:line="240" w:lineRule="auto"/>
              <w:rPr>
                <w:rFonts w:cs="Arial"/>
                <w:sz w:val="16"/>
                <w:szCs w:val="16"/>
                <w:lang w:val="de-CH"/>
              </w:rPr>
            </w:pPr>
          </w:p>
        </w:tc>
        <w:tc>
          <w:tcPr>
            <w:tcW w:w="3431" w:type="dxa"/>
            <w:shd w:val="clear" w:color="auto" w:fill="auto"/>
          </w:tcPr>
          <w:p w14:paraId="6D608DD4" w14:textId="77777777" w:rsidR="00A7464F" w:rsidRPr="00885CAE" w:rsidRDefault="00A7464F" w:rsidP="001038EF">
            <w:pPr>
              <w:spacing w:before="0" w:after="0" w:line="240" w:lineRule="auto"/>
              <w:rPr>
                <w:rFonts w:cs="Arial"/>
                <w:sz w:val="16"/>
                <w:szCs w:val="16"/>
                <w:highlight w:val="cyan"/>
                <w:lang w:val="de-CH"/>
              </w:rPr>
            </w:pPr>
          </w:p>
        </w:tc>
        <w:tc>
          <w:tcPr>
            <w:tcW w:w="1247" w:type="dxa"/>
            <w:shd w:val="clear" w:color="auto" w:fill="auto"/>
          </w:tcPr>
          <w:p w14:paraId="6D608DD5" w14:textId="77777777" w:rsidR="00A7464F" w:rsidRPr="00885CAE" w:rsidRDefault="00A7464F" w:rsidP="001038EF">
            <w:pPr>
              <w:spacing w:before="0" w:after="0" w:line="240" w:lineRule="auto"/>
              <w:rPr>
                <w:rFonts w:cs="Arial"/>
                <w:sz w:val="16"/>
                <w:szCs w:val="16"/>
                <w:lang w:val="de-CH"/>
              </w:rPr>
            </w:pPr>
          </w:p>
        </w:tc>
      </w:tr>
      <w:tr w:rsidR="00A7464F" w:rsidRPr="00885CAE" w14:paraId="6D608DDD" w14:textId="77777777" w:rsidTr="004956B5">
        <w:tc>
          <w:tcPr>
            <w:tcW w:w="531" w:type="dxa"/>
            <w:vMerge/>
            <w:shd w:val="clear" w:color="auto" w:fill="auto"/>
          </w:tcPr>
          <w:p w14:paraId="6D608DD7" w14:textId="77777777" w:rsidR="00A7464F" w:rsidRPr="00885CAE" w:rsidRDefault="00A7464F" w:rsidP="001038EF">
            <w:pPr>
              <w:spacing w:before="0" w:after="0" w:line="240" w:lineRule="auto"/>
              <w:rPr>
                <w:rFonts w:cs="Arial"/>
                <w:sz w:val="16"/>
                <w:szCs w:val="16"/>
                <w:lang w:val="de-CH"/>
              </w:rPr>
            </w:pPr>
          </w:p>
        </w:tc>
        <w:tc>
          <w:tcPr>
            <w:tcW w:w="1596" w:type="dxa"/>
            <w:vMerge/>
            <w:shd w:val="clear" w:color="auto" w:fill="auto"/>
          </w:tcPr>
          <w:p w14:paraId="6D608DD8" w14:textId="77777777" w:rsidR="00A7464F" w:rsidRPr="00885CAE" w:rsidRDefault="00A7464F" w:rsidP="001038EF">
            <w:pPr>
              <w:spacing w:before="0" w:after="0" w:line="240" w:lineRule="auto"/>
              <w:rPr>
                <w:b/>
                <w:sz w:val="16"/>
                <w:szCs w:val="16"/>
                <w:lang w:val="de-CH"/>
              </w:rPr>
            </w:pPr>
          </w:p>
        </w:tc>
        <w:tc>
          <w:tcPr>
            <w:tcW w:w="3685" w:type="dxa"/>
            <w:shd w:val="clear" w:color="auto" w:fill="auto"/>
          </w:tcPr>
          <w:p w14:paraId="6D608DD9" w14:textId="73684C45" w:rsidR="00A7464F" w:rsidRPr="00C06A90" w:rsidRDefault="00A26240" w:rsidP="00B11AA6">
            <w:pPr>
              <w:spacing w:before="0" w:after="0" w:line="240" w:lineRule="auto"/>
              <w:rPr>
                <w:rFonts w:cs="Arial"/>
                <w:sz w:val="16"/>
                <w:szCs w:val="16"/>
                <w:lang w:val="de-CH"/>
              </w:rPr>
            </w:pPr>
            <w:r w:rsidRPr="00C06A90">
              <w:rPr>
                <w:sz w:val="16"/>
                <w:lang w:val="de-CH"/>
              </w:rPr>
              <w:t xml:space="preserve">Für Banken: Beurteilung, ob die Mitglieder des </w:t>
            </w:r>
            <w:r w:rsidR="00B64C54" w:rsidRPr="00C06A90">
              <w:rPr>
                <w:sz w:val="16"/>
                <w:lang w:val="de-CH"/>
              </w:rPr>
              <w:t>Oberleitungsorgan</w:t>
            </w:r>
            <w:r w:rsidRPr="00C06A90">
              <w:rPr>
                <w:sz w:val="16"/>
                <w:lang w:val="de-CH"/>
              </w:rPr>
              <w:t>s (</w:t>
            </w:r>
            <w:r w:rsidR="00354A23" w:rsidRPr="00C06A90">
              <w:rPr>
                <w:sz w:val="16"/>
                <w:lang w:val="de-CH"/>
              </w:rPr>
              <w:t xml:space="preserve">z.B. </w:t>
            </w:r>
            <w:r w:rsidRPr="00C06A90">
              <w:rPr>
                <w:sz w:val="16"/>
                <w:lang w:val="de-CH"/>
              </w:rPr>
              <w:t>VR) von der Geschäftsleitung organisatorisch getrennt sind (</w:t>
            </w:r>
            <w:r w:rsidR="002F6C79" w:rsidRPr="00C06A90">
              <w:rPr>
                <w:sz w:val="16"/>
                <w:lang w:val="de-CH"/>
              </w:rPr>
              <w:t xml:space="preserve">Art. 3 Abs.2 Bst. </w:t>
            </w:r>
            <w:r w:rsidR="00C06A90">
              <w:rPr>
                <w:sz w:val="16"/>
                <w:lang w:val="de-CH"/>
              </w:rPr>
              <w:t>a</w:t>
            </w:r>
            <w:r w:rsidR="00B11AA6">
              <w:rPr>
                <w:sz w:val="16"/>
                <w:lang w:val="de-CH"/>
              </w:rPr>
              <w:t xml:space="preserve"> BankG,</w:t>
            </w:r>
            <w:r w:rsidR="002F6C79" w:rsidRPr="00C06A90">
              <w:rPr>
                <w:sz w:val="16"/>
                <w:lang w:val="de-CH"/>
              </w:rPr>
              <w:t xml:space="preserve"> </w:t>
            </w:r>
            <w:r w:rsidRPr="00C06A90">
              <w:rPr>
                <w:sz w:val="16"/>
                <w:lang w:val="de-CH"/>
              </w:rPr>
              <w:t xml:space="preserve">Art. 11 </w:t>
            </w:r>
            <w:r w:rsidR="00F158FD" w:rsidRPr="00C06A90">
              <w:rPr>
                <w:sz w:val="16"/>
                <w:lang w:val="de-CH"/>
              </w:rPr>
              <w:t>BankV</w:t>
            </w:r>
            <w:r w:rsidRPr="00C06A90">
              <w:rPr>
                <w:sz w:val="16"/>
                <w:lang w:val="de-CH"/>
              </w:rPr>
              <w:t>).</w:t>
            </w:r>
          </w:p>
        </w:tc>
        <w:tc>
          <w:tcPr>
            <w:tcW w:w="3827" w:type="dxa"/>
            <w:shd w:val="clear" w:color="auto" w:fill="auto"/>
          </w:tcPr>
          <w:p w14:paraId="6D608DDA" w14:textId="77777777" w:rsidR="00A7464F" w:rsidRPr="00885CAE" w:rsidRDefault="00A7464F" w:rsidP="001038EF">
            <w:pPr>
              <w:spacing w:before="0" w:after="0" w:line="240" w:lineRule="auto"/>
              <w:rPr>
                <w:rFonts w:cs="Arial"/>
                <w:sz w:val="16"/>
                <w:szCs w:val="16"/>
                <w:lang w:val="de-CH"/>
              </w:rPr>
            </w:pPr>
          </w:p>
        </w:tc>
        <w:tc>
          <w:tcPr>
            <w:tcW w:w="3431" w:type="dxa"/>
            <w:shd w:val="clear" w:color="auto" w:fill="auto"/>
          </w:tcPr>
          <w:p w14:paraId="6D608DDB" w14:textId="77777777" w:rsidR="00A7464F" w:rsidRPr="00885CAE" w:rsidRDefault="00A7464F" w:rsidP="001038EF">
            <w:pPr>
              <w:spacing w:before="0" w:after="0" w:line="240" w:lineRule="auto"/>
              <w:rPr>
                <w:rFonts w:cs="Arial"/>
                <w:sz w:val="16"/>
                <w:szCs w:val="16"/>
                <w:highlight w:val="cyan"/>
                <w:lang w:val="de-CH"/>
              </w:rPr>
            </w:pPr>
          </w:p>
        </w:tc>
        <w:tc>
          <w:tcPr>
            <w:tcW w:w="1247" w:type="dxa"/>
            <w:shd w:val="clear" w:color="auto" w:fill="auto"/>
          </w:tcPr>
          <w:p w14:paraId="6D608DDC" w14:textId="77777777" w:rsidR="00A7464F" w:rsidRPr="00885CAE" w:rsidRDefault="00A7464F" w:rsidP="001038EF">
            <w:pPr>
              <w:spacing w:before="0" w:after="0" w:line="240" w:lineRule="auto"/>
              <w:rPr>
                <w:rFonts w:cs="Arial"/>
                <w:sz w:val="16"/>
                <w:szCs w:val="16"/>
                <w:lang w:val="de-CH"/>
              </w:rPr>
            </w:pPr>
          </w:p>
        </w:tc>
      </w:tr>
      <w:tr w:rsidR="00A7464F" w:rsidRPr="00885CAE" w14:paraId="6D608DE4" w14:textId="77777777" w:rsidTr="004956B5">
        <w:tc>
          <w:tcPr>
            <w:tcW w:w="531" w:type="dxa"/>
            <w:vMerge/>
            <w:shd w:val="clear" w:color="auto" w:fill="auto"/>
          </w:tcPr>
          <w:p w14:paraId="6D608DDE" w14:textId="77777777" w:rsidR="00A7464F" w:rsidRPr="00885CAE" w:rsidRDefault="00A7464F" w:rsidP="001038EF">
            <w:pPr>
              <w:spacing w:before="0" w:after="0" w:line="240" w:lineRule="auto"/>
              <w:rPr>
                <w:rFonts w:cs="Arial"/>
                <w:sz w:val="16"/>
                <w:szCs w:val="16"/>
                <w:lang w:val="de-CH"/>
              </w:rPr>
            </w:pPr>
          </w:p>
        </w:tc>
        <w:tc>
          <w:tcPr>
            <w:tcW w:w="1596" w:type="dxa"/>
            <w:vMerge/>
            <w:shd w:val="clear" w:color="auto" w:fill="auto"/>
          </w:tcPr>
          <w:p w14:paraId="6D608DDF" w14:textId="77777777" w:rsidR="00A7464F" w:rsidRPr="00885CAE" w:rsidRDefault="00A7464F" w:rsidP="001038EF">
            <w:pPr>
              <w:spacing w:before="0" w:after="0" w:line="240" w:lineRule="auto"/>
              <w:rPr>
                <w:b/>
                <w:sz w:val="16"/>
                <w:szCs w:val="16"/>
                <w:lang w:val="de-CH"/>
              </w:rPr>
            </w:pPr>
          </w:p>
        </w:tc>
        <w:tc>
          <w:tcPr>
            <w:tcW w:w="3685" w:type="dxa"/>
            <w:shd w:val="clear" w:color="auto" w:fill="auto"/>
          </w:tcPr>
          <w:p w14:paraId="6D608DE0" w14:textId="65F216DC" w:rsidR="00A7464F" w:rsidRPr="00DE3CF0" w:rsidRDefault="00A7464F" w:rsidP="00FF2DF9">
            <w:pPr>
              <w:spacing w:before="0" w:after="0" w:line="240" w:lineRule="auto"/>
              <w:rPr>
                <w:rFonts w:cs="Arial"/>
                <w:i/>
                <w:sz w:val="16"/>
                <w:szCs w:val="16"/>
                <w:lang w:val="de-CH"/>
              </w:rPr>
            </w:pPr>
            <w:r w:rsidRPr="00DE3CF0">
              <w:rPr>
                <w:sz w:val="16"/>
                <w:lang w:val="de-CH"/>
              </w:rPr>
              <w:t>Beurteilung der organisatorischen Trennung zwischen den Abteilungen, die Risiken eingehen, und den Abteilungen, die die Risiken überwachen (z. B. angemessene betriebsinterne Funktionentrennung zwischen Kreditgeschäft, Handel, Vermögensverwaltung und Abwicklung [</w:t>
            </w:r>
            <w:r w:rsidRPr="00C06A90">
              <w:rPr>
                <w:sz w:val="16"/>
                <w:lang w:val="de-CH"/>
              </w:rPr>
              <w:t xml:space="preserve">Art. 12 </w:t>
            </w:r>
            <w:r w:rsidR="00F158FD" w:rsidRPr="00C06A90">
              <w:rPr>
                <w:sz w:val="16"/>
                <w:lang w:val="de-CH"/>
              </w:rPr>
              <w:t>BankV</w:t>
            </w:r>
            <w:r w:rsidR="00F158FD" w:rsidRPr="00222D10">
              <w:rPr>
                <w:sz w:val="16"/>
                <w:lang w:val="de-CH"/>
              </w:rPr>
              <w:t xml:space="preserve"> </w:t>
            </w:r>
            <w:r w:rsidRPr="00222D10">
              <w:rPr>
                <w:sz w:val="16"/>
                <w:lang w:val="de-CH"/>
              </w:rPr>
              <w:t>/ Art. </w:t>
            </w:r>
            <w:r w:rsidR="00FF2DF9">
              <w:rPr>
                <w:sz w:val="16"/>
                <w:lang w:val="de-CH"/>
              </w:rPr>
              <w:t>67</w:t>
            </w:r>
            <w:r w:rsidRPr="00222D10">
              <w:rPr>
                <w:sz w:val="16"/>
                <w:lang w:val="de-CH"/>
              </w:rPr>
              <w:t> </w:t>
            </w:r>
            <w:r w:rsidR="00FF2DF9">
              <w:rPr>
                <w:sz w:val="16"/>
                <w:lang w:val="de-CH"/>
              </w:rPr>
              <w:t>FINIV</w:t>
            </w:r>
            <w:r w:rsidRPr="00222D10">
              <w:rPr>
                <w:sz w:val="16"/>
                <w:lang w:val="de-CH"/>
              </w:rPr>
              <w:t>]).</w:t>
            </w:r>
          </w:p>
        </w:tc>
        <w:tc>
          <w:tcPr>
            <w:tcW w:w="3827" w:type="dxa"/>
            <w:shd w:val="clear" w:color="auto" w:fill="auto"/>
          </w:tcPr>
          <w:p w14:paraId="6D608DE1" w14:textId="2A0FCADE" w:rsidR="00A7464F" w:rsidRPr="00885CAE" w:rsidRDefault="00A7464F" w:rsidP="001038EF">
            <w:pPr>
              <w:spacing w:before="0" w:after="0" w:line="240" w:lineRule="auto"/>
              <w:rPr>
                <w:rFonts w:cs="Arial"/>
                <w:sz w:val="16"/>
                <w:szCs w:val="16"/>
                <w:lang w:val="de-CH"/>
              </w:rPr>
            </w:pPr>
          </w:p>
        </w:tc>
        <w:tc>
          <w:tcPr>
            <w:tcW w:w="3431" w:type="dxa"/>
            <w:shd w:val="clear" w:color="auto" w:fill="auto"/>
          </w:tcPr>
          <w:p w14:paraId="6D608DE2" w14:textId="77777777" w:rsidR="00A7464F" w:rsidRPr="00885CAE" w:rsidRDefault="00A7464F" w:rsidP="001038EF">
            <w:pPr>
              <w:spacing w:before="0" w:after="0" w:line="240" w:lineRule="auto"/>
              <w:rPr>
                <w:rFonts w:cs="Arial"/>
                <w:sz w:val="16"/>
                <w:szCs w:val="16"/>
                <w:highlight w:val="cyan"/>
                <w:lang w:val="de-CH"/>
              </w:rPr>
            </w:pPr>
          </w:p>
        </w:tc>
        <w:tc>
          <w:tcPr>
            <w:tcW w:w="1247" w:type="dxa"/>
            <w:shd w:val="clear" w:color="auto" w:fill="auto"/>
          </w:tcPr>
          <w:p w14:paraId="6D608DE3" w14:textId="77777777" w:rsidR="00A7464F" w:rsidRPr="00885CAE" w:rsidRDefault="00A7464F" w:rsidP="001038EF">
            <w:pPr>
              <w:spacing w:before="0" w:after="0" w:line="240" w:lineRule="auto"/>
              <w:rPr>
                <w:rFonts w:cs="Arial"/>
                <w:sz w:val="16"/>
                <w:szCs w:val="16"/>
                <w:lang w:val="de-CH"/>
              </w:rPr>
            </w:pPr>
          </w:p>
        </w:tc>
      </w:tr>
      <w:tr w:rsidR="00747D84" w:rsidRPr="00885CAE" w14:paraId="6D608DED" w14:textId="77777777" w:rsidTr="004956B5">
        <w:tc>
          <w:tcPr>
            <w:tcW w:w="531" w:type="dxa"/>
            <w:vMerge w:val="restart"/>
            <w:shd w:val="clear" w:color="auto" w:fill="auto"/>
          </w:tcPr>
          <w:p w14:paraId="6D608DE5" w14:textId="77777777" w:rsidR="00747D84" w:rsidRPr="00885CAE" w:rsidRDefault="00747D84" w:rsidP="001038EF">
            <w:pPr>
              <w:spacing w:before="0" w:after="0" w:line="240" w:lineRule="auto"/>
              <w:rPr>
                <w:rFonts w:cs="Arial"/>
                <w:sz w:val="16"/>
                <w:szCs w:val="16"/>
                <w:lang w:val="de-CH"/>
              </w:rPr>
            </w:pPr>
          </w:p>
        </w:tc>
        <w:tc>
          <w:tcPr>
            <w:tcW w:w="1596" w:type="dxa"/>
            <w:vMerge w:val="restart"/>
            <w:shd w:val="clear" w:color="auto" w:fill="auto"/>
          </w:tcPr>
          <w:p w14:paraId="6D608DE6" w14:textId="77777777" w:rsidR="004E2F84" w:rsidRPr="00885CAE" w:rsidRDefault="004E2F84" w:rsidP="004E2F84">
            <w:pPr>
              <w:spacing w:before="0" w:after="0" w:line="240" w:lineRule="auto"/>
              <w:rPr>
                <w:b/>
                <w:sz w:val="16"/>
                <w:szCs w:val="16"/>
                <w:lang w:val="de-CH"/>
              </w:rPr>
            </w:pPr>
            <w:r w:rsidRPr="00885CAE">
              <w:rPr>
                <w:b/>
                <w:sz w:val="16"/>
                <w:lang w:val="de-CH"/>
              </w:rPr>
              <w:t>Angemessenheit der internen Organisation</w:t>
            </w:r>
          </w:p>
          <w:p w14:paraId="6D608DE7" w14:textId="77777777" w:rsidR="004E2F84" w:rsidRPr="00885CAE" w:rsidRDefault="004E2F84" w:rsidP="001038EF">
            <w:pPr>
              <w:spacing w:before="0" w:after="0" w:line="240" w:lineRule="auto"/>
              <w:rPr>
                <w:b/>
                <w:sz w:val="16"/>
                <w:szCs w:val="16"/>
                <w:lang w:val="de-CH"/>
              </w:rPr>
            </w:pPr>
          </w:p>
          <w:p w14:paraId="6D608DE8" w14:textId="77777777" w:rsidR="00747D84" w:rsidRPr="00885CAE" w:rsidRDefault="00982F4E" w:rsidP="001038EF">
            <w:pPr>
              <w:spacing w:before="0" w:after="0" w:line="240" w:lineRule="auto"/>
              <w:rPr>
                <w:sz w:val="16"/>
                <w:szCs w:val="16"/>
                <w:lang w:val="de-CH"/>
              </w:rPr>
            </w:pPr>
            <w:r w:rsidRPr="00885CAE">
              <w:rPr>
                <w:sz w:val="16"/>
                <w:lang w:val="de-CH"/>
              </w:rPr>
              <w:t>(Stellenbeschreibungen)</w:t>
            </w:r>
          </w:p>
        </w:tc>
        <w:tc>
          <w:tcPr>
            <w:tcW w:w="3685" w:type="dxa"/>
            <w:shd w:val="clear" w:color="auto" w:fill="auto"/>
          </w:tcPr>
          <w:p w14:paraId="6D608DE9" w14:textId="77777777" w:rsidR="00747D84" w:rsidRPr="00885CAE" w:rsidRDefault="00747D84">
            <w:pPr>
              <w:spacing w:before="0" w:after="0" w:line="240" w:lineRule="auto"/>
              <w:rPr>
                <w:rFonts w:cs="Arial"/>
                <w:sz w:val="16"/>
                <w:szCs w:val="16"/>
                <w:lang w:val="de-CH"/>
              </w:rPr>
            </w:pPr>
            <w:r w:rsidRPr="00885CAE">
              <w:rPr>
                <w:i/>
                <w:sz w:val="16"/>
                <w:lang w:val="de-CH"/>
              </w:rPr>
              <w:t>Beurteilung der allgemeinen Angemessenheit von Stellenbeschreibungen nach Massgabe der Grösse und der Geschäfts- und Organisationskomplexität des Instituts, namentlich</w:t>
            </w:r>
          </w:p>
        </w:tc>
        <w:tc>
          <w:tcPr>
            <w:tcW w:w="3827" w:type="dxa"/>
            <w:shd w:val="clear" w:color="auto" w:fill="auto"/>
          </w:tcPr>
          <w:p w14:paraId="6D608DEA" w14:textId="77777777" w:rsidR="00747D84" w:rsidRPr="00885CAE" w:rsidRDefault="00747D84" w:rsidP="00747D84">
            <w:pPr>
              <w:spacing w:before="0" w:after="0" w:line="240" w:lineRule="auto"/>
              <w:rPr>
                <w:sz w:val="16"/>
                <w:szCs w:val="16"/>
                <w:lang w:val="de-CH"/>
              </w:rPr>
            </w:pPr>
          </w:p>
        </w:tc>
        <w:tc>
          <w:tcPr>
            <w:tcW w:w="3431" w:type="dxa"/>
            <w:shd w:val="clear" w:color="auto" w:fill="auto"/>
          </w:tcPr>
          <w:p w14:paraId="6D608DEB" w14:textId="77777777" w:rsidR="00747D84" w:rsidRPr="00885CAE" w:rsidRDefault="00747D84" w:rsidP="001038EF">
            <w:pPr>
              <w:spacing w:before="0" w:after="0" w:line="240" w:lineRule="auto"/>
              <w:rPr>
                <w:rFonts w:cs="Arial"/>
                <w:sz w:val="16"/>
                <w:szCs w:val="16"/>
                <w:highlight w:val="cyan"/>
                <w:lang w:val="de-CH"/>
              </w:rPr>
            </w:pPr>
          </w:p>
        </w:tc>
        <w:tc>
          <w:tcPr>
            <w:tcW w:w="1247" w:type="dxa"/>
            <w:shd w:val="clear" w:color="auto" w:fill="auto"/>
          </w:tcPr>
          <w:p w14:paraId="6D608DEC" w14:textId="77777777" w:rsidR="00747D84" w:rsidRPr="00885CAE" w:rsidRDefault="00747D84" w:rsidP="001038EF">
            <w:pPr>
              <w:spacing w:before="0" w:after="0" w:line="240" w:lineRule="auto"/>
              <w:rPr>
                <w:rFonts w:cs="Arial"/>
                <w:sz w:val="16"/>
                <w:szCs w:val="16"/>
                <w:lang w:val="de-CH"/>
              </w:rPr>
            </w:pPr>
          </w:p>
        </w:tc>
      </w:tr>
      <w:tr w:rsidR="00052219" w:rsidRPr="00885CAE" w14:paraId="6D608DFB" w14:textId="77777777" w:rsidTr="004956B5">
        <w:tc>
          <w:tcPr>
            <w:tcW w:w="531" w:type="dxa"/>
            <w:vMerge/>
            <w:shd w:val="clear" w:color="auto" w:fill="auto"/>
          </w:tcPr>
          <w:p w14:paraId="6D608DEE" w14:textId="77777777" w:rsidR="00052219" w:rsidRPr="00885CAE" w:rsidRDefault="00052219" w:rsidP="001038EF">
            <w:pPr>
              <w:spacing w:before="0" w:after="0" w:line="240" w:lineRule="auto"/>
              <w:rPr>
                <w:rFonts w:cs="Arial"/>
                <w:sz w:val="16"/>
                <w:szCs w:val="16"/>
                <w:lang w:val="de-CH"/>
              </w:rPr>
            </w:pPr>
          </w:p>
        </w:tc>
        <w:tc>
          <w:tcPr>
            <w:tcW w:w="1596" w:type="dxa"/>
            <w:vMerge/>
            <w:shd w:val="clear" w:color="auto" w:fill="auto"/>
          </w:tcPr>
          <w:p w14:paraId="6D608DEF" w14:textId="77777777" w:rsidR="00052219" w:rsidRPr="00885CAE" w:rsidRDefault="00052219" w:rsidP="001038EF">
            <w:pPr>
              <w:spacing w:before="0" w:after="0" w:line="240" w:lineRule="auto"/>
              <w:rPr>
                <w:b/>
                <w:sz w:val="16"/>
                <w:szCs w:val="16"/>
                <w:lang w:val="de-CH"/>
              </w:rPr>
            </w:pPr>
          </w:p>
        </w:tc>
        <w:tc>
          <w:tcPr>
            <w:tcW w:w="3685" w:type="dxa"/>
            <w:shd w:val="clear" w:color="auto" w:fill="auto"/>
          </w:tcPr>
          <w:p w14:paraId="6D608DF0" w14:textId="77777777" w:rsidR="00052219" w:rsidRPr="00885CAE" w:rsidRDefault="00052219">
            <w:pPr>
              <w:spacing w:before="0" w:after="0" w:line="240" w:lineRule="auto"/>
              <w:rPr>
                <w:sz w:val="16"/>
                <w:szCs w:val="16"/>
                <w:lang w:val="de-CH"/>
              </w:rPr>
            </w:pPr>
            <w:r w:rsidRPr="00885CAE">
              <w:rPr>
                <w:sz w:val="16"/>
                <w:lang w:val="de-CH"/>
              </w:rPr>
              <w:t>Beurteilung, ob Stellenbeschreibungen für Schlüsselmitarbeitende verfügbar sind und auf einheitlichen, adäquaten Vorgaben (Form, Inhalt, Genehmigung, Kontrollprozesse) basieren.</w:t>
            </w:r>
          </w:p>
        </w:tc>
        <w:tc>
          <w:tcPr>
            <w:tcW w:w="3827" w:type="dxa"/>
            <w:shd w:val="clear" w:color="auto" w:fill="auto"/>
          </w:tcPr>
          <w:p w14:paraId="6D608DF1" w14:textId="75A2F764" w:rsidR="00052219" w:rsidRPr="00885CAE" w:rsidRDefault="00052219">
            <w:pPr>
              <w:spacing w:before="0" w:after="0" w:line="240" w:lineRule="auto"/>
              <w:rPr>
                <w:rFonts w:cs="Arial"/>
                <w:sz w:val="16"/>
                <w:szCs w:val="16"/>
                <w:lang w:val="de-CH"/>
              </w:rPr>
            </w:pPr>
            <w:r w:rsidRPr="00EF5567">
              <w:rPr>
                <w:sz w:val="16"/>
                <w:lang w:val="de-CH"/>
              </w:rPr>
              <w:t>Beurteilung</w:t>
            </w:r>
            <w:r w:rsidRPr="00885CAE">
              <w:rPr>
                <w:sz w:val="16"/>
                <w:lang w:val="de-CH"/>
              </w:rPr>
              <w:t xml:space="preserve"> </w:t>
            </w:r>
            <w:r w:rsidR="00223F6D">
              <w:rPr>
                <w:sz w:val="16"/>
                <w:lang w:val="de-CH"/>
              </w:rPr>
              <w:t>auf Basis</w:t>
            </w:r>
            <w:r w:rsidRPr="00885CAE">
              <w:rPr>
                <w:sz w:val="16"/>
                <w:lang w:val="de-CH"/>
              </w:rPr>
              <w:t xml:space="preserve"> einer angemessenen Stichprobe von Stellenbeschreibungen</w:t>
            </w:r>
            <w:r w:rsidR="00FB11C3">
              <w:rPr>
                <w:sz w:val="16"/>
                <w:lang w:val="de-CH"/>
              </w:rPr>
              <w:t xml:space="preserve"> oder andere</w:t>
            </w:r>
            <w:r w:rsidR="00EF5567">
              <w:rPr>
                <w:sz w:val="16"/>
                <w:lang w:val="de-CH"/>
              </w:rPr>
              <w:t>n</w:t>
            </w:r>
            <w:r w:rsidR="00FB11C3">
              <w:rPr>
                <w:sz w:val="16"/>
                <w:lang w:val="de-CH"/>
              </w:rPr>
              <w:t xml:space="preserve"> geeignete</w:t>
            </w:r>
            <w:r w:rsidR="00EF5567">
              <w:rPr>
                <w:sz w:val="16"/>
                <w:lang w:val="de-CH"/>
              </w:rPr>
              <w:t>n</w:t>
            </w:r>
            <w:r w:rsidR="00FB11C3">
              <w:rPr>
                <w:sz w:val="16"/>
                <w:lang w:val="de-CH"/>
              </w:rPr>
              <w:t xml:space="preserve"> Dokumente</w:t>
            </w:r>
            <w:r w:rsidR="00EF5567">
              <w:rPr>
                <w:sz w:val="16"/>
                <w:lang w:val="de-CH"/>
              </w:rPr>
              <w:t>n</w:t>
            </w:r>
            <w:r w:rsidRPr="00885CAE">
              <w:rPr>
                <w:sz w:val="16"/>
                <w:lang w:val="de-CH"/>
              </w:rPr>
              <w:t xml:space="preserve"> </w:t>
            </w:r>
            <w:r w:rsidRPr="00651702">
              <w:rPr>
                <w:sz w:val="16"/>
                <w:lang w:val="de-CH"/>
              </w:rPr>
              <w:t>für Schlüsselmitarbeitende</w:t>
            </w:r>
            <w:r w:rsidR="00A46BB1" w:rsidRPr="00651702">
              <w:rPr>
                <w:sz w:val="16"/>
                <w:lang w:val="de-CH"/>
              </w:rPr>
              <w:t>, ob</w:t>
            </w:r>
            <w:r w:rsidR="00A46BB1" w:rsidRPr="00885CAE">
              <w:rPr>
                <w:sz w:val="16"/>
                <w:lang w:val="de-CH"/>
              </w:rPr>
              <w:t xml:space="preserve"> die folgenden Aspekte </w:t>
            </w:r>
            <w:r w:rsidR="00A46BB1">
              <w:rPr>
                <w:sz w:val="16"/>
                <w:lang w:val="de-CH"/>
              </w:rPr>
              <w:t>detailliert</w:t>
            </w:r>
            <w:r w:rsidR="00A46BB1" w:rsidRPr="00885CAE">
              <w:rPr>
                <w:sz w:val="16"/>
                <w:lang w:val="de-CH"/>
              </w:rPr>
              <w:t xml:space="preserve"> berücksichtigt werden</w:t>
            </w:r>
            <w:r w:rsidR="00A46BB1">
              <w:rPr>
                <w:sz w:val="16"/>
                <w:lang w:val="de-CH"/>
              </w:rPr>
              <w:t>:</w:t>
            </w:r>
          </w:p>
          <w:p w14:paraId="6D608DF2" w14:textId="77777777" w:rsidR="00052219" w:rsidRPr="00885CAE" w:rsidRDefault="00052219" w:rsidP="00250F35">
            <w:pPr>
              <w:pStyle w:val="Aufzhlungszeichen"/>
              <w:spacing w:before="0" w:after="0" w:line="240" w:lineRule="auto"/>
              <w:rPr>
                <w:sz w:val="16"/>
                <w:szCs w:val="16"/>
                <w:lang w:val="de-CH"/>
              </w:rPr>
            </w:pPr>
            <w:r w:rsidRPr="00885CAE">
              <w:rPr>
                <w:sz w:val="16"/>
                <w:lang w:val="de-CH"/>
              </w:rPr>
              <w:t>Beschreibung von Verantwortlichkeiten</w:t>
            </w:r>
          </w:p>
          <w:p w14:paraId="6D608DF3" w14:textId="77777777" w:rsidR="00052219" w:rsidRPr="00885CAE" w:rsidRDefault="00052219" w:rsidP="00250F35">
            <w:pPr>
              <w:pStyle w:val="Aufzhlungszeichen"/>
              <w:spacing w:before="0" w:after="0" w:line="240" w:lineRule="auto"/>
              <w:ind w:left="357" w:hanging="357"/>
              <w:rPr>
                <w:sz w:val="16"/>
                <w:szCs w:val="16"/>
                <w:lang w:val="de-CH"/>
              </w:rPr>
            </w:pPr>
            <w:r w:rsidRPr="00885CAE">
              <w:rPr>
                <w:sz w:val="16"/>
                <w:lang w:val="de-CH"/>
              </w:rPr>
              <w:t>Beschreibung von Kompetenzen</w:t>
            </w:r>
          </w:p>
          <w:p w14:paraId="6D608DF4" w14:textId="77777777" w:rsidR="00052219" w:rsidRPr="00885CAE" w:rsidRDefault="00052219" w:rsidP="00250F35">
            <w:pPr>
              <w:pStyle w:val="Aufzhlungszeichen"/>
              <w:spacing w:before="0" w:after="0" w:line="240" w:lineRule="auto"/>
              <w:rPr>
                <w:sz w:val="16"/>
                <w:szCs w:val="16"/>
                <w:lang w:val="de-CH"/>
              </w:rPr>
            </w:pPr>
            <w:r w:rsidRPr="00885CAE">
              <w:rPr>
                <w:sz w:val="16"/>
                <w:lang w:val="de-CH"/>
              </w:rPr>
              <w:t>Definition von Berichtslinien</w:t>
            </w:r>
          </w:p>
          <w:p w14:paraId="6D608DF5" w14:textId="77777777" w:rsidR="00052219" w:rsidRPr="00885CAE" w:rsidRDefault="00052219" w:rsidP="00250F35">
            <w:pPr>
              <w:pStyle w:val="Aufzhlungszeichen"/>
              <w:spacing w:before="0" w:after="0" w:line="240" w:lineRule="auto"/>
              <w:rPr>
                <w:sz w:val="16"/>
                <w:szCs w:val="16"/>
                <w:lang w:val="de-CH"/>
              </w:rPr>
            </w:pPr>
            <w:r w:rsidRPr="00885CAE">
              <w:rPr>
                <w:sz w:val="16"/>
                <w:lang w:val="de-CH"/>
              </w:rPr>
              <w:t>Definition von Eskalationslinien</w:t>
            </w:r>
          </w:p>
          <w:p w14:paraId="6D608DF6" w14:textId="77777777" w:rsidR="00B117EC" w:rsidRPr="00885CAE" w:rsidRDefault="00B117EC" w:rsidP="00250F35">
            <w:pPr>
              <w:pStyle w:val="Aufzhlungszeichen"/>
              <w:spacing w:before="0" w:after="0" w:line="240" w:lineRule="auto"/>
              <w:rPr>
                <w:sz w:val="16"/>
                <w:szCs w:val="16"/>
                <w:lang w:val="de-CH"/>
              </w:rPr>
            </w:pPr>
            <w:r w:rsidRPr="00885CAE">
              <w:rPr>
                <w:sz w:val="16"/>
                <w:lang w:val="de-CH"/>
              </w:rPr>
              <w:t>Genehmigung von Stellenbeschreibungen</w:t>
            </w:r>
          </w:p>
          <w:p w14:paraId="6D608DF7" w14:textId="77777777" w:rsidR="00052219" w:rsidRPr="00885CAE" w:rsidRDefault="00052219" w:rsidP="00250F35">
            <w:pPr>
              <w:pStyle w:val="Aufzhlungszeichen"/>
              <w:spacing w:before="0" w:line="240" w:lineRule="auto"/>
              <w:ind w:left="357" w:hanging="357"/>
              <w:contextualSpacing w:val="0"/>
              <w:rPr>
                <w:sz w:val="16"/>
                <w:szCs w:val="16"/>
                <w:lang w:val="de-CH"/>
              </w:rPr>
            </w:pPr>
            <w:r w:rsidRPr="00885CAE">
              <w:rPr>
                <w:sz w:val="16"/>
                <w:lang w:val="de-CH"/>
              </w:rPr>
              <w:t>Aktualität bereitgestellter Informationen</w:t>
            </w:r>
          </w:p>
          <w:p w14:paraId="6D608DF8" w14:textId="77777777" w:rsidR="00052219" w:rsidRPr="00885CAE" w:rsidRDefault="00052219">
            <w:pPr>
              <w:spacing w:before="0" w:after="0" w:line="240" w:lineRule="auto"/>
              <w:rPr>
                <w:rFonts w:cs="Arial"/>
                <w:i/>
                <w:sz w:val="16"/>
                <w:szCs w:val="16"/>
                <w:lang w:val="de-CH"/>
              </w:rPr>
            </w:pPr>
            <w:r w:rsidRPr="00885CAE">
              <w:rPr>
                <w:sz w:val="16"/>
                <w:lang w:val="de-CH"/>
              </w:rPr>
              <w:t>Vergleich und Bewertung der Angemessenheit der Stellenbeschreibungen in Bezug auf die tatsächlichen Tätigkeiten der Mitarbeitenden auf Stichprobenbasis.</w:t>
            </w:r>
          </w:p>
        </w:tc>
        <w:tc>
          <w:tcPr>
            <w:tcW w:w="3431" w:type="dxa"/>
            <w:shd w:val="clear" w:color="auto" w:fill="auto"/>
          </w:tcPr>
          <w:p w14:paraId="6D608DF9" w14:textId="77777777" w:rsidR="00052219" w:rsidRPr="00885CAE" w:rsidRDefault="00052219" w:rsidP="001038EF">
            <w:pPr>
              <w:spacing w:before="0" w:after="0" w:line="240" w:lineRule="auto"/>
              <w:rPr>
                <w:rFonts w:cs="Arial"/>
                <w:sz w:val="16"/>
                <w:szCs w:val="16"/>
                <w:highlight w:val="cyan"/>
                <w:lang w:val="de-CH"/>
              </w:rPr>
            </w:pPr>
          </w:p>
        </w:tc>
        <w:tc>
          <w:tcPr>
            <w:tcW w:w="1247" w:type="dxa"/>
            <w:shd w:val="clear" w:color="auto" w:fill="auto"/>
          </w:tcPr>
          <w:p w14:paraId="6D608DFA" w14:textId="77777777" w:rsidR="00052219" w:rsidRPr="00885CAE" w:rsidRDefault="00052219" w:rsidP="001038EF">
            <w:pPr>
              <w:spacing w:before="0" w:after="0" w:line="240" w:lineRule="auto"/>
              <w:rPr>
                <w:rFonts w:cs="Arial"/>
                <w:sz w:val="16"/>
                <w:szCs w:val="16"/>
                <w:lang w:val="de-CH"/>
              </w:rPr>
            </w:pPr>
          </w:p>
        </w:tc>
      </w:tr>
      <w:tr w:rsidR="001C7622" w:rsidRPr="00885CAE" w14:paraId="6D608E04" w14:textId="77777777" w:rsidTr="004956B5">
        <w:tc>
          <w:tcPr>
            <w:tcW w:w="531" w:type="dxa"/>
            <w:vMerge w:val="restart"/>
            <w:shd w:val="clear" w:color="auto" w:fill="auto"/>
          </w:tcPr>
          <w:p w14:paraId="6D608DFC" w14:textId="77777777" w:rsidR="001C7622" w:rsidRPr="00885CAE" w:rsidRDefault="001C7622" w:rsidP="00166DBD">
            <w:pPr>
              <w:spacing w:before="0" w:after="0" w:line="240" w:lineRule="auto"/>
              <w:rPr>
                <w:rFonts w:cs="Arial"/>
                <w:sz w:val="16"/>
                <w:szCs w:val="16"/>
                <w:lang w:val="de-CH"/>
              </w:rPr>
            </w:pPr>
          </w:p>
        </w:tc>
        <w:tc>
          <w:tcPr>
            <w:tcW w:w="1596" w:type="dxa"/>
            <w:vMerge w:val="restart"/>
            <w:shd w:val="clear" w:color="auto" w:fill="auto"/>
          </w:tcPr>
          <w:p w14:paraId="6D608DFD" w14:textId="77777777" w:rsidR="001C7622" w:rsidRPr="00DE3CF0" w:rsidRDefault="001C7622" w:rsidP="005D386E">
            <w:pPr>
              <w:spacing w:before="0" w:after="0" w:line="240" w:lineRule="auto"/>
              <w:rPr>
                <w:b/>
                <w:sz w:val="16"/>
                <w:szCs w:val="16"/>
                <w:lang w:val="de-CH"/>
              </w:rPr>
            </w:pPr>
            <w:r w:rsidRPr="00DE3CF0">
              <w:rPr>
                <w:b/>
                <w:sz w:val="16"/>
                <w:lang w:val="de-CH"/>
              </w:rPr>
              <w:t>Angemessenheit der internen Organisation</w:t>
            </w:r>
          </w:p>
          <w:p w14:paraId="6D608DFE" w14:textId="77777777" w:rsidR="001C7622" w:rsidRPr="00DE3CF0" w:rsidRDefault="001C7622" w:rsidP="005D386E">
            <w:pPr>
              <w:spacing w:before="0" w:after="0" w:line="240" w:lineRule="auto"/>
              <w:rPr>
                <w:b/>
                <w:sz w:val="16"/>
                <w:szCs w:val="16"/>
                <w:lang w:val="de-CH"/>
              </w:rPr>
            </w:pPr>
          </w:p>
          <w:p w14:paraId="6D608DFF" w14:textId="3D6E1760" w:rsidR="001C7622" w:rsidRPr="00DE3CF0" w:rsidRDefault="001C7622" w:rsidP="0063513B">
            <w:pPr>
              <w:spacing w:before="0" w:after="0" w:line="240" w:lineRule="auto"/>
              <w:rPr>
                <w:sz w:val="16"/>
                <w:szCs w:val="16"/>
                <w:lang w:val="de-CH"/>
              </w:rPr>
            </w:pPr>
            <w:r w:rsidRPr="00DE3CF0">
              <w:rPr>
                <w:sz w:val="16"/>
                <w:lang w:val="de-CH"/>
              </w:rPr>
              <w:t>(Verantwortlichkeiten und Kompetenzen [</w:t>
            </w:r>
            <w:proofErr w:type="spellStart"/>
            <w:r w:rsidRPr="00DE3CF0">
              <w:rPr>
                <w:sz w:val="16"/>
                <w:lang w:val="de-CH"/>
              </w:rPr>
              <w:t>checks</w:t>
            </w:r>
            <w:proofErr w:type="spellEnd"/>
            <w:r w:rsidRPr="00DE3CF0">
              <w:rPr>
                <w:sz w:val="16"/>
                <w:lang w:val="de-CH"/>
              </w:rPr>
              <w:t xml:space="preserve"> &amp; </w:t>
            </w:r>
            <w:proofErr w:type="spellStart"/>
            <w:r w:rsidRPr="00DE3CF0">
              <w:rPr>
                <w:sz w:val="16"/>
                <w:lang w:val="de-CH"/>
              </w:rPr>
              <w:t>balances</w:t>
            </w:r>
            <w:proofErr w:type="spellEnd"/>
            <w:r w:rsidRPr="00DE3CF0">
              <w:rPr>
                <w:sz w:val="16"/>
                <w:lang w:val="de-CH"/>
              </w:rPr>
              <w:t>])</w:t>
            </w:r>
          </w:p>
        </w:tc>
        <w:tc>
          <w:tcPr>
            <w:tcW w:w="3685" w:type="dxa"/>
            <w:shd w:val="clear" w:color="auto" w:fill="auto"/>
          </w:tcPr>
          <w:p w14:paraId="6D608E00" w14:textId="77777777" w:rsidR="001C7622" w:rsidRPr="00DE3CF0" w:rsidRDefault="001C7622" w:rsidP="00B938EE">
            <w:pPr>
              <w:spacing w:before="0" w:after="0" w:line="240" w:lineRule="auto"/>
              <w:rPr>
                <w:rFonts w:cs="Arial"/>
                <w:sz w:val="16"/>
                <w:szCs w:val="16"/>
                <w:lang w:val="de-CH"/>
              </w:rPr>
            </w:pPr>
            <w:r w:rsidRPr="00DE3CF0">
              <w:rPr>
                <w:i/>
                <w:sz w:val="16"/>
                <w:lang w:val="de-CH"/>
              </w:rPr>
              <w:t>Beurteilung der allgemeinen Angemessenheit von Verantwortlichkeiten und Kompetenzen nach Massgabe der Grösse und der Geschäfts- und Organisationskomplexität des Instituts, namentlich</w:t>
            </w:r>
          </w:p>
        </w:tc>
        <w:tc>
          <w:tcPr>
            <w:tcW w:w="3827" w:type="dxa"/>
            <w:shd w:val="clear" w:color="auto" w:fill="auto"/>
          </w:tcPr>
          <w:p w14:paraId="6D608E01" w14:textId="77777777" w:rsidR="001C7622" w:rsidRPr="00885CAE" w:rsidRDefault="001C7622" w:rsidP="00166DBD">
            <w:pPr>
              <w:spacing w:before="0" w:after="0" w:line="240" w:lineRule="auto"/>
              <w:rPr>
                <w:rFonts w:cs="Arial"/>
                <w:i/>
                <w:sz w:val="16"/>
                <w:szCs w:val="16"/>
                <w:lang w:val="de-CH"/>
              </w:rPr>
            </w:pPr>
          </w:p>
        </w:tc>
        <w:tc>
          <w:tcPr>
            <w:tcW w:w="3431" w:type="dxa"/>
            <w:shd w:val="clear" w:color="auto" w:fill="auto"/>
          </w:tcPr>
          <w:p w14:paraId="6D608E02" w14:textId="77777777" w:rsidR="001C7622" w:rsidRPr="00885CAE" w:rsidRDefault="001C7622" w:rsidP="00166DBD">
            <w:pPr>
              <w:spacing w:before="0" w:after="0" w:line="240" w:lineRule="auto"/>
              <w:rPr>
                <w:rFonts w:cs="Arial"/>
                <w:sz w:val="16"/>
                <w:szCs w:val="16"/>
                <w:highlight w:val="cyan"/>
                <w:lang w:val="de-CH"/>
              </w:rPr>
            </w:pPr>
          </w:p>
        </w:tc>
        <w:tc>
          <w:tcPr>
            <w:tcW w:w="1247" w:type="dxa"/>
            <w:shd w:val="clear" w:color="auto" w:fill="auto"/>
          </w:tcPr>
          <w:p w14:paraId="6D608E03" w14:textId="77777777" w:rsidR="001C7622" w:rsidRPr="00885CAE" w:rsidRDefault="001C7622" w:rsidP="00166DBD">
            <w:pPr>
              <w:spacing w:before="0" w:after="0" w:line="240" w:lineRule="auto"/>
              <w:rPr>
                <w:rFonts w:cs="Arial"/>
                <w:sz w:val="16"/>
                <w:szCs w:val="16"/>
                <w:lang w:val="de-CH"/>
              </w:rPr>
            </w:pPr>
          </w:p>
        </w:tc>
      </w:tr>
      <w:tr w:rsidR="001C7622" w:rsidRPr="00885CAE" w14:paraId="6D608E0B" w14:textId="77777777" w:rsidTr="004956B5">
        <w:tc>
          <w:tcPr>
            <w:tcW w:w="531" w:type="dxa"/>
            <w:vMerge/>
            <w:shd w:val="clear" w:color="auto" w:fill="auto"/>
          </w:tcPr>
          <w:p w14:paraId="6D608E05" w14:textId="77777777" w:rsidR="001C7622" w:rsidRPr="00885CAE" w:rsidRDefault="001C7622" w:rsidP="00166DBD">
            <w:pPr>
              <w:spacing w:before="0" w:after="0" w:line="240" w:lineRule="auto"/>
              <w:rPr>
                <w:rFonts w:cs="Arial"/>
                <w:sz w:val="16"/>
                <w:szCs w:val="16"/>
                <w:lang w:val="de-CH"/>
              </w:rPr>
            </w:pPr>
          </w:p>
        </w:tc>
        <w:tc>
          <w:tcPr>
            <w:tcW w:w="1596" w:type="dxa"/>
            <w:vMerge/>
            <w:shd w:val="clear" w:color="auto" w:fill="auto"/>
          </w:tcPr>
          <w:p w14:paraId="6D608E06" w14:textId="77777777" w:rsidR="001C7622" w:rsidRPr="00DE3CF0" w:rsidRDefault="001C7622" w:rsidP="005D386E">
            <w:pPr>
              <w:spacing w:before="0" w:after="0" w:line="240" w:lineRule="auto"/>
              <w:rPr>
                <w:b/>
                <w:sz w:val="16"/>
                <w:szCs w:val="16"/>
                <w:lang w:val="de-CH"/>
              </w:rPr>
            </w:pPr>
          </w:p>
        </w:tc>
        <w:tc>
          <w:tcPr>
            <w:tcW w:w="3685" w:type="dxa"/>
            <w:shd w:val="clear" w:color="auto" w:fill="auto"/>
          </w:tcPr>
          <w:p w14:paraId="6D608E07" w14:textId="77777777" w:rsidR="001C7622" w:rsidRPr="00DE3CF0" w:rsidRDefault="001C7622" w:rsidP="00B938EE">
            <w:pPr>
              <w:spacing w:before="0" w:after="0" w:line="240" w:lineRule="auto"/>
              <w:rPr>
                <w:rFonts w:cs="Arial"/>
                <w:sz w:val="16"/>
                <w:szCs w:val="16"/>
                <w:lang w:val="de-CH"/>
              </w:rPr>
            </w:pPr>
            <w:r w:rsidRPr="00DE3CF0">
              <w:rPr>
                <w:sz w:val="16"/>
                <w:lang w:val="de-CH"/>
              </w:rPr>
              <w:t>Beurteilung, ob das Institut Verantwortlichkeiten und Kompetenzen seiner Schlüsselfunktionen in schriftlichen Richtlinien festgelegt hat, die den jeweiligen Personen bekannt sind und zur Verfügung stehen.</w:t>
            </w:r>
          </w:p>
        </w:tc>
        <w:tc>
          <w:tcPr>
            <w:tcW w:w="3827" w:type="dxa"/>
            <w:shd w:val="clear" w:color="auto" w:fill="auto"/>
          </w:tcPr>
          <w:p w14:paraId="6D608E08" w14:textId="77777777" w:rsidR="001C7622" w:rsidRPr="00885CAE" w:rsidDel="00A93E43" w:rsidRDefault="001C7622" w:rsidP="00EC4365">
            <w:pPr>
              <w:spacing w:before="0" w:after="0" w:line="240" w:lineRule="auto"/>
              <w:rPr>
                <w:rFonts w:cs="Arial"/>
                <w:sz w:val="16"/>
                <w:szCs w:val="16"/>
                <w:lang w:val="de-CH"/>
              </w:rPr>
            </w:pPr>
          </w:p>
        </w:tc>
        <w:tc>
          <w:tcPr>
            <w:tcW w:w="3431" w:type="dxa"/>
            <w:shd w:val="clear" w:color="auto" w:fill="auto"/>
          </w:tcPr>
          <w:p w14:paraId="6D608E09" w14:textId="77777777" w:rsidR="001C7622" w:rsidRPr="00885CAE" w:rsidRDefault="001C7622" w:rsidP="00166DBD">
            <w:pPr>
              <w:spacing w:before="0" w:after="0" w:line="240" w:lineRule="auto"/>
              <w:rPr>
                <w:rFonts w:cs="Arial"/>
                <w:sz w:val="16"/>
                <w:szCs w:val="16"/>
                <w:highlight w:val="cyan"/>
                <w:lang w:val="de-CH"/>
              </w:rPr>
            </w:pPr>
          </w:p>
        </w:tc>
        <w:tc>
          <w:tcPr>
            <w:tcW w:w="1247" w:type="dxa"/>
            <w:shd w:val="clear" w:color="auto" w:fill="auto"/>
          </w:tcPr>
          <w:p w14:paraId="6D608E0A" w14:textId="77777777" w:rsidR="001C7622" w:rsidRPr="00885CAE" w:rsidRDefault="001C7622" w:rsidP="00166DBD">
            <w:pPr>
              <w:spacing w:before="0" w:after="0" w:line="240" w:lineRule="auto"/>
              <w:rPr>
                <w:rFonts w:cs="Arial"/>
                <w:sz w:val="16"/>
                <w:szCs w:val="16"/>
                <w:lang w:val="de-CH"/>
              </w:rPr>
            </w:pPr>
          </w:p>
        </w:tc>
      </w:tr>
      <w:tr w:rsidR="001C7622" w:rsidRPr="00885CAE" w14:paraId="3073ECED" w14:textId="77777777" w:rsidTr="004956B5">
        <w:tc>
          <w:tcPr>
            <w:tcW w:w="531" w:type="dxa"/>
            <w:shd w:val="clear" w:color="auto" w:fill="auto"/>
          </w:tcPr>
          <w:p w14:paraId="173A704C" w14:textId="77777777" w:rsidR="001C7622" w:rsidRPr="00885CAE" w:rsidRDefault="001C7622" w:rsidP="00166DBD">
            <w:pPr>
              <w:spacing w:before="0" w:after="0" w:line="240" w:lineRule="auto"/>
              <w:rPr>
                <w:rFonts w:cs="Arial"/>
                <w:sz w:val="16"/>
                <w:szCs w:val="16"/>
                <w:lang w:val="de-CH"/>
              </w:rPr>
            </w:pPr>
          </w:p>
        </w:tc>
        <w:tc>
          <w:tcPr>
            <w:tcW w:w="1596" w:type="dxa"/>
            <w:vMerge/>
            <w:shd w:val="clear" w:color="auto" w:fill="auto"/>
          </w:tcPr>
          <w:p w14:paraId="37F2D493" w14:textId="77777777" w:rsidR="001C7622" w:rsidRPr="00DE3CF0" w:rsidRDefault="001C7622" w:rsidP="005D386E">
            <w:pPr>
              <w:spacing w:before="0" w:after="0" w:line="240" w:lineRule="auto"/>
              <w:rPr>
                <w:b/>
                <w:sz w:val="16"/>
                <w:szCs w:val="16"/>
                <w:lang w:val="de-CH"/>
              </w:rPr>
            </w:pPr>
          </w:p>
        </w:tc>
        <w:tc>
          <w:tcPr>
            <w:tcW w:w="3685" w:type="dxa"/>
            <w:shd w:val="clear" w:color="auto" w:fill="auto"/>
          </w:tcPr>
          <w:p w14:paraId="79D1D162" w14:textId="69FDBBE7" w:rsidR="001C7622" w:rsidRPr="00DE3CF0" w:rsidRDefault="001C7622" w:rsidP="00B938EE">
            <w:pPr>
              <w:spacing w:before="0" w:after="0" w:line="240" w:lineRule="auto"/>
              <w:rPr>
                <w:sz w:val="16"/>
                <w:lang w:val="de-CH"/>
              </w:rPr>
            </w:pPr>
            <w:r w:rsidRPr="00DE3CF0">
              <w:rPr>
                <w:sz w:val="16"/>
                <w:lang w:val="de-CH"/>
              </w:rPr>
              <w:t>Beurteilung, ob das Oberleitungsorgan sowie die Geschäftsleitung über hinreichende Führungskompetenzen und die nötigen Fachkenntnisse und Erfahrung im Bank- und Finanzbereich verfügen und das Oberleitungsorgan überdies genügend diversifiziert ausgestattet ist (</w:t>
            </w:r>
            <w:r w:rsidRPr="00C06A90">
              <w:rPr>
                <w:sz w:val="16"/>
                <w:lang w:val="de-CH"/>
              </w:rPr>
              <w:t>Rz 16 und 51 FINMA-RS 17/1)</w:t>
            </w:r>
          </w:p>
        </w:tc>
        <w:tc>
          <w:tcPr>
            <w:tcW w:w="3827" w:type="dxa"/>
            <w:shd w:val="clear" w:color="auto" w:fill="auto"/>
          </w:tcPr>
          <w:p w14:paraId="015A8F79" w14:textId="77777777" w:rsidR="001C7622" w:rsidRPr="00885CAE" w:rsidDel="00A93E43" w:rsidRDefault="001C7622" w:rsidP="00EC4365">
            <w:pPr>
              <w:spacing w:before="0" w:after="0" w:line="240" w:lineRule="auto"/>
              <w:rPr>
                <w:rFonts w:cs="Arial"/>
                <w:sz w:val="16"/>
                <w:szCs w:val="16"/>
                <w:lang w:val="de-CH"/>
              </w:rPr>
            </w:pPr>
          </w:p>
        </w:tc>
        <w:tc>
          <w:tcPr>
            <w:tcW w:w="3431" w:type="dxa"/>
            <w:shd w:val="clear" w:color="auto" w:fill="auto"/>
          </w:tcPr>
          <w:p w14:paraId="0A3EB39B" w14:textId="77777777" w:rsidR="001C7622" w:rsidRPr="00885CAE" w:rsidRDefault="001C7622" w:rsidP="00166DBD">
            <w:pPr>
              <w:spacing w:before="0" w:after="0" w:line="240" w:lineRule="auto"/>
              <w:rPr>
                <w:rFonts w:cs="Arial"/>
                <w:sz w:val="16"/>
                <w:szCs w:val="16"/>
                <w:highlight w:val="cyan"/>
                <w:lang w:val="de-CH"/>
              </w:rPr>
            </w:pPr>
          </w:p>
        </w:tc>
        <w:tc>
          <w:tcPr>
            <w:tcW w:w="1247" w:type="dxa"/>
            <w:shd w:val="clear" w:color="auto" w:fill="auto"/>
          </w:tcPr>
          <w:p w14:paraId="227CFFF4" w14:textId="77777777" w:rsidR="001C7622" w:rsidRPr="00885CAE" w:rsidRDefault="001C7622" w:rsidP="00166DBD">
            <w:pPr>
              <w:spacing w:before="0" w:after="0" w:line="240" w:lineRule="auto"/>
              <w:rPr>
                <w:rFonts w:cs="Arial"/>
                <w:sz w:val="16"/>
                <w:szCs w:val="16"/>
                <w:lang w:val="de-CH"/>
              </w:rPr>
            </w:pPr>
          </w:p>
        </w:tc>
      </w:tr>
      <w:tr w:rsidR="00F6107F" w:rsidRPr="00885CAE" w14:paraId="6BB5864D" w14:textId="77777777" w:rsidTr="004956B5">
        <w:tc>
          <w:tcPr>
            <w:tcW w:w="531" w:type="dxa"/>
            <w:shd w:val="clear" w:color="auto" w:fill="auto"/>
          </w:tcPr>
          <w:p w14:paraId="23665FD5" w14:textId="77777777" w:rsidR="00F6107F" w:rsidRPr="00885CAE" w:rsidRDefault="00F6107F" w:rsidP="00166DBD">
            <w:pPr>
              <w:spacing w:before="0" w:after="0" w:line="240" w:lineRule="auto"/>
              <w:rPr>
                <w:rFonts w:cs="Arial"/>
                <w:sz w:val="16"/>
                <w:szCs w:val="16"/>
                <w:lang w:val="de-CH"/>
              </w:rPr>
            </w:pPr>
          </w:p>
        </w:tc>
        <w:tc>
          <w:tcPr>
            <w:tcW w:w="1596" w:type="dxa"/>
            <w:vMerge/>
            <w:shd w:val="clear" w:color="auto" w:fill="auto"/>
          </w:tcPr>
          <w:p w14:paraId="2977296D" w14:textId="77777777" w:rsidR="00F6107F" w:rsidRPr="00DE3CF0" w:rsidRDefault="00F6107F" w:rsidP="005D386E">
            <w:pPr>
              <w:spacing w:before="0" w:after="0" w:line="240" w:lineRule="auto"/>
              <w:rPr>
                <w:b/>
                <w:sz w:val="16"/>
                <w:szCs w:val="16"/>
                <w:lang w:val="de-CH"/>
              </w:rPr>
            </w:pPr>
          </w:p>
        </w:tc>
        <w:tc>
          <w:tcPr>
            <w:tcW w:w="3685" w:type="dxa"/>
            <w:shd w:val="clear" w:color="auto" w:fill="auto"/>
          </w:tcPr>
          <w:p w14:paraId="5B7CF32B" w14:textId="3AE664EA" w:rsidR="00F6107F" w:rsidRPr="00DE3CF0" w:rsidRDefault="004152F9" w:rsidP="004152F9">
            <w:pPr>
              <w:spacing w:before="0" w:after="0" w:line="240" w:lineRule="auto"/>
              <w:rPr>
                <w:sz w:val="16"/>
                <w:lang w:val="de-CH"/>
              </w:rPr>
            </w:pPr>
            <w:r w:rsidRPr="00DE3CF0">
              <w:rPr>
                <w:sz w:val="16"/>
                <w:lang w:val="de-CH"/>
              </w:rPr>
              <w:t>Beurteilung, ob das Oberleitungsorgan die Grundsätze zur Unabhängigkeit befolgt und das Gremium mindestens zu einem Drittel aus unabhängigen Mitgliedern besteht (</w:t>
            </w:r>
            <w:r w:rsidRPr="00C06A90">
              <w:rPr>
                <w:sz w:val="16"/>
                <w:lang w:val="de-CH"/>
              </w:rPr>
              <w:t>Rz 17-25 FINMA-RS 17/1</w:t>
            </w:r>
            <w:r w:rsidRPr="00DE3CF0">
              <w:rPr>
                <w:sz w:val="16"/>
                <w:lang w:val="de-CH"/>
              </w:rPr>
              <w:t>)</w:t>
            </w:r>
          </w:p>
        </w:tc>
        <w:tc>
          <w:tcPr>
            <w:tcW w:w="3827" w:type="dxa"/>
            <w:shd w:val="clear" w:color="auto" w:fill="auto"/>
          </w:tcPr>
          <w:p w14:paraId="638997C7" w14:textId="77777777" w:rsidR="00F6107F" w:rsidRPr="00885CAE" w:rsidDel="00A93E43" w:rsidRDefault="00F6107F" w:rsidP="00EC4365">
            <w:pPr>
              <w:spacing w:before="0" w:after="0" w:line="240" w:lineRule="auto"/>
              <w:rPr>
                <w:rFonts w:cs="Arial"/>
                <w:sz w:val="16"/>
                <w:szCs w:val="16"/>
                <w:lang w:val="de-CH"/>
              </w:rPr>
            </w:pPr>
          </w:p>
        </w:tc>
        <w:tc>
          <w:tcPr>
            <w:tcW w:w="3431" w:type="dxa"/>
            <w:shd w:val="clear" w:color="auto" w:fill="auto"/>
          </w:tcPr>
          <w:p w14:paraId="3090A15C" w14:textId="77777777" w:rsidR="00F6107F" w:rsidRPr="00885CAE" w:rsidRDefault="00F6107F" w:rsidP="00166DBD">
            <w:pPr>
              <w:spacing w:before="0" w:after="0" w:line="240" w:lineRule="auto"/>
              <w:rPr>
                <w:rFonts w:cs="Arial"/>
                <w:sz w:val="16"/>
                <w:szCs w:val="16"/>
                <w:highlight w:val="cyan"/>
                <w:lang w:val="de-CH"/>
              </w:rPr>
            </w:pPr>
          </w:p>
        </w:tc>
        <w:tc>
          <w:tcPr>
            <w:tcW w:w="1247" w:type="dxa"/>
            <w:shd w:val="clear" w:color="auto" w:fill="auto"/>
          </w:tcPr>
          <w:p w14:paraId="378B07C3" w14:textId="77777777" w:rsidR="00F6107F" w:rsidRPr="00885CAE" w:rsidRDefault="00F6107F" w:rsidP="00166DBD">
            <w:pPr>
              <w:spacing w:before="0" w:after="0" w:line="240" w:lineRule="auto"/>
              <w:rPr>
                <w:rFonts w:cs="Arial"/>
                <w:sz w:val="16"/>
                <w:szCs w:val="16"/>
                <w:lang w:val="de-CH"/>
              </w:rPr>
            </w:pPr>
          </w:p>
        </w:tc>
      </w:tr>
      <w:tr w:rsidR="001C7622" w:rsidRPr="00885CAE" w14:paraId="4EFA5F8C" w14:textId="77777777" w:rsidTr="004956B5">
        <w:tc>
          <w:tcPr>
            <w:tcW w:w="531" w:type="dxa"/>
            <w:shd w:val="clear" w:color="auto" w:fill="auto"/>
          </w:tcPr>
          <w:p w14:paraId="288AA0EE" w14:textId="77777777" w:rsidR="001C7622" w:rsidRPr="00885CAE" w:rsidRDefault="001C7622" w:rsidP="00166DBD">
            <w:pPr>
              <w:spacing w:before="0" w:after="0" w:line="240" w:lineRule="auto"/>
              <w:rPr>
                <w:rFonts w:cs="Arial"/>
                <w:sz w:val="16"/>
                <w:szCs w:val="16"/>
                <w:lang w:val="de-CH"/>
              </w:rPr>
            </w:pPr>
          </w:p>
        </w:tc>
        <w:tc>
          <w:tcPr>
            <w:tcW w:w="1596" w:type="dxa"/>
            <w:vMerge/>
            <w:shd w:val="clear" w:color="auto" w:fill="auto"/>
          </w:tcPr>
          <w:p w14:paraId="694C9A7B" w14:textId="77777777" w:rsidR="001C7622" w:rsidRPr="00DE3CF0" w:rsidRDefault="001C7622" w:rsidP="005D386E">
            <w:pPr>
              <w:spacing w:before="0" w:after="0" w:line="240" w:lineRule="auto"/>
              <w:rPr>
                <w:b/>
                <w:sz w:val="16"/>
                <w:szCs w:val="16"/>
                <w:lang w:val="de-CH"/>
              </w:rPr>
            </w:pPr>
          </w:p>
        </w:tc>
        <w:tc>
          <w:tcPr>
            <w:tcW w:w="3685" w:type="dxa"/>
            <w:shd w:val="clear" w:color="auto" w:fill="auto"/>
          </w:tcPr>
          <w:p w14:paraId="3ACF6096" w14:textId="6DEA26C4" w:rsidR="001C7622" w:rsidRPr="00DE3CF0" w:rsidRDefault="001C7622" w:rsidP="00697EAE">
            <w:pPr>
              <w:spacing w:before="0" w:after="0" w:line="240" w:lineRule="auto"/>
              <w:rPr>
                <w:sz w:val="16"/>
                <w:lang w:val="de-CH"/>
              </w:rPr>
            </w:pPr>
            <w:r w:rsidRPr="00DE3CF0">
              <w:rPr>
                <w:sz w:val="16"/>
                <w:lang w:val="de-CH"/>
              </w:rPr>
              <w:t>Beurteilung, ob das Oberleitungsorgan die Grundsätze der Mandatsführung befolgt und hiermit u.a. sicherstellt, dass jedes Mitglied seinem Mandat genügend Zeit widmet, die Anforderungsprofile</w:t>
            </w:r>
            <w:r w:rsidR="00697EAE" w:rsidRPr="00DE3CF0">
              <w:rPr>
                <w:sz w:val="16"/>
                <w:lang w:val="de-CH"/>
              </w:rPr>
              <w:t xml:space="preserve"> in seiner Kompetenz bestimmt bzw. </w:t>
            </w:r>
            <w:r w:rsidR="00697EAE" w:rsidRPr="00DE3CF0">
              <w:rPr>
                <w:sz w:val="16"/>
                <w:lang w:val="de-CH"/>
              </w:rPr>
              <w:lastRenderedPageBreak/>
              <w:t xml:space="preserve">genehmigt hat </w:t>
            </w:r>
            <w:r w:rsidRPr="00DE3CF0">
              <w:rPr>
                <w:sz w:val="16"/>
                <w:lang w:val="de-CH"/>
              </w:rPr>
              <w:t xml:space="preserve">und seine eigene Leistung mindestens jährlich kritisch beurteilt </w:t>
            </w:r>
            <w:r w:rsidRPr="00C06A90">
              <w:rPr>
                <w:sz w:val="16"/>
                <w:lang w:val="de-CH"/>
              </w:rPr>
              <w:t>(Rz 26-28 FINMA-RS 17/1)</w:t>
            </w:r>
          </w:p>
        </w:tc>
        <w:tc>
          <w:tcPr>
            <w:tcW w:w="3827" w:type="dxa"/>
            <w:shd w:val="clear" w:color="auto" w:fill="auto"/>
          </w:tcPr>
          <w:p w14:paraId="40B936A7" w14:textId="77777777" w:rsidR="001C7622" w:rsidRPr="00885CAE" w:rsidDel="00A93E43" w:rsidRDefault="001C7622" w:rsidP="00EC4365">
            <w:pPr>
              <w:spacing w:before="0" w:after="0" w:line="240" w:lineRule="auto"/>
              <w:rPr>
                <w:rFonts w:cs="Arial"/>
                <w:sz w:val="16"/>
                <w:szCs w:val="16"/>
                <w:lang w:val="de-CH"/>
              </w:rPr>
            </w:pPr>
          </w:p>
        </w:tc>
        <w:tc>
          <w:tcPr>
            <w:tcW w:w="3431" w:type="dxa"/>
            <w:shd w:val="clear" w:color="auto" w:fill="auto"/>
          </w:tcPr>
          <w:p w14:paraId="1C728E8B" w14:textId="77777777" w:rsidR="001C7622" w:rsidRPr="00885CAE" w:rsidRDefault="001C7622" w:rsidP="00166DBD">
            <w:pPr>
              <w:spacing w:before="0" w:after="0" w:line="240" w:lineRule="auto"/>
              <w:rPr>
                <w:rFonts w:cs="Arial"/>
                <w:sz w:val="16"/>
                <w:szCs w:val="16"/>
                <w:highlight w:val="cyan"/>
                <w:lang w:val="de-CH"/>
              </w:rPr>
            </w:pPr>
          </w:p>
        </w:tc>
        <w:tc>
          <w:tcPr>
            <w:tcW w:w="1247" w:type="dxa"/>
            <w:shd w:val="clear" w:color="auto" w:fill="auto"/>
          </w:tcPr>
          <w:p w14:paraId="71D33738" w14:textId="77777777" w:rsidR="001C7622" w:rsidRPr="00885CAE" w:rsidRDefault="001C7622" w:rsidP="00166DBD">
            <w:pPr>
              <w:spacing w:before="0" w:after="0" w:line="240" w:lineRule="auto"/>
              <w:rPr>
                <w:rFonts w:cs="Arial"/>
                <w:sz w:val="16"/>
                <w:szCs w:val="16"/>
                <w:lang w:val="de-CH"/>
              </w:rPr>
            </w:pPr>
          </w:p>
        </w:tc>
      </w:tr>
      <w:tr w:rsidR="00D43861" w:rsidRPr="00885CAE" w14:paraId="3E30AAB6" w14:textId="77777777" w:rsidTr="004956B5">
        <w:tc>
          <w:tcPr>
            <w:tcW w:w="531" w:type="dxa"/>
            <w:shd w:val="clear" w:color="auto" w:fill="auto"/>
          </w:tcPr>
          <w:p w14:paraId="070F97B0" w14:textId="77777777" w:rsidR="00D43861" w:rsidRPr="00885CAE" w:rsidRDefault="00D43861" w:rsidP="00166DBD">
            <w:pPr>
              <w:spacing w:before="0" w:after="0" w:line="240" w:lineRule="auto"/>
              <w:rPr>
                <w:rFonts w:cs="Arial"/>
                <w:sz w:val="16"/>
                <w:szCs w:val="16"/>
                <w:lang w:val="de-CH"/>
              </w:rPr>
            </w:pPr>
          </w:p>
        </w:tc>
        <w:tc>
          <w:tcPr>
            <w:tcW w:w="1596" w:type="dxa"/>
            <w:vMerge w:val="restart"/>
            <w:shd w:val="clear" w:color="auto" w:fill="auto"/>
          </w:tcPr>
          <w:p w14:paraId="3EE4EE6C" w14:textId="77777777" w:rsidR="00D43861" w:rsidRPr="00DE3CF0" w:rsidRDefault="00D43861" w:rsidP="005D386E">
            <w:pPr>
              <w:spacing w:before="0" w:after="0" w:line="240" w:lineRule="auto"/>
              <w:rPr>
                <w:b/>
                <w:sz w:val="16"/>
                <w:szCs w:val="16"/>
                <w:lang w:val="de-CH"/>
              </w:rPr>
            </w:pPr>
            <w:r w:rsidRPr="00DE3CF0">
              <w:rPr>
                <w:b/>
                <w:sz w:val="16"/>
                <w:szCs w:val="16"/>
                <w:lang w:val="de-CH"/>
              </w:rPr>
              <w:t>Angemessenheit der internen Organisation</w:t>
            </w:r>
          </w:p>
          <w:p w14:paraId="14BAA21D" w14:textId="77777777" w:rsidR="00D43861" w:rsidRPr="00DE3CF0" w:rsidRDefault="00D43861" w:rsidP="005D386E">
            <w:pPr>
              <w:spacing w:before="0" w:after="0" w:line="240" w:lineRule="auto"/>
              <w:rPr>
                <w:sz w:val="16"/>
                <w:szCs w:val="16"/>
                <w:lang w:val="de-CH"/>
              </w:rPr>
            </w:pPr>
          </w:p>
          <w:p w14:paraId="7C3AF2D5" w14:textId="7F59D147" w:rsidR="00D43861" w:rsidRPr="00DE3CF0" w:rsidRDefault="00D43861" w:rsidP="001C7622">
            <w:pPr>
              <w:spacing w:before="0" w:after="0" w:line="240" w:lineRule="auto"/>
              <w:rPr>
                <w:b/>
                <w:sz w:val="16"/>
                <w:szCs w:val="16"/>
                <w:lang w:val="de-CH"/>
              </w:rPr>
            </w:pPr>
            <w:r w:rsidRPr="00DE3CF0">
              <w:rPr>
                <w:sz w:val="16"/>
                <w:szCs w:val="16"/>
                <w:lang w:val="de-CH"/>
              </w:rPr>
              <w:t>(Arbeitsteilung und Ausschüsse)</w:t>
            </w:r>
          </w:p>
        </w:tc>
        <w:tc>
          <w:tcPr>
            <w:tcW w:w="3685" w:type="dxa"/>
            <w:shd w:val="clear" w:color="auto" w:fill="auto"/>
          </w:tcPr>
          <w:p w14:paraId="7C82C28C" w14:textId="0C95A714" w:rsidR="00D43861" w:rsidRPr="00DE3CF0" w:rsidRDefault="00D43861" w:rsidP="00FB204C">
            <w:pPr>
              <w:spacing w:before="0" w:after="0" w:line="240" w:lineRule="auto"/>
              <w:rPr>
                <w:sz w:val="16"/>
                <w:lang w:val="de-CH"/>
              </w:rPr>
            </w:pPr>
            <w:r w:rsidRPr="00DE3CF0">
              <w:rPr>
                <w:i/>
                <w:sz w:val="16"/>
                <w:lang w:val="de-CH"/>
              </w:rPr>
              <w:t>Beurteilung der allgemeinen Angemessenheit bei der Arbeitsteilung und Schaffung von Ausschüssen nach Massgabe der Grösse und der Geschäfts- und Organisationskomplexität des Instituts, namentlich</w:t>
            </w:r>
          </w:p>
        </w:tc>
        <w:tc>
          <w:tcPr>
            <w:tcW w:w="3827" w:type="dxa"/>
            <w:shd w:val="clear" w:color="auto" w:fill="auto"/>
          </w:tcPr>
          <w:p w14:paraId="3F6E67BA" w14:textId="77777777" w:rsidR="00D43861" w:rsidRPr="00885CAE" w:rsidDel="00A93E43" w:rsidRDefault="00D43861" w:rsidP="00EC4365">
            <w:pPr>
              <w:spacing w:before="0" w:after="0" w:line="240" w:lineRule="auto"/>
              <w:rPr>
                <w:rFonts w:cs="Arial"/>
                <w:sz w:val="16"/>
                <w:szCs w:val="16"/>
                <w:lang w:val="de-CH"/>
              </w:rPr>
            </w:pPr>
          </w:p>
        </w:tc>
        <w:tc>
          <w:tcPr>
            <w:tcW w:w="3431" w:type="dxa"/>
            <w:shd w:val="clear" w:color="auto" w:fill="auto"/>
          </w:tcPr>
          <w:p w14:paraId="098E0F95" w14:textId="77777777" w:rsidR="00D43861" w:rsidRPr="00885CAE" w:rsidRDefault="00D43861" w:rsidP="00166DBD">
            <w:pPr>
              <w:spacing w:before="0" w:after="0" w:line="240" w:lineRule="auto"/>
              <w:rPr>
                <w:rFonts w:cs="Arial"/>
                <w:sz w:val="16"/>
                <w:szCs w:val="16"/>
                <w:highlight w:val="cyan"/>
                <w:lang w:val="de-CH"/>
              </w:rPr>
            </w:pPr>
          </w:p>
        </w:tc>
        <w:tc>
          <w:tcPr>
            <w:tcW w:w="1247" w:type="dxa"/>
            <w:shd w:val="clear" w:color="auto" w:fill="auto"/>
          </w:tcPr>
          <w:p w14:paraId="29F885C5" w14:textId="77777777" w:rsidR="00D43861" w:rsidRPr="00885CAE" w:rsidRDefault="00D43861" w:rsidP="00166DBD">
            <w:pPr>
              <w:spacing w:before="0" w:after="0" w:line="240" w:lineRule="auto"/>
              <w:rPr>
                <w:rFonts w:cs="Arial"/>
                <w:sz w:val="16"/>
                <w:szCs w:val="16"/>
                <w:lang w:val="de-CH"/>
              </w:rPr>
            </w:pPr>
          </w:p>
        </w:tc>
      </w:tr>
      <w:tr w:rsidR="00D43861" w:rsidRPr="00885CAE" w14:paraId="49FED0B3" w14:textId="77777777" w:rsidTr="004956B5">
        <w:tc>
          <w:tcPr>
            <w:tcW w:w="531" w:type="dxa"/>
            <w:shd w:val="clear" w:color="auto" w:fill="auto"/>
          </w:tcPr>
          <w:p w14:paraId="5659B516" w14:textId="77777777" w:rsidR="00D43861" w:rsidRPr="00885CAE" w:rsidRDefault="00D43861" w:rsidP="00166DBD">
            <w:pPr>
              <w:spacing w:before="0" w:after="0" w:line="240" w:lineRule="auto"/>
              <w:rPr>
                <w:rFonts w:cs="Arial"/>
                <w:sz w:val="16"/>
                <w:szCs w:val="16"/>
                <w:lang w:val="de-CH"/>
              </w:rPr>
            </w:pPr>
          </w:p>
        </w:tc>
        <w:tc>
          <w:tcPr>
            <w:tcW w:w="1596" w:type="dxa"/>
            <w:vMerge/>
            <w:shd w:val="clear" w:color="auto" w:fill="auto"/>
          </w:tcPr>
          <w:p w14:paraId="4A84F3A5" w14:textId="77777777" w:rsidR="00D43861" w:rsidRPr="00DE3CF0" w:rsidRDefault="00D43861" w:rsidP="005D386E">
            <w:pPr>
              <w:spacing w:before="0" w:after="0" w:line="240" w:lineRule="auto"/>
              <w:rPr>
                <w:b/>
                <w:sz w:val="16"/>
                <w:szCs w:val="16"/>
                <w:lang w:val="de-CH"/>
              </w:rPr>
            </w:pPr>
          </w:p>
        </w:tc>
        <w:tc>
          <w:tcPr>
            <w:tcW w:w="3685" w:type="dxa"/>
            <w:shd w:val="clear" w:color="auto" w:fill="auto"/>
          </w:tcPr>
          <w:p w14:paraId="6983D4EF" w14:textId="21DCDF34" w:rsidR="00D43861" w:rsidRPr="00974EF8" w:rsidRDefault="00E6222C" w:rsidP="00FB204C">
            <w:pPr>
              <w:spacing w:before="0" w:after="0" w:line="240" w:lineRule="auto"/>
              <w:rPr>
                <w:sz w:val="16"/>
                <w:lang w:val="de-CH"/>
              </w:rPr>
            </w:pPr>
            <w:r w:rsidRPr="00974EF8">
              <w:rPr>
                <w:sz w:val="16"/>
                <w:lang w:val="de-CH"/>
              </w:rPr>
              <w:t xml:space="preserve">Beurteilung, ob der Präsident des Oberleitungsorgans </w:t>
            </w:r>
            <w:r w:rsidR="00974EF8">
              <w:rPr>
                <w:sz w:val="16"/>
                <w:lang w:val="de-CH"/>
              </w:rPr>
              <w:t xml:space="preserve">dieses </w:t>
            </w:r>
            <w:r w:rsidRPr="00974EF8">
              <w:rPr>
                <w:sz w:val="16"/>
                <w:lang w:val="de-CH"/>
              </w:rPr>
              <w:t xml:space="preserve">gegen innen und aussen vertritt und die Strategie, Kommunikation und Kultur des Unternehmens massgeblich mitprägt </w:t>
            </w:r>
            <w:r w:rsidR="00D43861" w:rsidRPr="00974EF8">
              <w:rPr>
                <w:sz w:val="16"/>
                <w:lang w:val="de-CH"/>
              </w:rPr>
              <w:t>(</w:t>
            </w:r>
            <w:r w:rsidR="00D43861" w:rsidRPr="00C06A90">
              <w:rPr>
                <w:sz w:val="16"/>
                <w:lang w:val="de-CH"/>
              </w:rPr>
              <w:t>Rz 30</w:t>
            </w:r>
            <w:r w:rsidR="00974EF8" w:rsidRPr="00C06A90">
              <w:rPr>
                <w:sz w:val="16"/>
                <w:lang w:val="de-CH"/>
              </w:rPr>
              <w:t xml:space="preserve"> </w:t>
            </w:r>
            <w:r w:rsidR="00D43861" w:rsidRPr="00C06A90">
              <w:rPr>
                <w:sz w:val="16"/>
                <w:lang w:val="de-CH"/>
              </w:rPr>
              <w:t>FINMA-RS 17/1)</w:t>
            </w:r>
          </w:p>
        </w:tc>
        <w:tc>
          <w:tcPr>
            <w:tcW w:w="3827" w:type="dxa"/>
            <w:shd w:val="clear" w:color="auto" w:fill="auto"/>
          </w:tcPr>
          <w:p w14:paraId="018CC66B" w14:textId="77777777" w:rsidR="00D43861" w:rsidRPr="00885CAE" w:rsidDel="00A93E43" w:rsidRDefault="00D43861" w:rsidP="00EC4365">
            <w:pPr>
              <w:spacing w:before="0" w:after="0" w:line="240" w:lineRule="auto"/>
              <w:rPr>
                <w:rFonts w:cs="Arial"/>
                <w:sz w:val="16"/>
                <w:szCs w:val="16"/>
                <w:lang w:val="de-CH"/>
              </w:rPr>
            </w:pPr>
          </w:p>
        </w:tc>
        <w:tc>
          <w:tcPr>
            <w:tcW w:w="3431" w:type="dxa"/>
            <w:shd w:val="clear" w:color="auto" w:fill="auto"/>
          </w:tcPr>
          <w:p w14:paraId="10A4B870" w14:textId="77777777" w:rsidR="00D43861" w:rsidRPr="00885CAE" w:rsidRDefault="00D43861" w:rsidP="00166DBD">
            <w:pPr>
              <w:spacing w:before="0" w:after="0" w:line="240" w:lineRule="auto"/>
              <w:rPr>
                <w:rFonts w:cs="Arial"/>
                <w:sz w:val="16"/>
                <w:szCs w:val="16"/>
                <w:highlight w:val="cyan"/>
                <w:lang w:val="de-CH"/>
              </w:rPr>
            </w:pPr>
          </w:p>
        </w:tc>
        <w:tc>
          <w:tcPr>
            <w:tcW w:w="1247" w:type="dxa"/>
            <w:shd w:val="clear" w:color="auto" w:fill="auto"/>
          </w:tcPr>
          <w:p w14:paraId="1A4451B2" w14:textId="77777777" w:rsidR="00D43861" w:rsidRPr="00885CAE" w:rsidRDefault="00D43861" w:rsidP="00166DBD">
            <w:pPr>
              <w:spacing w:before="0" w:after="0" w:line="240" w:lineRule="auto"/>
              <w:rPr>
                <w:rFonts w:cs="Arial"/>
                <w:sz w:val="16"/>
                <w:szCs w:val="16"/>
                <w:lang w:val="de-CH"/>
              </w:rPr>
            </w:pPr>
          </w:p>
        </w:tc>
      </w:tr>
      <w:tr w:rsidR="00D43861" w:rsidRPr="00DE3CF0" w14:paraId="5D7AB202" w14:textId="77777777" w:rsidTr="004956B5">
        <w:tc>
          <w:tcPr>
            <w:tcW w:w="531" w:type="dxa"/>
            <w:shd w:val="clear" w:color="auto" w:fill="auto"/>
          </w:tcPr>
          <w:p w14:paraId="615B655B" w14:textId="77777777" w:rsidR="00D43861" w:rsidRPr="00885CAE" w:rsidRDefault="00D43861" w:rsidP="00166DBD">
            <w:pPr>
              <w:spacing w:before="0" w:after="0" w:line="240" w:lineRule="auto"/>
              <w:rPr>
                <w:rFonts w:cs="Arial"/>
                <w:sz w:val="16"/>
                <w:szCs w:val="16"/>
                <w:lang w:val="de-CH"/>
              </w:rPr>
            </w:pPr>
          </w:p>
        </w:tc>
        <w:tc>
          <w:tcPr>
            <w:tcW w:w="1596" w:type="dxa"/>
            <w:vMerge/>
            <w:shd w:val="clear" w:color="auto" w:fill="auto"/>
          </w:tcPr>
          <w:p w14:paraId="0A4C3372" w14:textId="77777777" w:rsidR="00D43861" w:rsidRPr="00DE3CF0" w:rsidRDefault="00D43861" w:rsidP="005D386E">
            <w:pPr>
              <w:spacing w:before="0" w:after="0" w:line="240" w:lineRule="auto"/>
              <w:rPr>
                <w:b/>
                <w:sz w:val="16"/>
                <w:szCs w:val="16"/>
                <w:lang w:val="de-CH"/>
              </w:rPr>
            </w:pPr>
          </w:p>
        </w:tc>
        <w:tc>
          <w:tcPr>
            <w:tcW w:w="3685" w:type="dxa"/>
            <w:shd w:val="clear" w:color="auto" w:fill="auto"/>
          </w:tcPr>
          <w:p w14:paraId="285E58A8" w14:textId="47C5A110" w:rsidR="00D43861" w:rsidRPr="00DE3CF0" w:rsidRDefault="00BA1EEE" w:rsidP="00F86925">
            <w:pPr>
              <w:spacing w:before="0" w:after="0" w:line="240" w:lineRule="auto"/>
              <w:rPr>
                <w:sz w:val="16"/>
                <w:lang w:val="de-CH"/>
              </w:rPr>
            </w:pPr>
            <w:r w:rsidRPr="00C06A90">
              <w:rPr>
                <w:sz w:val="16"/>
                <w:lang w:val="de-CH"/>
              </w:rPr>
              <w:t xml:space="preserve">Falls ein Prüfausschuss eingerichtet ist: </w:t>
            </w:r>
            <w:r w:rsidR="00D43861" w:rsidRPr="00FE0A7F">
              <w:rPr>
                <w:sz w:val="16"/>
                <w:lang w:val="de-CH"/>
              </w:rPr>
              <w:t>Beurteilung, ob sich</w:t>
            </w:r>
            <w:r w:rsidR="000C4F2D" w:rsidRPr="00FE0A7F">
              <w:rPr>
                <w:sz w:val="16"/>
                <w:lang w:val="de-CH"/>
              </w:rPr>
              <w:t xml:space="preserve"> </w:t>
            </w:r>
            <w:r w:rsidR="00D43861" w:rsidRPr="00B36169">
              <w:rPr>
                <w:sz w:val="16"/>
                <w:lang w:val="de-CH"/>
              </w:rPr>
              <w:t>d</w:t>
            </w:r>
            <w:r w:rsidR="000C4F2D" w:rsidRPr="00B36169">
              <w:rPr>
                <w:sz w:val="16"/>
                <w:lang w:val="de-CH"/>
              </w:rPr>
              <w:t>er Prüfa</w:t>
            </w:r>
            <w:r w:rsidR="00D43861" w:rsidRPr="00B36169">
              <w:rPr>
                <w:sz w:val="16"/>
                <w:lang w:val="de-CH"/>
              </w:rPr>
              <w:t>ussch</w:t>
            </w:r>
            <w:r w:rsidR="000C4F2D" w:rsidRPr="00B36169">
              <w:rPr>
                <w:sz w:val="16"/>
                <w:lang w:val="de-CH"/>
              </w:rPr>
              <w:t>uss</w:t>
            </w:r>
            <w:r w:rsidR="00D43861" w:rsidRPr="00B36169">
              <w:rPr>
                <w:sz w:val="16"/>
                <w:lang w:val="de-CH"/>
              </w:rPr>
              <w:t xml:space="preserve"> personell hinreichend </w:t>
            </w:r>
            <w:r w:rsidR="000C4F2D" w:rsidRPr="00B36169">
              <w:rPr>
                <w:sz w:val="16"/>
                <w:lang w:val="de-CH"/>
              </w:rPr>
              <w:t xml:space="preserve">von anderen Ausschüssen </w:t>
            </w:r>
            <w:r w:rsidR="00D43861" w:rsidRPr="00B36169">
              <w:rPr>
                <w:sz w:val="16"/>
                <w:lang w:val="de-CH"/>
              </w:rPr>
              <w:t>u</w:t>
            </w:r>
            <w:r w:rsidR="00D43861" w:rsidRPr="00DE3CF0">
              <w:rPr>
                <w:sz w:val="16"/>
                <w:lang w:val="de-CH"/>
              </w:rPr>
              <w:t>nterscheide</w:t>
            </w:r>
            <w:r w:rsidR="000C4F2D" w:rsidRPr="00DE3CF0">
              <w:rPr>
                <w:sz w:val="16"/>
                <w:lang w:val="de-CH"/>
              </w:rPr>
              <w:t>t</w:t>
            </w:r>
            <w:r w:rsidR="00D43861" w:rsidRPr="00DE3CF0">
              <w:rPr>
                <w:sz w:val="16"/>
                <w:lang w:val="de-CH"/>
              </w:rPr>
              <w:t>, die Mehrheit der Mitglieder von Prüf- und Risikoausschuss unabhängig sind und die weiteren organisatorischen Bestimmungen beachtet wurden (</w:t>
            </w:r>
            <w:r w:rsidR="00B11AA6">
              <w:rPr>
                <w:sz w:val="16"/>
                <w:lang w:val="de-CH"/>
              </w:rPr>
              <w:t>Rz 32–</w:t>
            </w:r>
            <w:r w:rsidR="00D43861" w:rsidRPr="00C06A90">
              <w:rPr>
                <w:sz w:val="16"/>
                <w:lang w:val="de-CH"/>
              </w:rPr>
              <w:t>33 FINMA-RS 17/1).</w:t>
            </w:r>
            <w:r w:rsidR="00D43861" w:rsidRPr="00DE3CF0">
              <w:rPr>
                <w:sz w:val="16"/>
                <w:lang w:val="de-CH"/>
              </w:rPr>
              <w:t xml:space="preserve"> </w:t>
            </w:r>
          </w:p>
        </w:tc>
        <w:tc>
          <w:tcPr>
            <w:tcW w:w="3827" w:type="dxa"/>
            <w:shd w:val="clear" w:color="auto" w:fill="auto"/>
          </w:tcPr>
          <w:p w14:paraId="467C005E" w14:textId="77777777" w:rsidR="00D43861" w:rsidRPr="00DE3CF0" w:rsidDel="00A93E43" w:rsidRDefault="00D43861" w:rsidP="00EC4365">
            <w:pPr>
              <w:spacing w:before="0" w:after="0" w:line="240" w:lineRule="auto"/>
              <w:rPr>
                <w:rFonts w:cs="Arial"/>
                <w:sz w:val="16"/>
                <w:szCs w:val="16"/>
                <w:lang w:val="de-CH"/>
              </w:rPr>
            </w:pPr>
          </w:p>
        </w:tc>
        <w:tc>
          <w:tcPr>
            <w:tcW w:w="3431" w:type="dxa"/>
            <w:shd w:val="clear" w:color="auto" w:fill="auto"/>
          </w:tcPr>
          <w:p w14:paraId="1E270019" w14:textId="77777777" w:rsidR="00D43861" w:rsidRPr="00DE3CF0" w:rsidRDefault="00D43861" w:rsidP="00166DBD">
            <w:pPr>
              <w:spacing w:before="0" w:after="0" w:line="240" w:lineRule="auto"/>
              <w:rPr>
                <w:rFonts w:cs="Arial"/>
                <w:sz w:val="16"/>
                <w:szCs w:val="16"/>
                <w:lang w:val="de-CH"/>
              </w:rPr>
            </w:pPr>
          </w:p>
        </w:tc>
        <w:tc>
          <w:tcPr>
            <w:tcW w:w="1247" w:type="dxa"/>
            <w:shd w:val="clear" w:color="auto" w:fill="auto"/>
          </w:tcPr>
          <w:p w14:paraId="593B92C7" w14:textId="77777777" w:rsidR="00D43861" w:rsidRPr="00DE3CF0" w:rsidRDefault="00D43861" w:rsidP="00166DBD">
            <w:pPr>
              <w:spacing w:before="0" w:after="0" w:line="240" w:lineRule="auto"/>
              <w:rPr>
                <w:rFonts w:cs="Arial"/>
                <w:sz w:val="16"/>
                <w:szCs w:val="16"/>
                <w:lang w:val="de-CH"/>
              </w:rPr>
            </w:pPr>
          </w:p>
        </w:tc>
      </w:tr>
      <w:tr w:rsidR="00100AB2" w:rsidRPr="00DE3CF0" w14:paraId="2DE8B33B" w14:textId="77777777" w:rsidTr="004956B5">
        <w:tc>
          <w:tcPr>
            <w:tcW w:w="531" w:type="dxa"/>
            <w:shd w:val="clear" w:color="auto" w:fill="auto"/>
          </w:tcPr>
          <w:p w14:paraId="571803C5" w14:textId="77777777" w:rsidR="00100AB2" w:rsidRPr="00885CAE" w:rsidRDefault="00100AB2" w:rsidP="00166DBD">
            <w:pPr>
              <w:spacing w:before="0" w:after="0" w:line="240" w:lineRule="auto"/>
              <w:rPr>
                <w:rFonts w:cs="Arial"/>
                <w:sz w:val="16"/>
                <w:szCs w:val="16"/>
                <w:lang w:val="de-CH"/>
              </w:rPr>
            </w:pPr>
          </w:p>
        </w:tc>
        <w:tc>
          <w:tcPr>
            <w:tcW w:w="1596" w:type="dxa"/>
            <w:vMerge/>
            <w:shd w:val="clear" w:color="auto" w:fill="auto"/>
          </w:tcPr>
          <w:p w14:paraId="4F55780E" w14:textId="77777777" w:rsidR="00100AB2" w:rsidRPr="00DE3CF0" w:rsidRDefault="00100AB2" w:rsidP="005D386E">
            <w:pPr>
              <w:spacing w:before="0" w:after="0" w:line="240" w:lineRule="auto"/>
              <w:rPr>
                <w:b/>
                <w:sz w:val="16"/>
                <w:szCs w:val="16"/>
                <w:lang w:val="de-CH"/>
              </w:rPr>
            </w:pPr>
          </w:p>
        </w:tc>
        <w:tc>
          <w:tcPr>
            <w:tcW w:w="3685" w:type="dxa"/>
            <w:shd w:val="clear" w:color="auto" w:fill="auto"/>
          </w:tcPr>
          <w:p w14:paraId="1CEB829C" w14:textId="0AB68042" w:rsidR="00100AB2" w:rsidRPr="00DE3CF0" w:rsidRDefault="006D2BB7" w:rsidP="00141559">
            <w:pPr>
              <w:spacing w:before="0" w:after="0" w:line="240" w:lineRule="auto"/>
              <w:rPr>
                <w:sz w:val="16"/>
                <w:lang w:val="de-CH"/>
              </w:rPr>
            </w:pPr>
            <w:r w:rsidRPr="000251A4">
              <w:rPr>
                <w:b/>
                <w:sz w:val="28"/>
                <w:szCs w:val="24"/>
                <w:lang w:val="de-CH"/>
              </w:rPr>
              <w:t>*</w:t>
            </w:r>
            <w:r>
              <w:rPr>
                <w:sz w:val="24"/>
                <w:szCs w:val="24"/>
                <w:lang w:val="de-CH"/>
              </w:rPr>
              <w:t xml:space="preserve"> </w:t>
            </w:r>
            <w:r w:rsidR="00100AB2" w:rsidRPr="00DE3CF0">
              <w:rPr>
                <w:sz w:val="16"/>
                <w:lang w:val="de-CH"/>
              </w:rPr>
              <w:t xml:space="preserve">Beurteilung, ob sowohl ein Prüf- wie auch ein Risikoausschuss eingerichtet wurde (wobei Institute der Aufsichtskategorie 3 einen gemischten Ausschuss einrichten können) </w:t>
            </w:r>
            <w:r w:rsidR="00100AB2" w:rsidRPr="00974EF8">
              <w:rPr>
                <w:sz w:val="16"/>
                <w:lang w:val="de-CH"/>
              </w:rPr>
              <w:t>und die Ausschüsse</w:t>
            </w:r>
            <w:r w:rsidR="00100AB2">
              <w:rPr>
                <w:sz w:val="16"/>
                <w:lang w:val="de-CH"/>
              </w:rPr>
              <w:t xml:space="preserve"> für</w:t>
            </w:r>
            <w:r w:rsidR="00100AB2" w:rsidRPr="00974EF8">
              <w:rPr>
                <w:sz w:val="16"/>
                <w:lang w:val="de-CH"/>
              </w:rPr>
              <w:t xml:space="preserve"> eine angemessene Berichterstattung an das Oberleitungsorgan gesorgt haben</w:t>
            </w:r>
            <w:r w:rsidR="00100AB2" w:rsidRPr="00DE3CF0">
              <w:rPr>
                <w:sz w:val="16"/>
                <w:lang w:val="de-CH"/>
              </w:rPr>
              <w:t xml:space="preserve"> </w:t>
            </w:r>
            <w:r w:rsidR="00100AB2" w:rsidRPr="00C06A90">
              <w:rPr>
                <w:sz w:val="16"/>
                <w:lang w:val="de-CH"/>
              </w:rPr>
              <w:t>(Rz 31 FINMA-RS 17/1</w:t>
            </w:r>
            <w:r w:rsidRPr="00C06A90">
              <w:rPr>
                <w:sz w:val="16"/>
                <w:szCs w:val="24"/>
                <w:lang w:val="de-CH"/>
              </w:rPr>
              <w:t>)</w:t>
            </w:r>
          </w:p>
        </w:tc>
        <w:tc>
          <w:tcPr>
            <w:tcW w:w="3827" w:type="dxa"/>
            <w:shd w:val="clear" w:color="auto" w:fill="auto"/>
          </w:tcPr>
          <w:p w14:paraId="11FE6621" w14:textId="77777777" w:rsidR="00100AB2" w:rsidRPr="00DE3CF0" w:rsidDel="00A93E43" w:rsidRDefault="00100AB2" w:rsidP="00EC4365">
            <w:pPr>
              <w:spacing w:before="0" w:after="0" w:line="240" w:lineRule="auto"/>
              <w:rPr>
                <w:rFonts w:cs="Arial"/>
                <w:sz w:val="16"/>
                <w:szCs w:val="16"/>
                <w:lang w:val="de-CH"/>
              </w:rPr>
            </w:pPr>
          </w:p>
        </w:tc>
        <w:tc>
          <w:tcPr>
            <w:tcW w:w="3431" w:type="dxa"/>
            <w:shd w:val="clear" w:color="auto" w:fill="auto"/>
          </w:tcPr>
          <w:p w14:paraId="67A0B017" w14:textId="77777777" w:rsidR="00100AB2" w:rsidRPr="00DE3CF0" w:rsidRDefault="00100AB2" w:rsidP="00166DBD">
            <w:pPr>
              <w:spacing w:before="0" w:after="0" w:line="240" w:lineRule="auto"/>
              <w:rPr>
                <w:rFonts w:cs="Arial"/>
                <w:sz w:val="16"/>
                <w:szCs w:val="16"/>
                <w:lang w:val="de-CH"/>
              </w:rPr>
            </w:pPr>
          </w:p>
        </w:tc>
        <w:tc>
          <w:tcPr>
            <w:tcW w:w="1247" w:type="dxa"/>
            <w:shd w:val="clear" w:color="auto" w:fill="auto"/>
          </w:tcPr>
          <w:p w14:paraId="1A9053B9" w14:textId="77777777" w:rsidR="00100AB2" w:rsidRPr="00DE3CF0" w:rsidRDefault="00100AB2" w:rsidP="00166DBD">
            <w:pPr>
              <w:spacing w:before="0" w:after="0" w:line="240" w:lineRule="auto"/>
              <w:rPr>
                <w:rFonts w:cs="Arial"/>
                <w:sz w:val="16"/>
                <w:szCs w:val="16"/>
                <w:lang w:val="de-CH"/>
              </w:rPr>
            </w:pPr>
          </w:p>
        </w:tc>
      </w:tr>
      <w:tr w:rsidR="00100AB2" w:rsidRPr="00DE3CF0" w14:paraId="6493CFEC" w14:textId="77777777" w:rsidTr="004956B5">
        <w:tc>
          <w:tcPr>
            <w:tcW w:w="531" w:type="dxa"/>
            <w:shd w:val="clear" w:color="auto" w:fill="auto"/>
          </w:tcPr>
          <w:p w14:paraId="72E131EE" w14:textId="77777777" w:rsidR="00100AB2" w:rsidRPr="00885CAE" w:rsidRDefault="00100AB2" w:rsidP="00166DBD">
            <w:pPr>
              <w:spacing w:before="0" w:after="0" w:line="240" w:lineRule="auto"/>
              <w:rPr>
                <w:rFonts w:cs="Arial"/>
                <w:sz w:val="16"/>
                <w:szCs w:val="16"/>
                <w:lang w:val="de-CH"/>
              </w:rPr>
            </w:pPr>
          </w:p>
        </w:tc>
        <w:tc>
          <w:tcPr>
            <w:tcW w:w="1596" w:type="dxa"/>
            <w:vMerge/>
            <w:shd w:val="clear" w:color="auto" w:fill="auto"/>
          </w:tcPr>
          <w:p w14:paraId="44457052" w14:textId="77777777" w:rsidR="00100AB2" w:rsidRPr="00DE3CF0" w:rsidRDefault="00100AB2" w:rsidP="005D386E">
            <w:pPr>
              <w:spacing w:before="0" w:after="0" w:line="240" w:lineRule="auto"/>
              <w:rPr>
                <w:b/>
                <w:sz w:val="16"/>
                <w:szCs w:val="16"/>
                <w:lang w:val="de-CH"/>
              </w:rPr>
            </w:pPr>
          </w:p>
        </w:tc>
        <w:tc>
          <w:tcPr>
            <w:tcW w:w="3685" w:type="dxa"/>
            <w:shd w:val="clear" w:color="auto" w:fill="auto"/>
          </w:tcPr>
          <w:p w14:paraId="36F2D32E" w14:textId="731FE7F5" w:rsidR="00100AB2" w:rsidRPr="00DE3CF0" w:rsidRDefault="00100AB2" w:rsidP="00FE0A7F">
            <w:pPr>
              <w:spacing w:before="0" w:after="0" w:line="240" w:lineRule="auto"/>
              <w:rPr>
                <w:sz w:val="16"/>
                <w:lang w:val="de-CH"/>
              </w:rPr>
            </w:pPr>
            <w:r w:rsidRPr="00141559">
              <w:rPr>
                <w:sz w:val="16"/>
                <w:u w:val="single"/>
                <w:lang w:val="de-CH"/>
              </w:rPr>
              <w:t>Für systemrelevante Institute</w:t>
            </w:r>
            <w:r w:rsidRPr="00DE3CF0">
              <w:rPr>
                <w:sz w:val="16"/>
                <w:lang w:val="de-CH"/>
              </w:rPr>
              <w:t xml:space="preserve">  Beurteilung, ob mindestens auf Gruppenebene ein Vergütungs- und Nominationsausschuss eingesetzt wurde (</w:t>
            </w:r>
            <w:r w:rsidRPr="00C06A90">
              <w:rPr>
                <w:sz w:val="16"/>
                <w:lang w:val="de-CH"/>
              </w:rPr>
              <w:t>Rz 31 FINMA-RS 17/1)</w:t>
            </w:r>
          </w:p>
        </w:tc>
        <w:tc>
          <w:tcPr>
            <w:tcW w:w="3827" w:type="dxa"/>
            <w:shd w:val="clear" w:color="auto" w:fill="auto"/>
          </w:tcPr>
          <w:p w14:paraId="1C9C59F0" w14:textId="77777777" w:rsidR="00100AB2" w:rsidRPr="00DE3CF0" w:rsidDel="00A93E43" w:rsidRDefault="00100AB2" w:rsidP="00EC4365">
            <w:pPr>
              <w:spacing w:before="0" w:after="0" w:line="240" w:lineRule="auto"/>
              <w:rPr>
                <w:rFonts w:cs="Arial"/>
                <w:sz w:val="16"/>
                <w:szCs w:val="16"/>
                <w:lang w:val="de-CH"/>
              </w:rPr>
            </w:pPr>
          </w:p>
        </w:tc>
        <w:tc>
          <w:tcPr>
            <w:tcW w:w="3431" w:type="dxa"/>
            <w:shd w:val="clear" w:color="auto" w:fill="auto"/>
          </w:tcPr>
          <w:p w14:paraId="353317F1" w14:textId="77777777" w:rsidR="00100AB2" w:rsidRPr="00DE3CF0" w:rsidRDefault="00100AB2" w:rsidP="00166DBD">
            <w:pPr>
              <w:spacing w:before="0" w:after="0" w:line="240" w:lineRule="auto"/>
              <w:rPr>
                <w:rFonts w:cs="Arial"/>
                <w:sz w:val="16"/>
                <w:szCs w:val="16"/>
                <w:lang w:val="de-CH"/>
              </w:rPr>
            </w:pPr>
          </w:p>
        </w:tc>
        <w:tc>
          <w:tcPr>
            <w:tcW w:w="1247" w:type="dxa"/>
            <w:shd w:val="clear" w:color="auto" w:fill="auto"/>
          </w:tcPr>
          <w:p w14:paraId="042A4488" w14:textId="77777777" w:rsidR="00100AB2" w:rsidRPr="00DE3CF0" w:rsidRDefault="00100AB2" w:rsidP="00166DBD">
            <w:pPr>
              <w:spacing w:before="0" w:after="0" w:line="240" w:lineRule="auto"/>
              <w:rPr>
                <w:rFonts w:cs="Arial"/>
                <w:sz w:val="16"/>
                <w:szCs w:val="16"/>
                <w:lang w:val="de-CH"/>
              </w:rPr>
            </w:pPr>
          </w:p>
        </w:tc>
      </w:tr>
      <w:tr w:rsidR="00D43861" w:rsidRPr="00DE3CF0" w14:paraId="24F8F628" w14:textId="77777777" w:rsidTr="004956B5">
        <w:tc>
          <w:tcPr>
            <w:tcW w:w="531" w:type="dxa"/>
            <w:shd w:val="clear" w:color="auto" w:fill="auto"/>
          </w:tcPr>
          <w:p w14:paraId="549248D4" w14:textId="77777777" w:rsidR="00D43861" w:rsidRPr="00DE3CF0" w:rsidRDefault="00D43861" w:rsidP="00166DBD">
            <w:pPr>
              <w:spacing w:before="0" w:after="0" w:line="240" w:lineRule="auto"/>
              <w:rPr>
                <w:rFonts w:cs="Arial"/>
                <w:sz w:val="16"/>
                <w:szCs w:val="16"/>
                <w:lang w:val="de-CH"/>
              </w:rPr>
            </w:pPr>
          </w:p>
        </w:tc>
        <w:tc>
          <w:tcPr>
            <w:tcW w:w="1596" w:type="dxa"/>
            <w:vMerge/>
            <w:shd w:val="clear" w:color="auto" w:fill="auto"/>
          </w:tcPr>
          <w:p w14:paraId="0B00C5BC" w14:textId="77777777" w:rsidR="00D43861" w:rsidRPr="00DE3CF0" w:rsidRDefault="00D43861" w:rsidP="005D386E">
            <w:pPr>
              <w:spacing w:before="0" w:after="0" w:line="240" w:lineRule="auto"/>
              <w:rPr>
                <w:b/>
                <w:sz w:val="16"/>
                <w:szCs w:val="16"/>
                <w:lang w:val="de-CH"/>
              </w:rPr>
            </w:pPr>
          </w:p>
        </w:tc>
        <w:tc>
          <w:tcPr>
            <w:tcW w:w="3685" w:type="dxa"/>
            <w:shd w:val="clear" w:color="auto" w:fill="auto"/>
          </w:tcPr>
          <w:p w14:paraId="37AE732C" w14:textId="37D5C524" w:rsidR="00D43861" w:rsidRPr="00420151" w:rsidRDefault="00D43861" w:rsidP="00B11AA6">
            <w:pPr>
              <w:spacing w:before="0" w:after="0" w:line="240" w:lineRule="auto"/>
              <w:rPr>
                <w:sz w:val="16"/>
                <w:lang w:val="de-CH"/>
              </w:rPr>
            </w:pPr>
            <w:r w:rsidRPr="00420151">
              <w:rPr>
                <w:sz w:val="16"/>
                <w:lang w:val="de-CH"/>
              </w:rPr>
              <w:t>Beurteilung, ob d</w:t>
            </w:r>
            <w:r w:rsidR="00875BB8" w:rsidRPr="00420151">
              <w:rPr>
                <w:sz w:val="16"/>
                <w:lang w:val="de-CH"/>
              </w:rPr>
              <w:t>ie</w:t>
            </w:r>
            <w:r w:rsidRPr="00420151">
              <w:rPr>
                <w:sz w:val="16"/>
                <w:lang w:val="de-CH"/>
              </w:rPr>
              <w:t xml:space="preserve"> </w:t>
            </w:r>
            <w:r w:rsidR="00875BB8" w:rsidRPr="00420151">
              <w:rPr>
                <w:sz w:val="16"/>
                <w:lang w:val="de-CH"/>
              </w:rPr>
              <w:t xml:space="preserve">Aufgaben des </w:t>
            </w:r>
            <w:r w:rsidRPr="00420151">
              <w:rPr>
                <w:sz w:val="16"/>
                <w:lang w:val="de-CH"/>
              </w:rPr>
              <w:t>Prüfausschuss</w:t>
            </w:r>
            <w:r w:rsidR="00875BB8" w:rsidRPr="00420151">
              <w:rPr>
                <w:sz w:val="16"/>
                <w:lang w:val="de-CH"/>
              </w:rPr>
              <w:t>es</w:t>
            </w:r>
            <w:r w:rsidR="00881735">
              <w:rPr>
                <w:sz w:val="16"/>
                <w:lang w:val="de-CH"/>
              </w:rPr>
              <w:t xml:space="preserve"> </w:t>
            </w:r>
            <w:r w:rsidR="00881735" w:rsidRPr="00420151">
              <w:rPr>
                <w:sz w:val="16"/>
                <w:lang w:val="de-CH"/>
              </w:rPr>
              <w:t>(</w:t>
            </w:r>
            <w:r w:rsidR="00881735" w:rsidRPr="00C06A90">
              <w:rPr>
                <w:sz w:val="16"/>
                <w:lang w:val="de-CH"/>
              </w:rPr>
              <w:t>Rz 34</w:t>
            </w:r>
            <w:r w:rsidR="00B11AA6">
              <w:rPr>
                <w:sz w:val="16"/>
                <w:lang w:val="de-CH"/>
              </w:rPr>
              <w:t>–</w:t>
            </w:r>
            <w:r w:rsidR="00881735" w:rsidRPr="00C06A90">
              <w:rPr>
                <w:sz w:val="16"/>
                <w:lang w:val="de-CH"/>
              </w:rPr>
              <w:t>39 FINMA-RS 17/1</w:t>
            </w:r>
            <w:r w:rsidR="00881735">
              <w:rPr>
                <w:sz w:val="16"/>
                <w:lang w:val="de-CH"/>
              </w:rPr>
              <w:t>)</w:t>
            </w:r>
            <w:r w:rsidR="00875BB8" w:rsidRPr="00420151">
              <w:rPr>
                <w:sz w:val="16"/>
                <w:lang w:val="de-CH"/>
              </w:rPr>
              <w:t xml:space="preserve"> durch das zuständige Gremium (Prüfausschuss oder Oberleitungsorgan)</w:t>
            </w:r>
            <w:r w:rsidR="00881735">
              <w:rPr>
                <w:sz w:val="16"/>
                <w:lang w:val="de-CH"/>
              </w:rPr>
              <w:t xml:space="preserve"> </w:t>
            </w:r>
            <w:r w:rsidRPr="00420151">
              <w:rPr>
                <w:sz w:val="16"/>
                <w:lang w:val="de-CH"/>
              </w:rPr>
              <w:t xml:space="preserve">angemessen wahrgenommen </w:t>
            </w:r>
            <w:r w:rsidR="00881735">
              <w:rPr>
                <w:sz w:val="16"/>
                <w:lang w:val="de-CH"/>
              </w:rPr>
              <w:t>wurden.</w:t>
            </w:r>
          </w:p>
        </w:tc>
        <w:tc>
          <w:tcPr>
            <w:tcW w:w="3827" w:type="dxa"/>
            <w:shd w:val="clear" w:color="auto" w:fill="auto"/>
          </w:tcPr>
          <w:p w14:paraId="3A852977" w14:textId="42175DB1" w:rsidR="00D43861" w:rsidRPr="00420151" w:rsidDel="00A93E43" w:rsidRDefault="00D43861" w:rsidP="0047486C">
            <w:pPr>
              <w:spacing w:before="0" w:after="0" w:line="240" w:lineRule="auto"/>
              <w:rPr>
                <w:rFonts w:cs="Arial"/>
                <w:sz w:val="16"/>
                <w:szCs w:val="16"/>
                <w:lang w:val="de-CH"/>
              </w:rPr>
            </w:pPr>
            <w:r w:rsidRPr="00420151">
              <w:rPr>
                <w:rFonts w:cs="Arial"/>
                <w:sz w:val="16"/>
                <w:szCs w:val="16"/>
                <w:lang w:val="de-CH"/>
              </w:rPr>
              <w:t>Einsicht</w:t>
            </w:r>
            <w:r w:rsidR="00974EF8" w:rsidRPr="00420151">
              <w:rPr>
                <w:rFonts w:cs="Arial"/>
                <w:sz w:val="16"/>
                <w:szCs w:val="16"/>
                <w:lang w:val="de-CH"/>
              </w:rPr>
              <w:t>nahme</w:t>
            </w:r>
            <w:r w:rsidRPr="00420151">
              <w:rPr>
                <w:rFonts w:cs="Arial"/>
                <w:sz w:val="16"/>
                <w:szCs w:val="16"/>
                <w:lang w:val="de-CH"/>
              </w:rPr>
              <w:t xml:space="preserve"> in Protokolle und Berichterstattungen zwecks Einschätzung der durch </w:t>
            </w:r>
            <w:r w:rsidR="0047486C" w:rsidRPr="00420151">
              <w:rPr>
                <w:rFonts w:cs="Arial"/>
                <w:sz w:val="16"/>
                <w:szCs w:val="16"/>
                <w:lang w:val="de-CH"/>
              </w:rPr>
              <w:t>das zuständige Gremium (Prüfa</w:t>
            </w:r>
            <w:r w:rsidRPr="00420151">
              <w:rPr>
                <w:rFonts w:cs="Arial"/>
                <w:sz w:val="16"/>
                <w:szCs w:val="16"/>
                <w:lang w:val="de-CH"/>
              </w:rPr>
              <w:t xml:space="preserve">usschuss </w:t>
            </w:r>
            <w:r w:rsidR="0047486C" w:rsidRPr="00420151">
              <w:rPr>
                <w:rFonts w:cs="Arial"/>
                <w:sz w:val="16"/>
                <w:szCs w:val="16"/>
                <w:lang w:val="de-CH"/>
              </w:rPr>
              <w:t xml:space="preserve">oder Oberleitungsorgan) </w:t>
            </w:r>
            <w:r w:rsidRPr="00420151">
              <w:rPr>
                <w:rFonts w:cs="Arial"/>
                <w:sz w:val="16"/>
                <w:szCs w:val="16"/>
                <w:lang w:val="de-CH"/>
              </w:rPr>
              <w:t>wahrgenommenen Handlungen.</w:t>
            </w:r>
          </w:p>
        </w:tc>
        <w:tc>
          <w:tcPr>
            <w:tcW w:w="3431" w:type="dxa"/>
            <w:shd w:val="clear" w:color="auto" w:fill="auto"/>
          </w:tcPr>
          <w:p w14:paraId="219482D7" w14:textId="77777777" w:rsidR="00D43861" w:rsidRPr="00DE3CF0" w:rsidRDefault="00D43861" w:rsidP="00166DBD">
            <w:pPr>
              <w:spacing w:before="0" w:after="0" w:line="240" w:lineRule="auto"/>
              <w:rPr>
                <w:rFonts w:cs="Arial"/>
                <w:sz w:val="16"/>
                <w:szCs w:val="16"/>
                <w:lang w:val="de-CH"/>
              </w:rPr>
            </w:pPr>
          </w:p>
        </w:tc>
        <w:tc>
          <w:tcPr>
            <w:tcW w:w="1247" w:type="dxa"/>
            <w:shd w:val="clear" w:color="auto" w:fill="auto"/>
          </w:tcPr>
          <w:p w14:paraId="596C25F4" w14:textId="77777777" w:rsidR="00D43861" w:rsidRPr="00DE3CF0" w:rsidRDefault="00D43861" w:rsidP="00166DBD">
            <w:pPr>
              <w:spacing w:before="0" w:after="0" w:line="240" w:lineRule="auto"/>
              <w:rPr>
                <w:rFonts w:cs="Arial"/>
                <w:sz w:val="16"/>
                <w:szCs w:val="16"/>
                <w:lang w:val="de-CH"/>
              </w:rPr>
            </w:pPr>
          </w:p>
        </w:tc>
      </w:tr>
      <w:tr w:rsidR="00D43861" w:rsidRPr="00885CAE" w14:paraId="7EA9E74F" w14:textId="77777777" w:rsidTr="004956B5">
        <w:tc>
          <w:tcPr>
            <w:tcW w:w="531" w:type="dxa"/>
            <w:shd w:val="clear" w:color="auto" w:fill="auto"/>
          </w:tcPr>
          <w:p w14:paraId="0B444248" w14:textId="77777777" w:rsidR="00D43861" w:rsidRPr="00DE3CF0" w:rsidRDefault="00D43861" w:rsidP="00166DBD">
            <w:pPr>
              <w:spacing w:before="0" w:after="0" w:line="240" w:lineRule="auto"/>
              <w:rPr>
                <w:rFonts w:cs="Arial"/>
                <w:sz w:val="16"/>
                <w:szCs w:val="16"/>
                <w:lang w:val="de-CH"/>
              </w:rPr>
            </w:pPr>
          </w:p>
        </w:tc>
        <w:tc>
          <w:tcPr>
            <w:tcW w:w="1596" w:type="dxa"/>
            <w:vMerge/>
            <w:shd w:val="clear" w:color="auto" w:fill="auto"/>
          </w:tcPr>
          <w:p w14:paraId="54AF7F33" w14:textId="77777777" w:rsidR="00D43861" w:rsidRPr="00DE3CF0" w:rsidRDefault="00D43861" w:rsidP="005D386E">
            <w:pPr>
              <w:spacing w:before="0" w:after="0" w:line="240" w:lineRule="auto"/>
              <w:rPr>
                <w:b/>
                <w:sz w:val="16"/>
                <w:szCs w:val="16"/>
                <w:lang w:val="de-CH"/>
              </w:rPr>
            </w:pPr>
          </w:p>
        </w:tc>
        <w:tc>
          <w:tcPr>
            <w:tcW w:w="3685" w:type="dxa"/>
            <w:shd w:val="clear" w:color="auto" w:fill="auto"/>
          </w:tcPr>
          <w:p w14:paraId="6BAFA676" w14:textId="61A456C0" w:rsidR="00D43861" w:rsidRPr="00420151" w:rsidRDefault="00D43861" w:rsidP="00881735">
            <w:pPr>
              <w:spacing w:before="0" w:after="0" w:line="240" w:lineRule="auto"/>
              <w:rPr>
                <w:sz w:val="16"/>
                <w:lang w:val="de-CH"/>
              </w:rPr>
            </w:pPr>
            <w:r w:rsidRPr="00420151">
              <w:rPr>
                <w:sz w:val="16"/>
                <w:lang w:val="de-CH"/>
              </w:rPr>
              <w:t>Beurteilung, ob d</w:t>
            </w:r>
            <w:r w:rsidR="0047486C" w:rsidRPr="00420151">
              <w:rPr>
                <w:sz w:val="16"/>
                <w:lang w:val="de-CH"/>
              </w:rPr>
              <w:t>ie Aufgaben des</w:t>
            </w:r>
            <w:r w:rsidRPr="00420151">
              <w:rPr>
                <w:sz w:val="16"/>
                <w:lang w:val="de-CH"/>
              </w:rPr>
              <w:t xml:space="preserve"> Risikoausschuss</w:t>
            </w:r>
            <w:r w:rsidR="0047486C" w:rsidRPr="00420151">
              <w:rPr>
                <w:sz w:val="16"/>
                <w:lang w:val="de-CH"/>
              </w:rPr>
              <w:t xml:space="preserve">es </w:t>
            </w:r>
            <w:r w:rsidR="00881735">
              <w:rPr>
                <w:sz w:val="16"/>
                <w:lang w:val="de-CH"/>
              </w:rPr>
              <w:t>(</w:t>
            </w:r>
            <w:r w:rsidR="00B11AA6">
              <w:rPr>
                <w:sz w:val="16"/>
                <w:lang w:val="de-CH"/>
              </w:rPr>
              <w:t>Rz 40–</w:t>
            </w:r>
            <w:r w:rsidR="00881735" w:rsidRPr="00C06A90">
              <w:rPr>
                <w:sz w:val="16"/>
                <w:lang w:val="de-CH"/>
              </w:rPr>
              <w:t>46 FINMA-RS 17/1</w:t>
            </w:r>
            <w:r w:rsidR="00881735">
              <w:rPr>
                <w:sz w:val="16"/>
                <w:lang w:val="de-CH"/>
              </w:rPr>
              <w:t xml:space="preserve">) </w:t>
            </w:r>
            <w:r w:rsidR="0047486C" w:rsidRPr="00420151">
              <w:rPr>
                <w:sz w:val="16"/>
                <w:lang w:val="de-CH"/>
              </w:rPr>
              <w:t>durch das zuständige Gremium (Risikoausschuss oder Oberleitungsorgan)</w:t>
            </w:r>
            <w:r w:rsidRPr="00420151">
              <w:rPr>
                <w:sz w:val="16"/>
                <w:lang w:val="de-CH"/>
              </w:rPr>
              <w:t xml:space="preserve"> </w:t>
            </w:r>
            <w:r w:rsidR="00881735">
              <w:rPr>
                <w:sz w:val="16"/>
                <w:lang w:val="de-CH"/>
              </w:rPr>
              <w:t xml:space="preserve">angemessen wahrgenommen wurden. </w:t>
            </w:r>
          </w:p>
        </w:tc>
        <w:tc>
          <w:tcPr>
            <w:tcW w:w="3827" w:type="dxa"/>
            <w:shd w:val="clear" w:color="auto" w:fill="auto"/>
          </w:tcPr>
          <w:p w14:paraId="4C91DC07" w14:textId="28AB6F0A" w:rsidR="00D43861" w:rsidRPr="00420151" w:rsidDel="00A93E43" w:rsidRDefault="00D43861" w:rsidP="0072360D">
            <w:pPr>
              <w:spacing w:before="0" w:after="0" w:line="240" w:lineRule="auto"/>
              <w:rPr>
                <w:rFonts w:cs="Arial"/>
                <w:sz w:val="16"/>
                <w:szCs w:val="16"/>
                <w:lang w:val="de-CH"/>
              </w:rPr>
            </w:pPr>
            <w:r w:rsidRPr="00420151">
              <w:rPr>
                <w:rFonts w:cs="Arial"/>
                <w:sz w:val="16"/>
                <w:szCs w:val="16"/>
                <w:lang w:val="de-CH"/>
              </w:rPr>
              <w:t>Einsicht</w:t>
            </w:r>
            <w:r w:rsidR="00974EF8" w:rsidRPr="00420151">
              <w:rPr>
                <w:rFonts w:cs="Arial"/>
                <w:sz w:val="16"/>
                <w:szCs w:val="16"/>
                <w:lang w:val="de-CH"/>
              </w:rPr>
              <w:t>nahme</w:t>
            </w:r>
            <w:r w:rsidRPr="00420151">
              <w:rPr>
                <w:rFonts w:cs="Arial"/>
                <w:sz w:val="16"/>
                <w:szCs w:val="16"/>
                <w:lang w:val="de-CH"/>
              </w:rPr>
              <w:t xml:space="preserve"> in Protokolle und Berichterstattungen zwecks Einschätzung der durch </w:t>
            </w:r>
            <w:r w:rsidR="0047486C" w:rsidRPr="00420151">
              <w:rPr>
                <w:rFonts w:cs="Arial"/>
                <w:sz w:val="16"/>
                <w:szCs w:val="16"/>
                <w:lang w:val="de-CH"/>
              </w:rPr>
              <w:t>das zuständige Gremium (Risikoa</w:t>
            </w:r>
            <w:r w:rsidRPr="00420151">
              <w:rPr>
                <w:rFonts w:cs="Arial"/>
                <w:sz w:val="16"/>
                <w:szCs w:val="16"/>
                <w:lang w:val="de-CH"/>
              </w:rPr>
              <w:t>usschuss</w:t>
            </w:r>
            <w:r w:rsidR="0047486C" w:rsidRPr="00420151">
              <w:rPr>
                <w:rFonts w:cs="Arial"/>
                <w:sz w:val="16"/>
                <w:szCs w:val="16"/>
                <w:lang w:val="de-CH"/>
              </w:rPr>
              <w:t xml:space="preserve"> oder Oberleitungso</w:t>
            </w:r>
            <w:r w:rsidR="0072360D">
              <w:rPr>
                <w:rFonts w:cs="Arial"/>
                <w:sz w:val="16"/>
                <w:szCs w:val="16"/>
                <w:lang w:val="de-CH"/>
              </w:rPr>
              <w:t>r</w:t>
            </w:r>
            <w:r w:rsidR="0047486C" w:rsidRPr="00420151">
              <w:rPr>
                <w:rFonts w:cs="Arial"/>
                <w:sz w:val="16"/>
                <w:szCs w:val="16"/>
                <w:lang w:val="de-CH"/>
              </w:rPr>
              <w:t>gan)</w:t>
            </w:r>
            <w:r w:rsidRPr="00420151">
              <w:rPr>
                <w:rFonts w:cs="Arial"/>
                <w:sz w:val="16"/>
                <w:szCs w:val="16"/>
                <w:lang w:val="de-CH"/>
              </w:rPr>
              <w:t xml:space="preserve"> wahrgenommenen Handlungen.</w:t>
            </w:r>
          </w:p>
        </w:tc>
        <w:tc>
          <w:tcPr>
            <w:tcW w:w="3431" w:type="dxa"/>
            <w:shd w:val="clear" w:color="auto" w:fill="auto"/>
          </w:tcPr>
          <w:p w14:paraId="12B2C666" w14:textId="77777777" w:rsidR="00D43861" w:rsidRPr="00DE3CF0" w:rsidRDefault="00D43861" w:rsidP="00166DBD">
            <w:pPr>
              <w:spacing w:before="0" w:after="0" w:line="240" w:lineRule="auto"/>
              <w:rPr>
                <w:rFonts w:cs="Arial"/>
                <w:sz w:val="16"/>
                <w:szCs w:val="16"/>
                <w:lang w:val="de-CH"/>
              </w:rPr>
            </w:pPr>
          </w:p>
        </w:tc>
        <w:tc>
          <w:tcPr>
            <w:tcW w:w="1247" w:type="dxa"/>
            <w:shd w:val="clear" w:color="auto" w:fill="auto"/>
          </w:tcPr>
          <w:p w14:paraId="6F71DFF7" w14:textId="77777777" w:rsidR="00D43861" w:rsidRPr="00885CAE" w:rsidRDefault="00D43861" w:rsidP="00166DBD">
            <w:pPr>
              <w:spacing w:before="0" w:after="0" w:line="240" w:lineRule="auto"/>
              <w:rPr>
                <w:rFonts w:cs="Arial"/>
                <w:sz w:val="16"/>
                <w:szCs w:val="16"/>
                <w:lang w:val="de-CH"/>
              </w:rPr>
            </w:pPr>
          </w:p>
        </w:tc>
      </w:tr>
    </w:tbl>
    <w:p w14:paraId="6D608E0D" w14:textId="77777777" w:rsidR="00F53511" w:rsidRPr="00885CAE" w:rsidRDefault="00F53511">
      <w:pPr>
        <w:spacing w:before="0" w:after="200"/>
        <w:rPr>
          <w:rFonts w:cs="Arial"/>
          <w:b/>
          <w:lang w:val="de-CH"/>
        </w:rPr>
      </w:pPr>
      <w:r w:rsidRPr="00885CAE">
        <w:rPr>
          <w:lang w:val="de-CH"/>
        </w:rPr>
        <w:br w:type="page"/>
      </w:r>
    </w:p>
    <w:p w14:paraId="6D608E0E" w14:textId="77777777" w:rsidR="00902075" w:rsidRPr="00885CAE" w:rsidRDefault="00902075" w:rsidP="00902075">
      <w:pPr>
        <w:spacing w:before="0" w:after="0" w:line="240" w:lineRule="auto"/>
        <w:rPr>
          <w:rFonts w:cs="Arial"/>
          <w:b/>
          <w:u w:val="single"/>
          <w:lang w:val="de-CH"/>
        </w:rPr>
      </w:pPr>
      <w:r w:rsidRPr="00885CAE">
        <w:rPr>
          <w:b/>
          <w:lang w:val="de-CH"/>
        </w:rPr>
        <w:lastRenderedPageBreak/>
        <w:t xml:space="preserve">Prüfprogramm – </w:t>
      </w:r>
      <w:r w:rsidRPr="00885CAE">
        <w:rPr>
          <w:b/>
          <w:u w:val="single"/>
          <w:lang w:val="de-CH"/>
        </w:rPr>
        <w:t>Interne Organisation und internes Kontrollsystem – Angemessenheit interner Weisungen</w:t>
      </w:r>
    </w:p>
    <w:p w14:paraId="6D608E0F" w14:textId="77777777" w:rsidR="00902075" w:rsidRPr="00885CAE" w:rsidRDefault="00902075" w:rsidP="00902075">
      <w:pPr>
        <w:spacing w:before="0" w:after="0" w:line="240" w:lineRule="auto"/>
        <w:rPr>
          <w:rFonts w:cs="Arial"/>
          <w:b/>
          <w:u w:val="single"/>
          <w:lang w:val="de-CH"/>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902075" w:rsidRPr="00885CAE" w14:paraId="6D608E16" w14:textId="77777777" w:rsidTr="00E72C82">
        <w:trPr>
          <w:tblHeader/>
        </w:trPr>
        <w:tc>
          <w:tcPr>
            <w:tcW w:w="531" w:type="dxa"/>
            <w:tcBorders>
              <w:bottom w:val="single" w:sz="4" w:space="0" w:color="auto"/>
            </w:tcBorders>
            <w:shd w:val="pct20" w:color="auto" w:fill="auto"/>
          </w:tcPr>
          <w:p w14:paraId="6D608E10" w14:textId="77777777" w:rsidR="00902075" w:rsidRPr="00885CAE" w:rsidRDefault="00902075" w:rsidP="00E72C82">
            <w:pPr>
              <w:spacing w:before="0" w:after="0" w:line="240" w:lineRule="auto"/>
              <w:rPr>
                <w:rFonts w:cs="Arial"/>
                <w:b/>
                <w:sz w:val="16"/>
                <w:szCs w:val="16"/>
                <w:lang w:val="de-CH"/>
              </w:rPr>
            </w:pPr>
            <w:r w:rsidRPr="00885CAE">
              <w:rPr>
                <w:b/>
                <w:sz w:val="16"/>
                <w:lang w:val="de-CH"/>
              </w:rPr>
              <w:t>Nr.</w:t>
            </w:r>
          </w:p>
        </w:tc>
        <w:tc>
          <w:tcPr>
            <w:tcW w:w="1596" w:type="dxa"/>
            <w:tcBorders>
              <w:bottom w:val="single" w:sz="4" w:space="0" w:color="auto"/>
            </w:tcBorders>
            <w:shd w:val="pct20" w:color="auto" w:fill="auto"/>
          </w:tcPr>
          <w:p w14:paraId="6D608E11" w14:textId="77777777" w:rsidR="00902075" w:rsidRPr="00885CAE" w:rsidRDefault="00902075" w:rsidP="00E72C82">
            <w:pPr>
              <w:spacing w:before="0" w:after="0" w:line="240" w:lineRule="auto"/>
              <w:rPr>
                <w:rFonts w:cs="Arial"/>
                <w:b/>
                <w:sz w:val="16"/>
                <w:szCs w:val="16"/>
                <w:lang w:val="de-CH"/>
              </w:rPr>
            </w:pPr>
            <w:r w:rsidRPr="00885CAE">
              <w:rPr>
                <w:b/>
                <w:sz w:val="16"/>
                <w:lang w:val="de-CH"/>
              </w:rPr>
              <w:t>Thema:</w:t>
            </w:r>
          </w:p>
        </w:tc>
        <w:tc>
          <w:tcPr>
            <w:tcW w:w="3685" w:type="dxa"/>
            <w:tcBorders>
              <w:bottom w:val="single" w:sz="4" w:space="0" w:color="auto"/>
            </w:tcBorders>
            <w:shd w:val="pct20" w:color="auto" w:fill="auto"/>
          </w:tcPr>
          <w:p w14:paraId="6D608E12" w14:textId="3BA159E6" w:rsidR="00902075" w:rsidRPr="00885CAE" w:rsidRDefault="00902075" w:rsidP="00E72C82">
            <w:pPr>
              <w:spacing w:before="0" w:after="0" w:line="240" w:lineRule="auto"/>
              <w:rPr>
                <w:rFonts w:cs="Arial"/>
                <w:b/>
                <w:sz w:val="16"/>
                <w:szCs w:val="16"/>
                <w:lang w:val="de-CH"/>
              </w:rPr>
            </w:pPr>
            <w:r w:rsidRPr="00885CAE">
              <w:rPr>
                <w:b/>
                <w:sz w:val="16"/>
                <w:lang w:val="de-CH"/>
              </w:rPr>
              <w:t>Prüfungshandlungen für Prüftiefe „kritische Beurteilung“:</w:t>
            </w:r>
          </w:p>
        </w:tc>
        <w:tc>
          <w:tcPr>
            <w:tcW w:w="3827" w:type="dxa"/>
            <w:tcBorders>
              <w:bottom w:val="single" w:sz="4" w:space="0" w:color="auto"/>
            </w:tcBorders>
            <w:shd w:val="pct20" w:color="auto" w:fill="auto"/>
          </w:tcPr>
          <w:p w14:paraId="6D608E13" w14:textId="3802AFD6" w:rsidR="00902075" w:rsidRPr="00885CAE" w:rsidRDefault="00902075" w:rsidP="001B380C">
            <w:pPr>
              <w:spacing w:before="0" w:after="0" w:line="240" w:lineRule="auto"/>
              <w:rPr>
                <w:rFonts w:cs="Arial"/>
                <w:b/>
                <w:sz w:val="16"/>
                <w:szCs w:val="16"/>
                <w:lang w:val="de-CH"/>
              </w:rPr>
            </w:pPr>
            <w:r w:rsidRPr="00885CAE">
              <w:rPr>
                <w:b/>
                <w:sz w:val="16"/>
                <w:u w:val="single"/>
                <w:lang w:val="de-CH"/>
              </w:rPr>
              <w:t>Zusätzliche</w:t>
            </w:r>
            <w:r w:rsidRPr="00885CAE">
              <w:rPr>
                <w:b/>
                <w:sz w:val="16"/>
                <w:lang w:val="de-CH"/>
              </w:rPr>
              <w:t xml:space="preserve"> Prüfungshandlungen für Prüftiefe „Prüfung“:</w:t>
            </w:r>
          </w:p>
        </w:tc>
        <w:tc>
          <w:tcPr>
            <w:tcW w:w="3686" w:type="dxa"/>
            <w:tcBorders>
              <w:bottom w:val="single" w:sz="4" w:space="0" w:color="auto"/>
            </w:tcBorders>
            <w:shd w:val="pct20" w:color="auto" w:fill="auto"/>
          </w:tcPr>
          <w:p w14:paraId="6D608E14" w14:textId="77777777" w:rsidR="00902075" w:rsidRPr="00885CAE" w:rsidRDefault="0090547A" w:rsidP="0090547A">
            <w:pPr>
              <w:spacing w:before="0" w:after="0" w:line="240" w:lineRule="auto"/>
              <w:rPr>
                <w:rFonts w:cs="Arial"/>
                <w:b/>
                <w:sz w:val="16"/>
                <w:szCs w:val="16"/>
                <w:lang w:val="de-CH"/>
              </w:rPr>
            </w:pPr>
            <w:r w:rsidRPr="00885CAE">
              <w:rPr>
                <w:b/>
                <w:sz w:val="16"/>
                <w:lang w:val="de-CH"/>
              </w:rPr>
              <w:t>Durchgeführte Prüfungshandlungen / Feststellungen</w:t>
            </w:r>
          </w:p>
        </w:tc>
        <w:tc>
          <w:tcPr>
            <w:tcW w:w="992" w:type="dxa"/>
            <w:tcBorders>
              <w:bottom w:val="single" w:sz="4" w:space="0" w:color="auto"/>
            </w:tcBorders>
            <w:shd w:val="pct20" w:color="auto" w:fill="auto"/>
          </w:tcPr>
          <w:p w14:paraId="6D608E15" w14:textId="77777777" w:rsidR="00902075" w:rsidRPr="00885CAE" w:rsidRDefault="00902075" w:rsidP="00E72C82">
            <w:pPr>
              <w:spacing w:before="0" w:after="0" w:line="240" w:lineRule="auto"/>
              <w:rPr>
                <w:rFonts w:cs="Arial"/>
                <w:b/>
                <w:sz w:val="16"/>
                <w:szCs w:val="16"/>
                <w:lang w:val="de-CH"/>
              </w:rPr>
            </w:pPr>
            <w:r w:rsidRPr="00885CAE">
              <w:rPr>
                <w:b/>
                <w:sz w:val="16"/>
                <w:lang w:val="de-CH"/>
              </w:rPr>
              <w:t xml:space="preserve">Arbeitspapiere </w:t>
            </w:r>
            <w:proofErr w:type="spellStart"/>
            <w:r w:rsidRPr="00885CAE">
              <w:rPr>
                <w:b/>
                <w:sz w:val="16"/>
                <w:lang w:val="de-CH"/>
              </w:rPr>
              <w:t>Ref</w:t>
            </w:r>
            <w:proofErr w:type="spellEnd"/>
            <w:r w:rsidRPr="00885CAE">
              <w:rPr>
                <w:b/>
                <w:sz w:val="16"/>
                <w:lang w:val="de-CH"/>
              </w:rPr>
              <w:t>.:</w:t>
            </w:r>
          </w:p>
        </w:tc>
      </w:tr>
      <w:tr w:rsidR="00902075" w:rsidRPr="00D6498A" w14:paraId="6D608E1A" w14:textId="77777777" w:rsidTr="00E72C82">
        <w:tc>
          <w:tcPr>
            <w:tcW w:w="14317" w:type="dxa"/>
            <w:gridSpan w:val="6"/>
            <w:shd w:val="pct10" w:color="auto" w:fill="auto"/>
          </w:tcPr>
          <w:p w14:paraId="6D608E19" w14:textId="35BCF4FA" w:rsidR="00902075" w:rsidRPr="0023086C" w:rsidRDefault="00902075" w:rsidP="00461125">
            <w:pPr>
              <w:spacing w:before="0" w:after="0" w:line="240" w:lineRule="auto"/>
              <w:rPr>
                <w:rFonts w:cs="Arial"/>
                <w:i/>
                <w:sz w:val="16"/>
                <w:szCs w:val="16"/>
                <w:lang w:val="fr-CH"/>
              </w:rPr>
            </w:pPr>
          </w:p>
        </w:tc>
      </w:tr>
      <w:tr w:rsidR="006C7BC8" w:rsidRPr="00885CAE" w14:paraId="6D608E23" w14:textId="77777777" w:rsidTr="00E72C82">
        <w:tc>
          <w:tcPr>
            <w:tcW w:w="531" w:type="dxa"/>
            <w:vMerge w:val="restart"/>
            <w:shd w:val="clear" w:color="auto" w:fill="auto"/>
          </w:tcPr>
          <w:p w14:paraId="6D608E1B" w14:textId="77777777" w:rsidR="006C7BC8" w:rsidRPr="0023086C" w:rsidRDefault="006C7BC8" w:rsidP="00E72C82">
            <w:pPr>
              <w:spacing w:before="0" w:after="0" w:line="240" w:lineRule="auto"/>
              <w:rPr>
                <w:rFonts w:cs="Arial"/>
                <w:sz w:val="16"/>
                <w:szCs w:val="16"/>
                <w:lang w:val="fr-CH"/>
              </w:rPr>
            </w:pPr>
          </w:p>
        </w:tc>
        <w:tc>
          <w:tcPr>
            <w:tcW w:w="1596" w:type="dxa"/>
            <w:vMerge w:val="restart"/>
            <w:shd w:val="clear" w:color="auto" w:fill="auto"/>
          </w:tcPr>
          <w:p w14:paraId="6D608E1C" w14:textId="77777777" w:rsidR="00982F4E" w:rsidRPr="00885CAE" w:rsidRDefault="006C7BC8" w:rsidP="00E72C82">
            <w:pPr>
              <w:spacing w:before="0" w:after="0" w:line="240" w:lineRule="auto"/>
              <w:rPr>
                <w:sz w:val="16"/>
                <w:szCs w:val="16"/>
                <w:lang w:val="de-CH"/>
              </w:rPr>
            </w:pPr>
            <w:r w:rsidRPr="00885CAE">
              <w:rPr>
                <w:b/>
                <w:sz w:val="16"/>
                <w:lang w:val="de-CH"/>
              </w:rPr>
              <w:t xml:space="preserve">Angemessenheit des internen Weisungs- / </w:t>
            </w:r>
            <w:r w:rsidRPr="00141559">
              <w:rPr>
                <w:b/>
                <w:sz w:val="16"/>
                <w:lang w:val="de-CH"/>
              </w:rPr>
              <w:t>Richtlinienkonzepts</w:t>
            </w:r>
          </w:p>
          <w:p w14:paraId="6D608E1D" w14:textId="77777777" w:rsidR="00982F4E" w:rsidRPr="00885CAE" w:rsidRDefault="00982F4E" w:rsidP="00E72C82">
            <w:pPr>
              <w:spacing w:before="0" w:after="0" w:line="240" w:lineRule="auto"/>
              <w:rPr>
                <w:sz w:val="16"/>
                <w:szCs w:val="16"/>
                <w:lang w:val="de-CH"/>
              </w:rPr>
            </w:pPr>
          </w:p>
          <w:p w14:paraId="6D608E1E" w14:textId="77777777" w:rsidR="006C7BC8" w:rsidRPr="00885CAE" w:rsidRDefault="006C7BC8" w:rsidP="00E72C82">
            <w:pPr>
              <w:spacing w:before="0" w:after="0" w:line="240" w:lineRule="auto"/>
              <w:rPr>
                <w:rFonts w:cs="Arial"/>
                <w:b/>
                <w:sz w:val="16"/>
                <w:szCs w:val="16"/>
                <w:lang w:val="de-CH"/>
              </w:rPr>
            </w:pPr>
            <w:r w:rsidRPr="00885CAE">
              <w:rPr>
                <w:sz w:val="16"/>
                <w:lang w:val="de-CH"/>
              </w:rPr>
              <w:t>(Struktur, Klarheit, Aktualität, regelmässige Überprüfung und Genehmigungsprozess usw.)</w:t>
            </w:r>
          </w:p>
        </w:tc>
        <w:tc>
          <w:tcPr>
            <w:tcW w:w="3685" w:type="dxa"/>
            <w:shd w:val="clear" w:color="auto" w:fill="auto"/>
          </w:tcPr>
          <w:p w14:paraId="6D608E1F" w14:textId="77777777" w:rsidR="006C7BC8" w:rsidRPr="00885CAE" w:rsidRDefault="006C7BC8" w:rsidP="003567BF">
            <w:pPr>
              <w:pStyle w:val="Bullet"/>
              <w:numPr>
                <w:ilvl w:val="0"/>
                <w:numId w:val="0"/>
              </w:numPr>
              <w:spacing w:before="0" w:after="0"/>
              <w:rPr>
                <w:i/>
                <w:lang w:val="de-CH"/>
              </w:rPr>
            </w:pPr>
            <w:r w:rsidRPr="00885CAE">
              <w:rPr>
                <w:i/>
                <w:lang w:val="de-CH"/>
              </w:rPr>
              <w:t xml:space="preserve">Beurteilung der allgemeinen Angemessenheit des internen Weisungs- / </w:t>
            </w:r>
            <w:r w:rsidRPr="00141559">
              <w:rPr>
                <w:i/>
                <w:lang w:val="de-CH"/>
              </w:rPr>
              <w:t>Richtlinienkonzepts</w:t>
            </w:r>
            <w:r w:rsidRPr="00885CAE">
              <w:rPr>
                <w:i/>
                <w:lang w:val="de-CH"/>
              </w:rPr>
              <w:t xml:space="preserve"> nach Massgabe der Grösse und der Geschäfts- und Organisationskomplexität des Instituts, namentlich</w:t>
            </w:r>
          </w:p>
        </w:tc>
        <w:tc>
          <w:tcPr>
            <w:tcW w:w="3827" w:type="dxa"/>
            <w:shd w:val="clear" w:color="auto" w:fill="auto"/>
          </w:tcPr>
          <w:p w14:paraId="6D608E20" w14:textId="77777777" w:rsidR="006C7BC8" w:rsidRPr="00885CAE" w:rsidRDefault="006C7BC8" w:rsidP="006C7BC8">
            <w:pPr>
              <w:spacing w:before="0" w:after="0" w:line="240" w:lineRule="auto"/>
              <w:rPr>
                <w:rFonts w:cs="Arial"/>
                <w:sz w:val="16"/>
                <w:szCs w:val="16"/>
                <w:lang w:val="de-CH"/>
              </w:rPr>
            </w:pPr>
          </w:p>
        </w:tc>
        <w:tc>
          <w:tcPr>
            <w:tcW w:w="3686" w:type="dxa"/>
            <w:shd w:val="clear" w:color="auto" w:fill="auto"/>
          </w:tcPr>
          <w:p w14:paraId="6D608E21" w14:textId="77777777" w:rsidR="006C7BC8" w:rsidRPr="00885CAE" w:rsidRDefault="006C7BC8" w:rsidP="00E72C82">
            <w:pPr>
              <w:spacing w:before="0" w:after="0" w:line="240" w:lineRule="auto"/>
              <w:rPr>
                <w:rFonts w:cs="Arial"/>
                <w:sz w:val="16"/>
                <w:szCs w:val="16"/>
                <w:highlight w:val="cyan"/>
                <w:lang w:val="de-CH"/>
              </w:rPr>
            </w:pPr>
          </w:p>
        </w:tc>
        <w:tc>
          <w:tcPr>
            <w:tcW w:w="992" w:type="dxa"/>
            <w:shd w:val="clear" w:color="auto" w:fill="auto"/>
          </w:tcPr>
          <w:p w14:paraId="6D608E22" w14:textId="77777777" w:rsidR="006C7BC8" w:rsidRPr="00885CAE" w:rsidRDefault="006C7BC8" w:rsidP="00E72C82">
            <w:pPr>
              <w:spacing w:before="0" w:after="0" w:line="240" w:lineRule="auto"/>
              <w:rPr>
                <w:rFonts w:cs="Arial"/>
                <w:sz w:val="16"/>
                <w:szCs w:val="16"/>
                <w:lang w:val="de-CH"/>
              </w:rPr>
            </w:pPr>
          </w:p>
        </w:tc>
      </w:tr>
      <w:tr w:rsidR="006C7BC8" w:rsidRPr="00885CAE" w14:paraId="6D608E2A" w14:textId="77777777" w:rsidTr="00D12F4A">
        <w:trPr>
          <w:trHeight w:val="1371"/>
        </w:trPr>
        <w:tc>
          <w:tcPr>
            <w:tcW w:w="531" w:type="dxa"/>
            <w:vMerge/>
            <w:shd w:val="clear" w:color="auto" w:fill="auto"/>
          </w:tcPr>
          <w:p w14:paraId="6D608E24" w14:textId="77777777" w:rsidR="006C7BC8" w:rsidRPr="00885CAE" w:rsidRDefault="006C7BC8" w:rsidP="00E72C82">
            <w:pPr>
              <w:spacing w:before="0" w:after="0" w:line="240" w:lineRule="auto"/>
              <w:rPr>
                <w:rFonts w:cs="Arial"/>
                <w:sz w:val="16"/>
                <w:szCs w:val="16"/>
                <w:lang w:val="de-CH"/>
              </w:rPr>
            </w:pPr>
          </w:p>
        </w:tc>
        <w:tc>
          <w:tcPr>
            <w:tcW w:w="1596" w:type="dxa"/>
            <w:vMerge/>
            <w:shd w:val="clear" w:color="auto" w:fill="auto"/>
          </w:tcPr>
          <w:p w14:paraId="6D608E25" w14:textId="77777777" w:rsidR="006C7BC8" w:rsidRPr="00885CAE" w:rsidRDefault="006C7BC8" w:rsidP="00E72C82">
            <w:pPr>
              <w:spacing w:before="0" w:after="0" w:line="240" w:lineRule="auto"/>
              <w:rPr>
                <w:b/>
                <w:sz w:val="16"/>
                <w:szCs w:val="16"/>
                <w:lang w:val="de-CH"/>
              </w:rPr>
            </w:pPr>
          </w:p>
        </w:tc>
        <w:tc>
          <w:tcPr>
            <w:tcW w:w="3685" w:type="dxa"/>
            <w:tcBorders>
              <w:bottom w:val="single" w:sz="4" w:space="0" w:color="auto"/>
            </w:tcBorders>
            <w:shd w:val="clear" w:color="auto" w:fill="auto"/>
          </w:tcPr>
          <w:p w14:paraId="6D608E26" w14:textId="447E2E2B" w:rsidR="006C7BC8" w:rsidRPr="00885CAE" w:rsidRDefault="00223F6D" w:rsidP="00F63D49">
            <w:pPr>
              <w:pStyle w:val="Bullet"/>
              <w:numPr>
                <w:ilvl w:val="0"/>
                <w:numId w:val="0"/>
              </w:numPr>
              <w:spacing w:before="0" w:after="0"/>
              <w:rPr>
                <w:lang w:val="de-CH"/>
              </w:rPr>
            </w:pPr>
            <w:r>
              <w:rPr>
                <w:lang w:val="de-CH"/>
              </w:rPr>
              <w:t>Verschaffen</w:t>
            </w:r>
            <w:r w:rsidR="00F63D49" w:rsidRPr="00885CAE">
              <w:rPr>
                <w:lang w:val="de-CH"/>
              </w:rPr>
              <w:t xml:space="preserve"> eines Überblicks über alle verfügbaren internen Weisungen und Richtlinien</w:t>
            </w:r>
            <w:r>
              <w:rPr>
                <w:lang w:val="de-CH"/>
              </w:rPr>
              <w:t xml:space="preserve"> und Beurteilung</w:t>
            </w:r>
            <w:r w:rsidR="00FD4F29" w:rsidRPr="00885CAE">
              <w:rPr>
                <w:lang w:val="de-CH"/>
              </w:rPr>
              <w:t xml:space="preserve">, ob relevante Aspekte der </w:t>
            </w:r>
            <w:r w:rsidR="00F63D49">
              <w:rPr>
                <w:lang w:val="de-CH"/>
              </w:rPr>
              <w:t>Geschäfts</w:t>
            </w:r>
            <w:r w:rsidR="00F63D49" w:rsidRPr="00885CAE">
              <w:rPr>
                <w:lang w:val="de-CH"/>
              </w:rPr>
              <w:t xml:space="preserve">aktivitäten </w:t>
            </w:r>
            <w:r w:rsidR="00FD4F29" w:rsidRPr="00885CAE">
              <w:rPr>
                <w:lang w:val="de-CH"/>
              </w:rPr>
              <w:t>angemessen berücksichtigt werden</w:t>
            </w:r>
            <w:r w:rsidR="00F63D49">
              <w:rPr>
                <w:lang w:val="de-CH"/>
              </w:rPr>
              <w:t>.</w:t>
            </w:r>
          </w:p>
        </w:tc>
        <w:tc>
          <w:tcPr>
            <w:tcW w:w="3827" w:type="dxa"/>
            <w:tcBorders>
              <w:bottom w:val="single" w:sz="4" w:space="0" w:color="auto"/>
            </w:tcBorders>
            <w:shd w:val="clear" w:color="auto" w:fill="auto"/>
          </w:tcPr>
          <w:p w14:paraId="6D608E27" w14:textId="32EF1775" w:rsidR="006C7BC8" w:rsidRPr="00885CAE" w:rsidRDefault="006C7BC8">
            <w:pPr>
              <w:spacing w:before="0" w:after="0" w:line="240" w:lineRule="auto"/>
              <w:rPr>
                <w:rFonts w:cs="Arial"/>
                <w:sz w:val="16"/>
                <w:szCs w:val="16"/>
                <w:lang w:val="de-CH"/>
              </w:rPr>
            </w:pPr>
            <w:r w:rsidRPr="000251A4">
              <w:rPr>
                <w:sz w:val="16"/>
                <w:lang w:val="de-CH"/>
              </w:rPr>
              <w:t>Untersuchung</w:t>
            </w:r>
            <w:r w:rsidRPr="00885CAE">
              <w:rPr>
                <w:sz w:val="16"/>
                <w:lang w:val="de-CH"/>
              </w:rPr>
              <w:t xml:space="preserve"> anhand einer angemessenen Stichprobe von wichtigen internen Weisungen / Richtlinien, ob </w:t>
            </w:r>
            <w:r w:rsidR="00223F6D">
              <w:rPr>
                <w:sz w:val="16"/>
                <w:lang w:val="de-CH"/>
              </w:rPr>
              <w:t>diese</w:t>
            </w:r>
            <w:r w:rsidR="005C33F7">
              <w:rPr>
                <w:sz w:val="16"/>
                <w:lang w:val="de-CH"/>
              </w:rPr>
              <w:t xml:space="preserve"> die relevanten Aspekte der Geschäftsaktivitäten angemessen abdecken</w:t>
            </w:r>
            <w:r w:rsidR="0072360D">
              <w:rPr>
                <w:sz w:val="16"/>
                <w:lang w:val="de-CH"/>
              </w:rPr>
              <w:t xml:space="preserve"> </w:t>
            </w:r>
            <w:r w:rsidRPr="00885CAE">
              <w:rPr>
                <w:sz w:val="16"/>
                <w:lang w:val="de-CH"/>
              </w:rPr>
              <w:t>und von der zuständigen Instanz genehmigt wurden.</w:t>
            </w:r>
          </w:p>
        </w:tc>
        <w:tc>
          <w:tcPr>
            <w:tcW w:w="3686" w:type="dxa"/>
            <w:tcBorders>
              <w:bottom w:val="single" w:sz="4" w:space="0" w:color="auto"/>
            </w:tcBorders>
            <w:shd w:val="clear" w:color="auto" w:fill="auto"/>
          </w:tcPr>
          <w:p w14:paraId="6D608E28" w14:textId="77777777" w:rsidR="006C7BC8" w:rsidRPr="00885CAE" w:rsidRDefault="006C7BC8" w:rsidP="00E72C82">
            <w:pPr>
              <w:spacing w:before="0" w:after="0" w:line="240" w:lineRule="auto"/>
              <w:rPr>
                <w:rFonts w:cs="Arial"/>
                <w:sz w:val="16"/>
                <w:szCs w:val="16"/>
                <w:highlight w:val="cyan"/>
                <w:lang w:val="de-CH"/>
              </w:rPr>
            </w:pPr>
          </w:p>
        </w:tc>
        <w:tc>
          <w:tcPr>
            <w:tcW w:w="992" w:type="dxa"/>
            <w:tcBorders>
              <w:bottom w:val="single" w:sz="4" w:space="0" w:color="auto"/>
            </w:tcBorders>
            <w:shd w:val="clear" w:color="auto" w:fill="auto"/>
          </w:tcPr>
          <w:p w14:paraId="6D608E29" w14:textId="77777777" w:rsidR="006C7BC8" w:rsidRPr="00885CAE" w:rsidRDefault="006C7BC8" w:rsidP="00E72C82">
            <w:pPr>
              <w:spacing w:before="0" w:after="0" w:line="240" w:lineRule="auto"/>
              <w:rPr>
                <w:rFonts w:cs="Arial"/>
                <w:sz w:val="16"/>
                <w:szCs w:val="16"/>
                <w:lang w:val="de-CH"/>
              </w:rPr>
            </w:pPr>
          </w:p>
        </w:tc>
      </w:tr>
      <w:tr w:rsidR="00100AB2" w:rsidRPr="00885CAE" w14:paraId="6D608E32" w14:textId="77777777" w:rsidTr="000D12C2">
        <w:trPr>
          <w:trHeight w:val="799"/>
        </w:trPr>
        <w:tc>
          <w:tcPr>
            <w:tcW w:w="531" w:type="dxa"/>
            <w:vMerge/>
            <w:shd w:val="clear" w:color="auto" w:fill="auto"/>
          </w:tcPr>
          <w:p w14:paraId="6D608E2B" w14:textId="77777777" w:rsidR="00100AB2" w:rsidRPr="00885CAE" w:rsidRDefault="00100AB2" w:rsidP="00E72C82">
            <w:pPr>
              <w:spacing w:before="0" w:after="0" w:line="240" w:lineRule="auto"/>
              <w:rPr>
                <w:rFonts w:cs="Arial"/>
                <w:sz w:val="16"/>
                <w:szCs w:val="16"/>
                <w:lang w:val="de-CH"/>
              </w:rPr>
            </w:pPr>
          </w:p>
        </w:tc>
        <w:tc>
          <w:tcPr>
            <w:tcW w:w="1596" w:type="dxa"/>
            <w:vMerge/>
            <w:shd w:val="clear" w:color="auto" w:fill="auto"/>
          </w:tcPr>
          <w:p w14:paraId="6D608E2C" w14:textId="77777777" w:rsidR="00100AB2" w:rsidRPr="00885CAE" w:rsidRDefault="00100AB2" w:rsidP="00E72C82">
            <w:pPr>
              <w:spacing w:before="0" w:after="0" w:line="240" w:lineRule="auto"/>
              <w:rPr>
                <w:b/>
                <w:sz w:val="16"/>
                <w:szCs w:val="16"/>
                <w:lang w:val="de-CH"/>
              </w:rPr>
            </w:pPr>
          </w:p>
        </w:tc>
        <w:tc>
          <w:tcPr>
            <w:tcW w:w="3685" w:type="dxa"/>
            <w:vMerge w:val="restart"/>
            <w:shd w:val="clear" w:color="auto" w:fill="auto"/>
          </w:tcPr>
          <w:p w14:paraId="6D608E2D" w14:textId="279708A1" w:rsidR="00100AB2" w:rsidRPr="00885CAE" w:rsidRDefault="00100AB2" w:rsidP="00F63D49">
            <w:pPr>
              <w:pStyle w:val="Bullet"/>
              <w:numPr>
                <w:ilvl w:val="0"/>
                <w:numId w:val="0"/>
              </w:numPr>
              <w:spacing w:before="0" w:after="0"/>
              <w:rPr>
                <w:lang w:val="de-CH"/>
              </w:rPr>
            </w:pPr>
            <w:r w:rsidRPr="00885CAE">
              <w:rPr>
                <w:color w:val="000000" w:themeColor="text1"/>
                <w:lang w:val="de-CH"/>
              </w:rPr>
              <w:t xml:space="preserve">Beurteilung </w:t>
            </w:r>
            <w:r w:rsidR="005530EA">
              <w:rPr>
                <w:color w:val="000000" w:themeColor="text1"/>
              </w:rPr>
              <w:t xml:space="preserve">(anhand von Befragungen) </w:t>
            </w:r>
            <w:r w:rsidRPr="00885CAE">
              <w:rPr>
                <w:color w:val="000000" w:themeColor="text1"/>
                <w:lang w:val="de-CH"/>
              </w:rPr>
              <w:t xml:space="preserve">des Prozesses zur Festlegung, Überprüfung, Aktualisierung und Genehmigung von internen Weisungen / Richtlinien </w:t>
            </w:r>
            <w:r>
              <w:rPr>
                <w:color w:val="000000" w:themeColor="text1"/>
                <w:lang w:val="de-CH"/>
              </w:rPr>
              <w:t>sowie</w:t>
            </w:r>
            <w:r w:rsidRPr="00885CAE">
              <w:rPr>
                <w:color w:val="000000" w:themeColor="text1"/>
                <w:lang w:val="de-CH"/>
              </w:rPr>
              <w:t xml:space="preserve"> Beurteilung</w:t>
            </w:r>
            <w:r w:rsidR="005530EA">
              <w:rPr>
                <w:color w:val="000000" w:themeColor="text1"/>
                <w:lang w:val="de-CH"/>
              </w:rPr>
              <w:t xml:space="preserve"> (anhand von Befragungen)</w:t>
            </w:r>
            <w:r w:rsidRPr="00885CAE">
              <w:rPr>
                <w:color w:val="000000" w:themeColor="text1"/>
                <w:lang w:val="de-CH"/>
              </w:rPr>
              <w:t>, ob d</w:t>
            </w:r>
            <w:r>
              <w:rPr>
                <w:color w:val="000000" w:themeColor="text1"/>
                <w:lang w:val="de-CH"/>
              </w:rPr>
              <w:t xml:space="preserve">ie Ausgestaltung des </w:t>
            </w:r>
            <w:r w:rsidRPr="00885CAE">
              <w:rPr>
                <w:color w:val="000000" w:themeColor="text1"/>
                <w:lang w:val="de-CH"/>
              </w:rPr>
              <w:t>Prozess</w:t>
            </w:r>
            <w:r>
              <w:rPr>
                <w:color w:val="000000" w:themeColor="text1"/>
                <w:lang w:val="de-CH"/>
              </w:rPr>
              <w:t>es</w:t>
            </w:r>
            <w:r w:rsidRPr="00885CAE">
              <w:rPr>
                <w:color w:val="000000" w:themeColor="text1"/>
                <w:lang w:val="de-CH"/>
              </w:rPr>
              <w:t xml:space="preserve"> angemessen ist</w:t>
            </w:r>
            <w:r>
              <w:rPr>
                <w:color w:val="000000" w:themeColor="text1"/>
                <w:lang w:val="de-CH"/>
              </w:rPr>
              <w:t xml:space="preserve"> (Wirksamkeit der Ausgestaltung)</w:t>
            </w:r>
            <w:r w:rsidRPr="00885CAE">
              <w:rPr>
                <w:color w:val="000000" w:themeColor="text1"/>
                <w:lang w:val="de-CH"/>
              </w:rPr>
              <w:t>.</w:t>
            </w:r>
          </w:p>
        </w:tc>
        <w:tc>
          <w:tcPr>
            <w:tcW w:w="3827" w:type="dxa"/>
            <w:vMerge w:val="restart"/>
            <w:shd w:val="clear" w:color="auto" w:fill="auto"/>
          </w:tcPr>
          <w:p w14:paraId="6D608E2E" w14:textId="27172BB4" w:rsidR="00100AB2" w:rsidRPr="00885CAE" w:rsidRDefault="00100AB2" w:rsidP="006402B8">
            <w:pPr>
              <w:spacing w:before="0" w:after="0" w:line="240" w:lineRule="auto"/>
              <w:rPr>
                <w:rFonts w:cs="Arial"/>
                <w:i/>
                <w:sz w:val="16"/>
                <w:szCs w:val="16"/>
                <w:lang w:val="de-CH"/>
              </w:rPr>
            </w:pPr>
            <w:r w:rsidRPr="000251A4">
              <w:rPr>
                <w:sz w:val="16"/>
                <w:lang w:val="de-CH"/>
              </w:rPr>
              <w:t>Prüfung</w:t>
            </w:r>
            <w:r w:rsidRPr="00885CAE">
              <w:rPr>
                <w:sz w:val="16"/>
                <w:lang w:val="de-CH"/>
              </w:rPr>
              <w:t xml:space="preserve"> der operativen Wirksamkeit identifizierter Schlüsselkontrollen im Hinblick auf den Prozess zur Festlegung, Überprüfung, Aktualisierung und Genehmigung von Richtlinien.</w:t>
            </w:r>
          </w:p>
          <w:p w14:paraId="6D608E2F" w14:textId="77777777" w:rsidR="00100AB2" w:rsidRPr="00885CAE" w:rsidRDefault="00100AB2" w:rsidP="00E72C82">
            <w:pPr>
              <w:pStyle w:val="Bullet"/>
              <w:numPr>
                <w:ilvl w:val="0"/>
                <w:numId w:val="0"/>
              </w:numPr>
              <w:spacing w:before="0" w:after="0"/>
              <w:ind w:left="34"/>
              <w:rPr>
                <w:i/>
                <w:lang w:val="de-CH"/>
              </w:rPr>
            </w:pPr>
          </w:p>
        </w:tc>
        <w:tc>
          <w:tcPr>
            <w:tcW w:w="3686" w:type="dxa"/>
            <w:vMerge w:val="restart"/>
            <w:shd w:val="clear" w:color="auto" w:fill="auto"/>
          </w:tcPr>
          <w:p w14:paraId="6D608E30" w14:textId="77777777" w:rsidR="00100AB2" w:rsidRPr="00885CAE" w:rsidRDefault="00100AB2" w:rsidP="00E72C82">
            <w:pPr>
              <w:spacing w:before="0" w:after="0" w:line="240" w:lineRule="auto"/>
              <w:rPr>
                <w:rFonts w:cs="Arial"/>
                <w:sz w:val="16"/>
                <w:szCs w:val="16"/>
                <w:highlight w:val="cyan"/>
                <w:lang w:val="de-CH"/>
              </w:rPr>
            </w:pPr>
          </w:p>
        </w:tc>
        <w:tc>
          <w:tcPr>
            <w:tcW w:w="992" w:type="dxa"/>
            <w:tcBorders>
              <w:bottom w:val="nil"/>
            </w:tcBorders>
            <w:shd w:val="clear" w:color="auto" w:fill="auto"/>
          </w:tcPr>
          <w:p w14:paraId="6D608E31" w14:textId="77777777" w:rsidR="00100AB2" w:rsidRPr="00885CAE" w:rsidRDefault="00100AB2" w:rsidP="00E72C82">
            <w:pPr>
              <w:spacing w:before="0" w:after="0" w:line="240" w:lineRule="auto"/>
              <w:rPr>
                <w:rFonts w:cs="Arial"/>
                <w:sz w:val="16"/>
                <w:szCs w:val="16"/>
                <w:lang w:val="de-CH"/>
              </w:rPr>
            </w:pPr>
          </w:p>
        </w:tc>
      </w:tr>
      <w:tr w:rsidR="00100AB2" w:rsidRPr="00885CAE" w14:paraId="6D608E39" w14:textId="77777777" w:rsidTr="000D12C2">
        <w:trPr>
          <w:trHeight w:val="60"/>
        </w:trPr>
        <w:tc>
          <w:tcPr>
            <w:tcW w:w="531" w:type="dxa"/>
            <w:vMerge/>
            <w:tcBorders>
              <w:bottom w:val="single" w:sz="4" w:space="0" w:color="auto"/>
            </w:tcBorders>
            <w:shd w:val="clear" w:color="auto" w:fill="auto"/>
          </w:tcPr>
          <w:p w14:paraId="6D608E33" w14:textId="77777777" w:rsidR="00100AB2" w:rsidRPr="00885CAE" w:rsidRDefault="00100AB2" w:rsidP="00E72C82">
            <w:pPr>
              <w:spacing w:before="0" w:after="0" w:line="240" w:lineRule="auto"/>
              <w:rPr>
                <w:rFonts w:cs="Arial"/>
                <w:sz w:val="16"/>
                <w:szCs w:val="16"/>
                <w:lang w:val="de-CH"/>
              </w:rPr>
            </w:pPr>
          </w:p>
        </w:tc>
        <w:tc>
          <w:tcPr>
            <w:tcW w:w="1596" w:type="dxa"/>
            <w:vMerge/>
            <w:tcBorders>
              <w:bottom w:val="single" w:sz="4" w:space="0" w:color="auto"/>
            </w:tcBorders>
            <w:shd w:val="clear" w:color="auto" w:fill="auto"/>
          </w:tcPr>
          <w:p w14:paraId="6D608E34" w14:textId="77777777" w:rsidR="00100AB2" w:rsidRPr="00885CAE" w:rsidRDefault="00100AB2" w:rsidP="00E72C82">
            <w:pPr>
              <w:spacing w:before="0" w:after="0" w:line="240" w:lineRule="auto"/>
              <w:rPr>
                <w:b/>
                <w:sz w:val="16"/>
                <w:szCs w:val="16"/>
                <w:lang w:val="de-CH"/>
              </w:rPr>
            </w:pPr>
          </w:p>
        </w:tc>
        <w:tc>
          <w:tcPr>
            <w:tcW w:w="3685" w:type="dxa"/>
            <w:vMerge/>
            <w:tcBorders>
              <w:bottom w:val="single" w:sz="4" w:space="0" w:color="auto"/>
            </w:tcBorders>
            <w:shd w:val="clear" w:color="auto" w:fill="auto"/>
          </w:tcPr>
          <w:p w14:paraId="6D608E35" w14:textId="77777777" w:rsidR="00100AB2" w:rsidRPr="00885CAE" w:rsidRDefault="00100AB2" w:rsidP="006C7BC8">
            <w:pPr>
              <w:pStyle w:val="Bullet"/>
              <w:numPr>
                <w:ilvl w:val="0"/>
                <w:numId w:val="0"/>
              </w:numPr>
              <w:spacing w:before="0" w:after="0"/>
              <w:rPr>
                <w:lang w:val="de-CH"/>
              </w:rPr>
            </w:pPr>
          </w:p>
        </w:tc>
        <w:tc>
          <w:tcPr>
            <w:tcW w:w="3827" w:type="dxa"/>
            <w:vMerge/>
            <w:tcBorders>
              <w:bottom w:val="single" w:sz="4" w:space="0" w:color="auto"/>
            </w:tcBorders>
            <w:shd w:val="clear" w:color="auto" w:fill="auto"/>
          </w:tcPr>
          <w:p w14:paraId="6D608E36" w14:textId="77777777" w:rsidR="00100AB2" w:rsidRPr="00885CAE" w:rsidRDefault="00100AB2" w:rsidP="006402B8">
            <w:pPr>
              <w:spacing w:before="0" w:after="0" w:line="240" w:lineRule="auto"/>
              <w:rPr>
                <w:rFonts w:cs="Arial"/>
                <w:sz w:val="16"/>
                <w:szCs w:val="16"/>
                <w:lang w:val="de-CH"/>
              </w:rPr>
            </w:pPr>
          </w:p>
        </w:tc>
        <w:tc>
          <w:tcPr>
            <w:tcW w:w="3686" w:type="dxa"/>
            <w:vMerge/>
            <w:tcBorders>
              <w:bottom w:val="single" w:sz="4" w:space="0" w:color="auto"/>
            </w:tcBorders>
            <w:shd w:val="clear" w:color="auto" w:fill="auto"/>
          </w:tcPr>
          <w:p w14:paraId="6D608E37" w14:textId="77777777" w:rsidR="00100AB2" w:rsidRPr="00885CAE" w:rsidRDefault="00100AB2" w:rsidP="00E72C82">
            <w:pPr>
              <w:spacing w:before="0" w:after="0" w:line="240" w:lineRule="auto"/>
              <w:rPr>
                <w:rFonts w:cs="Arial"/>
                <w:sz w:val="16"/>
                <w:szCs w:val="16"/>
                <w:highlight w:val="cyan"/>
                <w:lang w:val="de-CH"/>
              </w:rPr>
            </w:pPr>
          </w:p>
        </w:tc>
        <w:tc>
          <w:tcPr>
            <w:tcW w:w="992" w:type="dxa"/>
            <w:tcBorders>
              <w:top w:val="nil"/>
              <w:bottom w:val="single" w:sz="4" w:space="0" w:color="auto"/>
            </w:tcBorders>
            <w:shd w:val="clear" w:color="auto" w:fill="auto"/>
          </w:tcPr>
          <w:p w14:paraId="6D608E38" w14:textId="77777777" w:rsidR="00100AB2" w:rsidRPr="00885CAE" w:rsidRDefault="00100AB2" w:rsidP="00E72C82">
            <w:pPr>
              <w:spacing w:before="0" w:after="0" w:line="240" w:lineRule="auto"/>
              <w:rPr>
                <w:rFonts w:cs="Arial"/>
                <w:sz w:val="16"/>
                <w:szCs w:val="16"/>
                <w:lang w:val="de-CH"/>
              </w:rPr>
            </w:pPr>
          </w:p>
        </w:tc>
      </w:tr>
      <w:tr w:rsidR="00685C55" w:rsidRPr="00885CAE" w14:paraId="6D608E40" w14:textId="77777777" w:rsidTr="00250F35">
        <w:trPr>
          <w:trHeight w:val="60"/>
        </w:trPr>
        <w:tc>
          <w:tcPr>
            <w:tcW w:w="531" w:type="dxa"/>
            <w:tcBorders>
              <w:top w:val="single" w:sz="4" w:space="0" w:color="auto"/>
              <w:bottom w:val="single" w:sz="4" w:space="0" w:color="auto"/>
            </w:tcBorders>
            <w:shd w:val="clear" w:color="auto" w:fill="auto"/>
          </w:tcPr>
          <w:p w14:paraId="6D608E3A" w14:textId="77777777" w:rsidR="00685C55" w:rsidRPr="00885CAE" w:rsidRDefault="00685C55" w:rsidP="00E72C82">
            <w:pPr>
              <w:spacing w:before="0" w:after="0" w:line="240" w:lineRule="auto"/>
              <w:rPr>
                <w:rFonts w:cs="Arial"/>
                <w:sz w:val="16"/>
                <w:szCs w:val="16"/>
                <w:lang w:val="de-CH"/>
              </w:rPr>
            </w:pPr>
          </w:p>
        </w:tc>
        <w:tc>
          <w:tcPr>
            <w:tcW w:w="1596" w:type="dxa"/>
            <w:tcBorders>
              <w:top w:val="single" w:sz="4" w:space="0" w:color="auto"/>
              <w:bottom w:val="single" w:sz="4" w:space="0" w:color="auto"/>
            </w:tcBorders>
            <w:shd w:val="clear" w:color="auto" w:fill="auto"/>
          </w:tcPr>
          <w:p w14:paraId="6D608E3B" w14:textId="77777777" w:rsidR="00685C55" w:rsidRPr="00885CAE" w:rsidRDefault="00685C55" w:rsidP="00E72C82">
            <w:pPr>
              <w:spacing w:before="0" w:after="0" w:line="240" w:lineRule="auto"/>
              <w:rPr>
                <w:b/>
                <w:sz w:val="16"/>
                <w:szCs w:val="16"/>
                <w:lang w:val="de-CH"/>
              </w:rPr>
            </w:pPr>
          </w:p>
        </w:tc>
        <w:tc>
          <w:tcPr>
            <w:tcW w:w="3685" w:type="dxa"/>
            <w:tcBorders>
              <w:top w:val="single" w:sz="4" w:space="0" w:color="auto"/>
              <w:bottom w:val="single" w:sz="4" w:space="0" w:color="auto"/>
            </w:tcBorders>
            <w:shd w:val="clear" w:color="auto" w:fill="auto"/>
          </w:tcPr>
          <w:p w14:paraId="6D608E3C" w14:textId="0323ADBB" w:rsidR="00685C55" w:rsidRPr="00885CAE" w:rsidRDefault="00EE1142" w:rsidP="00450038">
            <w:pPr>
              <w:pStyle w:val="Bullet"/>
              <w:numPr>
                <w:ilvl w:val="0"/>
                <w:numId w:val="0"/>
              </w:numPr>
              <w:spacing w:before="0" w:after="0"/>
              <w:rPr>
                <w:lang w:val="de-CH"/>
              </w:rPr>
            </w:pPr>
            <w:r w:rsidRPr="00885CAE">
              <w:rPr>
                <w:lang w:val="de-CH"/>
              </w:rPr>
              <w:t xml:space="preserve">Beurteilung </w:t>
            </w:r>
            <w:r w:rsidR="00F63D49">
              <w:rPr>
                <w:lang w:val="de-CH"/>
              </w:rPr>
              <w:t>anhand einer Erhebung und</w:t>
            </w:r>
            <w:r w:rsidR="00F63D49" w:rsidRPr="00885CAE">
              <w:rPr>
                <w:lang w:val="de-CH"/>
              </w:rPr>
              <w:t xml:space="preserve"> </w:t>
            </w:r>
            <w:r w:rsidR="00F63D49">
              <w:rPr>
                <w:lang w:val="de-CH"/>
              </w:rPr>
              <w:t>Durchsicht</w:t>
            </w:r>
            <w:r w:rsidR="00F63D49" w:rsidRPr="00885CAE">
              <w:rPr>
                <w:lang w:val="de-CH"/>
              </w:rPr>
              <w:t xml:space="preserve"> relevanter Dokumente (Richtlinien, Weisungen, Handbücher usw.)</w:t>
            </w:r>
            <w:r w:rsidR="00F63D49">
              <w:rPr>
                <w:lang w:val="de-CH"/>
              </w:rPr>
              <w:t xml:space="preserve">, ob </w:t>
            </w:r>
            <w:r w:rsidRPr="00885CAE">
              <w:rPr>
                <w:lang w:val="de-CH"/>
              </w:rPr>
              <w:t>d</w:t>
            </w:r>
            <w:r w:rsidR="00450038">
              <w:rPr>
                <w:lang w:val="de-CH"/>
              </w:rPr>
              <w:t>ie</w:t>
            </w:r>
            <w:r w:rsidRPr="00885CAE">
              <w:rPr>
                <w:lang w:val="de-CH"/>
              </w:rPr>
              <w:t xml:space="preserve"> Vorgaben des Instituts zur Ermittlung von Änderungsbedarf bei bestehenden Weisungen oder von Erstellungsbedarf für neue Weisungen (infolge strategischer Änderungen, Prozessänderungen, regulatorischer Entwicklungen usw.)</w:t>
            </w:r>
            <w:r w:rsidR="00450038">
              <w:rPr>
                <w:lang w:val="de-CH"/>
              </w:rPr>
              <w:t xml:space="preserve"> im Allgemeinen angemessen sind</w:t>
            </w:r>
            <w:r w:rsidR="00F63D49">
              <w:rPr>
                <w:lang w:val="de-CH"/>
              </w:rPr>
              <w:t>.</w:t>
            </w:r>
          </w:p>
        </w:tc>
        <w:tc>
          <w:tcPr>
            <w:tcW w:w="3827" w:type="dxa"/>
            <w:tcBorders>
              <w:top w:val="single" w:sz="4" w:space="0" w:color="auto"/>
              <w:bottom w:val="single" w:sz="4" w:space="0" w:color="auto"/>
            </w:tcBorders>
            <w:shd w:val="clear" w:color="auto" w:fill="auto"/>
          </w:tcPr>
          <w:p w14:paraId="6D608E3D" w14:textId="417DD0EF" w:rsidR="00685C55" w:rsidRPr="00885CAE" w:rsidDel="00F148CC" w:rsidRDefault="00C52403" w:rsidP="00420151">
            <w:pPr>
              <w:spacing w:before="0" w:after="0" w:line="240" w:lineRule="auto"/>
              <w:rPr>
                <w:rFonts w:cs="Arial"/>
                <w:sz w:val="16"/>
                <w:szCs w:val="16"/>
                <w:lang w:val="de-CH"/>
              </w:rPr>
            </w:pPr>
            <w:r w:rsidRPr="000251A4">
              <w:rPr>
                <w:sz w:val="16"/>
                <w:lang w:val="de-CH"/>
              </w:rPr>
              <w:t>Beurteilung</w:t>
            </w:r>
            <w:r w:rsidRPr="00885CAE">
              <w:rPr>
                <w:sz w:val="16"/>
                <w:lang w:val="de-CH"/>
              </w:rPr>
              <w:t xml:space="preserve"> </w:t>
            </w:r>
            <w:r w:rsidR="00450038" w:rsidRPr="00885CAE">
              <w:rPr>
                <w:sz w:val="16"/>
                <w:lang w:val="de-CH"/>
              </w:rPr>
              <w:t xml:space="preserve">auf </w:t>
            </w:r>
            <w:r w:rsidR="00223F6D">
              <w:rPr>
                <w:sz w:val="16"/>
                <w:lang w:val="de-CH"/>
              </w:rPr>
              <w:t xml:space="preserve">der Basis </w:t>
            </w:r>
            <w:r>
              <w:rPr>
                <w:sz w:val="16"/>
                <w:lang w:val="de-CH"/>
              </w:rPr>
              <w:t xml:space="preserve"> </w:t>
            </w:r>
            <w:r w:rsidR="000C162D">
              <w:rPr>
                <w:sz w:val="16"/>
                <w:lang w:val="de-CH"/>
              </w:rPr>
              <w:t>einer</w:t>
            </w:r>
            <w:r w:rsidR="0089240E">
              <w:rPr>
                <w:sz w:val="16"/>
                <w:lang w:val="de-CH"/>
              </w:rPr>
              <w:t xml:space="preserve"> stichprobenweise</w:t>
            </w:r>
            <w:r w:rsidR="000C162D">
              <w:rPr>
                <w:sz w:val="16"/>
                <w:lang w:val="de-CH"/>
              </w:rPr>
              <w:t xml:space="preserve"> </w:t>
            </w:r>
            <w:r>
              <w:rPr>
                <w:sz w:val="16"/>
                <w:lang w:val="de-CH"/>
              </w:rPr>
              <w:t>Einsicht</w:t>
            </w:r>
            <w:r w:rsidR="000C162D">
              <w:rPr>
                <w:sz w:val="16"/>
                <w:lang w:val="de-CH"/>
              </w:rPr>
              <w:t xml:space="preserve">nahme in </w:t>
            </w:r>
            <w:r>
              <w:rPr>
                <w:sz w:val="16"/>
                <w:lang w:val="de-CH"/>
              </w:rPr>
              <w:t>Dokumente</w:t>
            </w:r>
            <w:r w:rsidR="00EE1142" w:rsidRPr="00885CAE">
              <w:rPr>
                <w:sz w:val="16"/>
                <w:lang w:val="de-CH"/>
              </w:rPr>
              <w:t>, ob das Institut die internen Vorgaben in Bezug auf Änderungen bestehender Weisungen und/oder die Erstellung neuer Weisungen ein</w:t>
            </w:r>
            <w:r w:rsidR="00223F6D">
              <w:rPr>
                <w:sz w:val="16"/>
                <w:lang w:val="de-CH"/>
              </w:rPr>
              <w:t>gehalten hat.</w:t>
            </w:r>
          </w:p>
        </w:tc>
        <w:tc>
          <w:tcPr>
            <w:tcW w:w="3686" w:type="dxa"/>
            <w:tcBorders>
              <w:top w:val="single" w:sz="4" w:space="0" w:color="auto"/>
              <w:bottom w:val="single" w:sz="4" w:space="0" w:color="auto"/>
            </w:tcBorders>
            <w:shd w:val="clear" w:color="auto" w:fill="auto"/>
          </w:tcPr>
          <w:p w14:paraId="6D608E3E" w14:textId="77777777" w:rsidR="00685C55" w:rsidRPr="00885CAE" w:rsidRDefault="00685C55" w:rsidP="00E72C82">
            <w:pPr>
              <w:spacing w:before="0" w:after="0" w:line="240" w:lineRule="auto"/>
              <w:rPr>
                <w:rFonts w:cs="Arial"/>
                <w:sz w:val="16"/>
                <w:szCs w:val="16"/>
                <w:lang w:val="de-CH"/>
              </w:rPr>
            </w:pPr>
          </w:p>
        </w:tc>
        <w:tc>
          <w:tcPr>
            <w:tcW w:w="992" w:type="dxa"/>
            <w:tcBorders>
              <w:top w:val="single" w:sz="4" w:space="0" w:color="auto"/>
              <w:bottom w:val="single" w:sz="4" w:space="0" w:color="auto"/>
            </w:tcBorders>
            <w:shd w:val="clear" w:color="auto" w:fill="auto"/>
          </w:tcPr>
          <w:p w14:paraId="6D608E3F" w14:textId="77777777" w:rsidR="00685C55" w:rsidRPr="00885CAE" w:rsidRDefault="00685C55" w:rsidP="00E72C82">
            <w:pPr>
              <w:spacing w:before="0" w:after="0" w:line="240" w:lineRule="auto"/>
              <w:rPr>
                <w:rFonts w:cs="Arial"/>
                <w:sz w:val="16"/>
                <w:szCs w:val="16"/>
                <w:lang w:val="de-CH"/>
              </w:rPr>
            </w:pPr>
          </w:p>
        </w:tc>
      </w:tr>
    </w:tbl>
    <w:p w14:paraId="6D608E41" w14:textId="77777777" w:rsidR="007C6F88" w:rsidRPr="00885CAE" w:rsidRDefault="007C6F88" w:rsidP="00166DBD">
      <w:pPr>
        <w:spacing w:before="0" w:after="0" w:line="240" w:lineRule="auto"/>
        <w:jc w:val="center"/>
        <w:rPr>
          <w:rFonts w:cs="Arial"/>
          <w:lang w:val="de-CH"/>
        </w:rPr>
      </w:pPr>
    </w:p>
    <w:p w14:paraId="6D608E42" w14:textId="77777777" w:rsidR="00902075" w:rsidRPr="00885CAE" w:rsidRDefault="00902075">
      <w:pPr>
        <w:spacing w:before="0" w:after="200"/>
        <w:rPr>
          <w:rFonts w:cs="Arial"/>
          <w:b/>
          <w:lang w:val="de-CH"/>
        </w:rPr>
      </w:pPr>
      <w:r w:rsidRPr="00885CAE">
        <w:rPr>
          <w:lang w:val="de-CH"/>
        </w:rPr>
        <w:br w:type="page"/>
      </w:r>
    </w:p>
    <w:p w14:paraId="6D608E43" w14:textId="77777777" w:rsidR="00902075" w:rsidRPr="00885CAE" w:rsidRDefault="00902075" w:rsidP="00902075">
      <w:pPr>
        <w:spacing w:before="0" w:after="0" w:line="240" w:lineRule="auto"/>
        <w:rPr>
          <w:rFonts w:cs="Arial"/>
          <w:b/>
          <w:u w:val="single"/>
          <w:lang w:val="de-CH"/>
        </w:rPr>
      </w:pPr>
      <w:r w:rsidRPr="00885CAE">
        <w:rPr>
          <w:b/>
          <w:lang w:val="de-CH"/>
        </w:rPr>
        <w:lastRenderedPageBreak/>
        <w:t xml:space="preserve">Prüfprogramm – </w:t>
      </w:r>
      <w:r w:rsidRPr="00885CAE">
        <w:rPr>
          <w:b/>
          <w:u w:val="single"/>
          <w:lang w:val="de-CH"/>
        </w:rPr>
        <w:t>Interne Organisation und internes Kontrollsystem – Angemessenheit des internen Kontrollsystems</w:t>
      </w:r>
    </w:p>
    <w:p w14:paraId="6D608E44" w14:textId="77777777" w:rsidR="00902075" w:rsidRPr="00885CAE" w:rsidRDefault="00902075" w:rsidP="00902075">
      <w:pPr>
        <w:spacing w:before="0" w:after="0" w:line="240" w:lineRule="auto"/>
        <w:rPr>
          <w:rFonts w:cs="Arial"/>
          <w:b/>
          <w:u w:val="single"/>
          <w:lang w:val="de-CH"/>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902075" w:rsidRPr="00885CAE" w14:paraId="6D608E4B" w14:textId="77777777" w:rsidTr="00E72C82">
        <w:trPr>
          <w:tblHeader/>
        </w:trPr>
        <w:tc>
          <w:tcPr>
            <w:tcW w:w="531" w:type="dxa"/>
            <w:tcBorders>
              <w:bottom w:val="single" w:sz="4" w:space="0" w:color="auto"/>
            </w:tcBorders>
            <w:shd w:val="pct20" w:color="auto" w:fill="auto"/>
          </w:tcPr>
          <w:p w14:paraId="6D608E45" w14:textId="77777777" w:rsidR="00902075" w:rsidRPr="00885CAE" w:rsidRDefault="00902075" w:rsidP="00E72C82">
            <w:pPr>
              <w:spacing w:before="0" w:after="0" w:line="240" w:lineRule="auto"/>
              <w:rPr>
                <w:rFonts w:cs="Arial"/>
                <w:b/>
                <w:sz w:val="16"/>
                <w:szCs w:val="16"/>
                <w:lang w:val="de-CH"/>
              </w:rPr>
            </w:pPr>
            <w:r w:rsidRPr="00885CAE">
              <w:rPr>
                <w:b/>
                <w:sz w:val="16"/>
                <w:lang w:val="de-CH"/>
              </w:rPr>
              <w:t>Nr.</w:t>
            </w:r>
          </w:p>
        </w:tc>
        <w:tc>
          <w:tcPr>
            <w:tcW w:w="1596" w:type="dxa"/>
            <w:tcBorders>
              <w:bottom w:val="single" w:sz="4" w:space="0" w:color="auto"/>
            </w:tcBorders>
            <w:shd w:val="pct20" w:color="auto" w:fill="auto"/>
          </w:tcPr>
          <w:p w14:paraId="6D608E46" w14:textId="77777777" w:rsidR="00902075" w:rsidRPr="00885CAE" w:rsidRDefault="00902075" w:rsidP="00E72C82">
            <w:pPr>
              <w:spacing w:before="0" w:after="0" w:line="240" w:lineRule="auto"/>
              <w:rPr>
                <w:rFonts w:cs="Arial"/>
                <w:b/>
                <w:sz w:val="16"/>
                <w:szCs w:val="16"/>
                <w:lang w:val="de-CH"/>
              </w:rPr>
            </w:pPr>
            <w:r w:rsidRPr="00885CAE">
              <w:rPr>
                <w:b/>
                <w:sz w:val="16"/>
                <w:lang w:val="de-CH"/>
              </w:rPr>
              <w:t>Thema:</w:t>
            </w:r>
          </w:p>
        </w:tc>
        <w:tc>
          <w:tcPr>
            <w:tcW w:w="3685" w:type="dxa"/>
            <w:tcBorders>
              <w:bottom w:val="single" w:sz="4" w:space="0" w:color="auto"/>
            </w:tcBorders>
            <w:shd w:val="pct20" w:color="auto" w:fill="auto"/>
          </w:tcPr>
          <w:p w14:paraId="6D608E47" w14:textId="25BACAA6" w:rsidR="00902075" w:rsidRPr="00885CAE" w:rsidRDefault="00902075" w:rsidP="00E72C82">
            <w:pPr>
              <w:spacing w:before="0" w:after="0" w:line="240" w:lineRule="auto"/>
              <w:rPr>
                <w:rFonts w:cs="Arial"/>
                <w:b/>
                <w:sz w:val="16"/>
                <w:szCs w:val="16"/>
                <w:lang w:val="de-CH"/>
              </w:rPr>
            </w:pPr>
            <w:r w:rsidRPr="00885CAE">
              <w:rPr>
                <w:b/>
                <w:sz w:val="16"/>
                <w:lang w:val="de-CH"/>
              </w:rPr>
              <w:t>Prüfungshandlungen für Prüftiefe „kritische Beurteilung“:</w:t>
            </w:r>
          </w:p>
        </w:tc>
        <w:tc>
          <w:tcPr>
            <w:tcW w:w="3827" w:type="dxa"/>
            <w:tcBorders>
              <w:bottom w:val="single" w:sz="4" w:space="0" w:color="auto"/>
            </w:tcBorders>
            <w:shd w:val="pct20" w:color="auto" w:fill="auto"/>
          </w:tcPr>
          <w:p w14:paraId="6D608E48" w14:textId="09FD1ABA" w:rsidR="00902075" w:rsidRPr="00885CAE" w:rsidRDefault="00902075" w:rsidP="001B380C">
            <w:pPr>
              <w:spacing w:before="0" w:after="0" w:line="240" w:lineRule="auto"/>
              <w:rPr>
                <w:rFonts w:cs="Arial"/>
                <w:b/>
                <w:sz w:val="16"/>
                <w:szCs w:val="16"/>
                <w:lang w:val="de-CH"/>
              </w:rPr>
            </w:pPr>
            <w:r w:rsidRPr="00885CAE">
              <w:rPr>
                <w:b/>
                <w:sz w:val="16"/>
                <w:u w:val="single"/>
                <w:lang w:val="de-CH"/>
              </w:rPr>
              <w:t>Zusätzliche</w:t>
            </w:r>
            <w:r w:rsidRPr="00885CAE">
              <w:rPr>
                <w:b/>
                <w:sz w:val="16"/>
                <w:lang w:val="de-CH"/>
              </w:rPr>
              <w:t xml:space="preserve"> Prüfungshandlungen für Prüftiefe „Prüfung“:</w:t>
            </w:r>
          </w:p>
        </w:tc>
        <w:tc>
          <w:tcPr>
            <w:tcW w:w="3686" w:type="dxa"/>
            <w:tcBorders>
              <w:bottom w:val="single" w:sz="4" w:space="0" w:color="auto"/>
            </w:tcBorders>
            <w:shd w:val="pct20" w:color="auto" w:fill="auto"/>
          </w:tcPr>
          <w:p w14:paraId="6D608E49" w14:textId="77777777" w:rsidR="00902075" w:rsidRPr="00885CAE" w:rsidRDefault="0090547A" w:rsidP="00E72C82">
            <w:pPr>
              <w:spacing w:before="0" w:after="0" w:line="240" w:lineRule="auto"/>
              <w:rPr>
                <w:rFonts w:cs="Arial"/>
                <w:b/>
                <w:sz w:val="16"/>
                <w:szCs w:val="16"/>
                <w:lang w:val="de-CH"/>
              </w:rPr>
            </w:pPr>
            <w:r w:rsidRPr="00885CAE">
              <w:rPr>
                <w:b/>
                <w:sz w:val="16"/>
                <w:lang w:val="de-CH"/>
              </w:rPr>
              <w:t>Durchgeführte Prüfungshandlungen / Feststellungen</w:t>
            </w:r>
          </w:p>
        </w:tc>
        <w:tc>
          <w:tcPr>
            <w:tcW w:w="992" w:type="dxa"/>
            <w:tcBorders>
              <w:bottom w:val="single" w:sz="4" w:space="0" w:color="auto"/>
            </w:tcBorders>
            <w:shd w:val="pct20" w:color="auto" w:fill="auto"/>
          </w:tcPr>
          <w:p w14:paraId="6D608E4A" w14:textId="77777777" w:rsidR="00902075" w:rsidRPr="00885CAE" w:rsidRDefault="00902075" w:rsidP="00E72C82">
            <w:pPr>
              <w:spacing w:before="0" w:after="0" w:line="240" w:lineRule="auto"/>
              <w:rPr>
                <w:rFonts w:cs="Arial"/>
                <w:b/>
                <w:sz w:val="16"/>
                <w:szCs w:val="16"/>
                <w:lang w:val="de-CH"/>
              </w:rPr>
            </w:pPr>
            <w:r w:rsidRPr="00885CAE">
              <w:rPr>
                <w:b/>
                <w:sz w:val="16"/>
                <w:lang w:val="de-CH"/>
              </w:rPr>
              <w:t xml:space="preserve">Arbeitspapiere </w:t>
            </w:r>
            <w:proofErr w:type="spellStart"/>
            <w:r w:rsidRPr="00885CAE">
              <w:rPr>
                <w:b/>
                <w:sz w:val="16"/>
                <w:lang w:val="de-CH"/>
              </w:rPr>
              <w:t>Ref</w:t>
            </w:r>
            <w:proofErr w:type="spellEnd"/>
            <w:r w:rsidRPr="00885CAE">
              <w:rPr>
                <w:b/>
                <w:sz w:val="16"/>
                <w:lang w:val="de-CH"/>
              </w:rPr>
              <w:t>.:</w:t>
            </w:r>
          </w:p>
        </w:tc>
      </w:tr>
      <w:tr w:rsidR="000877B1" w:rsidRPr="00D6498A" w14:paraId="6D608E4F" w14:textId="77777777" w:rsidTr="001038EF">
        <w:tc>
          <w:tcPr>
            <w:tcW w:w="14317" w:type="dxa"/>
            <w:gridSpan w:val="6"/>
            <w:shd w:val="pct10" w:color="auto" w:fill="auto"/>
          </w:tcPr>
          <w:p w14:paraId="6D608E4E" w14:textId="557B7C59" w:rsidR="000877B1" w:rsidRPr="0023086C" w:rsidRDefault="000877B1" w:rsidP="002A238B">
            <w:pPr>
              <w:spacing w:before="0" w:after="0" w:line="240" w:lineRule="auto"/>
              <w:rPr>
                <w:rFonts w:cs="Arial"/>
                <w:i/>
                <w:sz w:val="16"/>
                <w:szCs w:val="16"/>
                <w:lang w:val="fr-CH"/>
              </w:rPr>
            </w:pPr>
          </w:p>
        </w:tc>
      </w:tr>
      <w:tr w:rsidR="00D97ED5" w:rsidRPr="00DE3CF0" w14:paraId="6D608E58" w14:textId="77777777" w:rsidTr="008D65C6">
        <w:tc>
          <w:tcPr>
            <w:tcW w:w="531" w:type="dxa"/>
            <w:vMerge w:val="restart"/>
            <w:shd w:val="clear" w:color="auto" w:fill="auto"/>
          </w:tcPr>
          <w:p w14:paraId="6D608E50" w14:textId="77777777" w:rsidR="00D97ED5" w:rsidRPr="0023086C" w:rsidRDefault="00D97ED5" w:rsidP="008D65C6">
            <w:pPr>
              <w:spacing w:before="0" w:after="0" w:line="240" w:lineRule="auto"/>
              <w:rPr>
                <w:rFonts w:cs="Arial"/>
                <w:sz w:val="16"/>
                <w:szCs w:val="16"/>
                <w:lang w:val="fr-CH"/>
              </w:rPr>
            </w:pPr>
          </w:p>
        </w:tc>
        <w:tc>
          <w:tcPr>
            <w:tcW w:w="1596" w:type="dxa"/>
            <w:vMerge w:val="restart"/>
            <w:shd w:val="clear" w:color="auto" w:fill="auto"/>
          </w:tcPr>
          <w:p w14:paraId="6D608E51" w14:textId="77777777" w:rsidR="00982F4E" w:rsidRPr="00DE3CF0" w:rsidRDefault="00D97ED5" w:rsidP="008D65C6">
            <w:pPr>
              <w:spacing w:before="0" w:after="0" w:line="240" w:lineRule="auto"/>
              <w:rPr>
                <w:b/>
                <w:sz w:val="16"/>
                <w:szCs w:val="16"/>
                <w:lang w:val="de-CH"/>
              </w:rPr>
            </w:pPr>
            <w:r w:rsidRPr="00DE3CF0">
              <w:rPr>
                <w:b/>
                <w:sz w:val="16"/>
                <w:lang w:val="de-CH"/>
              </w:rPr>
              <w:t xml:space="preserve">Angemessenheit des internen Kontrollsystems </w:t>
            </w:r>
          </w:p>
          <w:p w14:paraId="6D608E52" w14:textId="77777777" w:rsidR="00982F4E" w:rsidRPr="00DE3CF0" w:rsidRDefault="00982F4E" w:rsidP="008D65C6">
            <w:pPr>
              <w:spacing w:before="0" w:after="0" w:line="240" w:lineRule="auto"/>
              <w:rPr>
                <w:b/>
                <w:sz w:val="16"/>
                <w:szCs w:val="16"/>
                <w:lang w:val="de-CH"/>
              </w:rPr>
            </w:pPr>
          </w:p>
          <w:p w14:paraId="6D608E53" w14:textId="2EA65210" w:rsidR="00D97ED5" w:rsidRPr="00DE3CF0" w:rsidRDefault="00D97ED5" w:rsidP="00F43432">
            <w:pPr>
              <w:spacing w:before="0" w:after="0" w:line="240" w:lineRule="auto"/>
              <w:rPr>
                <w:rFonts w:cs="Arial"/>
                <w:b/>
                <w:sz w:val="16"/>
                <w:szCs w:val="16"/>
                <w:lang w:val="de-CH"/>
              </w:rPr>
            </w:pPr>
            <w:r w:rsidRPr="00DE3CF0">
              <w:rPr>
                <w:sz w:val="16"/>
                <w:lang w:val="de-CH"/>
              </w:rPr>
              <w:t xml:space="preserve">(Methoden zur Risikoidentifikation, </w:t>
            </w:r>
            <w:r w:rsidR="00223F6D" w:rsidRPr="00DE3CF0">
              <w:rPr>
                <w:sz w:val="16"/>
                <w:lang w:val="de-CH"/>
              </w:rPr>
              <w:t>-b</w:t>
            </w:r>
            <w:r w:rsidRPr="00DE3CF0">
              <w:rPr>
                <w:sz w:val="16"/>
                <w:lang w:val="de-CH"/>
              </w:rPr>
              <w:t xml:space="preserve">ewertung, </w:t>
            </w:r>
            <w:r w:rsidR="00223F6D" w:rsidRPr="00DE3CF0">
              <w:rPr>
                <w:sz w:val="16"/>
                <w:lang w:val="de-CH"/>
              </w:rPr>
              <w:t>-m</w:t>
            </w:r>
            <w:r w:rsidRPr="00DE3CF0">
              <w:rPr>
                <w:sz w:val="16"/>
                <w:lang w:val="de-CH"/>
              </w:rPr>
              <w:t xml:space="preserve">essung, </w:t>
            </w:r>
            <w:r w:rsidR="00223F6D" w:rsidRPr="00DE3CF0">
              <w:rPr>
                <w:sz w:val="16"/>
                <w:lang w:val="de-CH"/>
              </w:rPr>
              <w:t>-ü</w:t>
            </w:r>
            <w:r w:rsidRPr="00DE3CF0">
              <w:rPr>
                <w:sz w:val="16"/>
                <w:lang w:val="de-CH"/>
              </w:rPr>
              <w:t xml:space="preserve">berwachung und </w:t>
            </w:r>
            <w:r w:rsidR="00223F6D" w:rsidRPr="00DE3CF0">
              <w:rPr>
                <w:sz w:val="16"/>
                <w:lang w:val="de-CH"/>
              </w:rPr>
              <w:t>-b</w:t>
            </w:r>
            <w:r w:rsidRPr="00DE3CF0">
              <w:rPr>
                <w:sz w:val="16"/>
                <w:lang w:val="de-CH"/>
              </w:rPr>
              <w:t>erichterstattung, Implementierung von Kontrollen)</w:t>
            </w:r>
          </w:p>
        </w:tc>
        <w:tc>
          <w:tcPr>
            <w:tcW w:w="3685" w:type="dxa"/>
            <w:shd w:val="clear" w:color="auto" w:fill="auto"/>
          </w:tcPr>
          <w:p w14:paraId="6D608E54" w14:textId="77777777" w:rsidR="00D97ED5" w:rsidRPr="00DE3CF0" w:rsidRDefault="00D97ED5" w:rsidP="008D65C6">
            <w:pPr>
              <w:pStyle w:val="Bullet"/>
              <w:numPr>
                <w:ilvl w:val="0"/>
                <w:numId w:val="0"/>
              </w:numPr>
              <w:spacing w:before="0" w:after="0"/>
              <w:rPr>
                <w:i/>
                <w:lang w:val="de-CH"/>
              </w:rPr>
            </w:pPr>
            <w:r w:rsidRPr="00DE3CF0">
              <w:rPr>
                <w:i/>
                <w:lang w:val="de-CH"/>
              </w:rPr>
              <w:t>Beurteilung der Angemessenheit der Methoden zur Identifikation, Bewertung, Messung, Überwachung und Berichterstattung von Risiken nach Massgabe der Grösse und der Geschäfts- und Organisationskomplexität des Instituts, namentlich</w:t>
            </w:r>
          </w:p>
        </w:tc>
        <w:tc>
          <w:tcPr>
            <w:tcW w:w="3827" w:type="dxa"/>
            <w:shd w:val="clear" w:color="auto" w:fill="auto"/>
          </w:tcPr>
          <w:p w14:paraId="6D608E55" w14:textId="77777777" w:rsidR="00D97ED5" w:rsidRPr="00DE3CF0" w:rsidRDefault="00D97ED5">
            <w:pPr>
              <w:pStyle w:val="Bullet"/>
              <w:numPr>
                <w:ilvl w:val="0"/>
                <w:numId w:val="0"/>
              </w:numPr>
              <w:spacing w:before="0" w:after="0"/>
              <w:ind w:left="34"/>
              <w:rPr>
                <w:lang w:val="de-CH"/>
              </w:rPr>
            </w:pPr>
          </w:p>
        </w:tc>
        <w:tc>
          <w:tcPr>
            <w:tcW w:w="3686" w:type="dxa"/>
            <w:shd w:val="clear" w:color="auto" w:fill="auto"/>
          </w:tcPr>
          <w:p w14:paraId="6D608E56" w14:textId="77777777" w:rsidR="00D97ED5" w:rsidRPr="00DE3CF0" w:rsidRDefault="00D97ED5" w:rsidP="008D65C6">
            <w:pPr>
              <w:spacing w:before="0" w:after="0" w:line="240" w:lineRule="auto"/>
              <w:rPr>
                <w:rFonts w:cs="Arial"/>
                <w:sz w:val="16"/>
                <w:szCs w:val="16"/>
                <w:lang w:val="de-CH"/>
              </w:rPr>
            </w:pPr>
          </w:p>
        </w:tc>
        <w:tc>
          <w:tcPr>
            <w:tcW w:w="992" w:type="dxa"/>
            <w:shd w:val="clear" w:color="auto" w:fill="auto"/>
          </w:tcPr>
          <w:p w14:paraId="6D608E57" w14:textId="77777777" w:rsidR="00D97ED5" w:rsidRPr="00DE3CF0" w:rsidRDefault="00D97ED5" w:rsidP="008D65C6">
            <w:pPr>
              <w:spacing w:before="0" w:after="0" w:line="240" w:lineRule="auto"/>
              <w:rPr>
                <w:rFonts w:cs="Arial"/>
                <w:sz w:val="16"/>
                <w:szCs w:val="16"/>
                <w:lang w:val="de-CH"/>
              </w:rPr>
            </w:pPr>
          </w:p>
        </w:tc>
      </w:tr>
      <w:tr w:rsidR="00D97ED5" w:rsidRPr="00DE3CF0" w14:paraId="6D608E61" w14:textId="77777777" w:rsidTr="008D65C6">
        <w:tc>
          <w:tcPr>
            <w:tcW w:w="531" w:type="dxa"/>
            <w:vMerge/>
            <w:shd w:val="clear" w:color="auto" w:fill="auto"/>
          </w:tcPr>
          <w:p w14:paraId="6D608E59" w14:textId="77777777" w:rsidR="00D97ED5" w:rsidRPr="00DE3CF0" w:rsidRDefault="00D97ED5" w:rsidP="008D65C6">
            <w:pPr>
              <w:spacing w:before="0" w:after="0" w:line="240" w:lineRule="auto"/>
              <w:rPr>
                <w:rFonts w:cs="Arial"/>
                <w:sz w:val="16"/>
                <w:szCs w:val="16"/>
                <w:lang w:val="de-CH"/>
              </w:rPr>
            </w:pPr>
          </w:p>
        </w:tc>
        <w:tc>
          <w:tcPr>
            <w:tcW w:w="1596" w:type="dxa"/>
            <w:vMerge/>
            <w:shd w:val="clear" w:color="auto" w:fill="auto"/>
          </w:tcPr>
          <w:p w14:paraId="6D608E5A" w14:textId="77777777" w:rsidR="00D97ED5" w:rsidRPr="00DE3CF0" w:rsidRDefault="00D97ED5" w:rsidP="008D65C6">
            <w:pPr>
              <w:spacing w:before="0" w:after="0" w:line="240" w:lineRule="auto"/>
              <w:rPr>
                <w:sz w:val="16"/>
                <w:szCs w:val="16"/>
                <w:lang w:val="de-CH"/>
              </w:rPr>
            </w:pPr>
          </w:p>
        </w:tc>
        <w:tc>
          <w:tcPr>
            <w:tcW w:w="3685" w:type="dxa"/>
            <w:shd w:val="clear" w:color="auto" w:fill="auto"/>
          </w:tcPr>
          <w:p w14:paraId="6D608E5B" w14:textId="11E265C5" w:rsidR="00D97ED5" w:rsidRPr="00DE3CF0" w:rsidRDefault="00D97ED5" w:rsidP="00621045">
            <w:pPr>
              <w:pStyle w:val="Bullet"/>
              <w:numPr>
                <w:ilvl w:val="0"/>
                <w:numId w:val="0"/>
              </w:numPr>
              <w:spacing w:before="0" w:after="0"/>
              <w:rPr>
                <w:lang w:val="de-CH"/>
              </w:rPr>
            </w:pPr>
            <w:r w:rsidRPr="00DE3CF0">
              <w:rPr>
                <w:lang w:val="de-CH"/>
              </w:rPr>
              <w:t>Beurteilung, ob d</w:t>
            </w:r>
            <w:r w:rsidR="000B76EE" w:rsidRPr="00DE3CF0">
              <w:rPr>
                <w:lang w:val="de-CH"/>
              </w:rPr>
              <w:t>as Oberleitungsorgan die Geschäftsstrategie festlegt,</w:t>
            </w:r>
            <w:r w:rsidR="00621045">
              <w:rPr>
                <w:lang w:val="de-CH"/>
              </w:rPr>
              <w:t xml:space="preserve"> und</w:t>
            </w:r>
            <w:r w:rsidR="000B76EE" w:rsidRPr="00DE3CF0">
              <w:rPr>
                <w:lang w:val="de-CH"/>
              </w:rPr>
              <w:t xml:space="preserve"> die </w:t>
            </w:r>
            <w:r w:rsidRPr="00DE3CF0">
              <w:rPr>
                <w:lang w:val="de-CH"/>
              </w:rPr>
              <w:t xml:space="preserve">Festlegung von Richtlinien und Prozessen zur Identifikation, Bewertung, Messung, Überwachung und </w:t>
            </w:r>
            <w:r w:rsidR="00E6222C" w:rsidRPr="00DE3CF0">
              <w:rPr>
                <w:lang w:val="de-CH"/>
              </w:rPr>
              <w:t xml:space="preserve">Berichterstattung </w:t>
            </w:r>
            <w:r w:rsidRPr="00DE3CF0">
              <w:rPr>
                <w:lang w:val="de-CH"/>
              </w:rPr>
              <w:t xml:space="preserve">von Risiken </w:t>
            </w:r>
            <w:r w:rsidR="000B76EE" w:rsidRPr="00DE3CF0">
              <w:rPr>
                <w:lang w:val="de-CH"/>
              </w:rPr>
              <w:t>im Sinne eines wirksamen Risi</w:t>
            </w:r>
            <w:r w:rsidR="00D736AA">
              <w:rPr>
                <w:lang w:val="de-CH"/>
              </w:rPr>
              <w:t>komanagements und der Steuerung</w:t>
            </w:r>
            <w:r w:rsidR="000B76EE" w:rsidRPr="00DE3CF0">
              <w:rPr>
                <w:lang w:val="de-CH"/>
              </w:rPr>
              <w:t xml:space="preserve"> der Gesamtrisiken </w:t>
            </w:r>
            <w:r w:rsidRPr="00DE3CF0">
              <w:rPr>
                <w:lang w:val="de-CH"/>
              </w:rPr>
              <w:t>angemessen regelt</w:t>
            </w:r>
            <w:r w:rsidR="000B76EE" w:rsidRPr="00DE3CF0">
              <w:rPr>
                <w:lang w:val="de-CH"/>
              </w:rPr>
              <w:t xml:space="preserve"> (</w:t>
            </w:r>
            <w:r w:rsidR="000B76EE" w:rsidRPr="00C06A90">
              <w:rPr>
                <w:lang w:val="de-CH"/>
              </w:rPr>
              <w:t>Rz 10 FINMA-RS 17/1)</w:t>
            </w:r>
            <w:r w:rsidRPr="00C06A90">
              <w:rPr>
                <w:lang w:val="de-CH"/>
              </w:rPr>
              <w:t>.</w:t>
            </w:r>
          </w:p>
        </w:tc>
        <w:tc>
          <w:tcPr>
            <w:tcW w:w="3827" w:type="dxa"/>
            <w:shd w:val="clear" w:color="auto" w:fill="auto"/>
          </w:tcPr>
          <w:p w14:paraId="6D608E5E" w14:textId="39A9898F" w:rsidR="00D97ED5" w:rsidRPr="00DE3CF0" w:rsidRDefault="00D97ED5" w:rsidP="006852BE">
            <w:pPr>
              <w:spacing w:before="0" w:after="0" w:line="240" w:lineRule="auto"/>
              <w:rPr>
                <w:lang w:val="de-CH"/>
              </w:rPr>
            </w:pPr>
          </w:p>
        </w:tc>
        <w:tc>
          <w:tcPr>
            <w:tcW w:w="3686" w:type="dxa"/>
            <w:shd w:val="clear" w:color="auto" w:fill="auto"/>
          </w:tcPr>
          <w:p w14:paraId="6D608E5F" w14:textId="77777777" w:rsidR="00D97ED5" w:rsidRPr="00DE3CF0" w:rsidRDefault="00D97ED5" w:rsidP="008D65C6">
            <w:pPr>
              <w:spacing w:before="0" w:after="0" w:line="240" w:lineRule="auto"/>
              <w:rPr>
                <w:rFonts w:cs="Arial"/>
                <w:sz w:val="16"/>
                <w:szCs w:val="16"/>
                <w:lang w:val="de-CH"/>
              </w:rPr>
            </w:pPr>
          </w:p>
        </w:tc>
        <w:tc>
          <w:tcPr>
            <w:tcW w:w="992" w:type="dxa"/>
            <w:shd w:val="clear" w:color="auto" w:fill="auto"/>
          </w:tcPr>
          <w:p w14:paraId="6D608E60" w14:textId="77777777" w:rsidR="00D97ED5" w:rsidRPr="00DE3CF0" w:rsidRDefault="00D97ED5" w:rsidP="008D65C6">
            <w:pPr>
              <w:spacing w:before="0" w:after="0" w:line="240" w:lineRule="auto"/>
              <w:rPr>
                <w:rFonts w:cs="Arial"/>
                <w:sz w:val="16"/>
                <w:szCs w:val="16"/>
                <w:lang w:val="de-CH"/>
              </w:rPr>
            </w:pPr>
          </w:p>
        </w:tc>
      </w:tr>
      <w:tr w:rsidR="00E6732A" w:rsidRPr="00DE3CF0" w14:paraId="6D608E68" w14:textId="77777777" w:rsidTr="008D65C6">
        <w:tc>
          <w:tcPr>
            <w:tcW w:w="531" w:type="dxa"/>
            <w:vMerge/>
            <w:shd w:val="clear" w:color="auto" w:fill="auto"/>
          </w:tcPr>
          <w:p w14:paraId="6D608E62" w14:textId="77777777" w:rsidR="00E6732A" w:rsidRPr="00DE3CF0" w:rsidRDefault="00E6732A">
            <w:pPr>
              <w:spacing w:before="0" w:after="0" w:line="240" w:lineRule="auto"/>
              <w:rPr>
                <w:rFonts w:cs="Arial"/>
                <w:sz w:val="16"/>
                <w:szCs w:val="16"/>
                <w:lang w:val="de-CH"/>
              </w:rPr>
            </w:pPr>
          </w:p>
        </w:tc>
        <w:tc>
          <w:tcPr>
            <w:tcW w:w="1596" w:type="dxa"/>
            <w:vMerge/>
            <w:shd w:val="clear" w:color="auto" w:fill="auto"/>
          </w:tcPr>
          <w:p w14:paraId="6D608E63" w14:textId="77777777" w:rsidR="00E6732A" w:rsidRPr="00DE3CF0" w:rsidRDefault="00E6732A">
            <w:pPr>
              <w:spacing w:before="0" w:after="0" w:line="240" w:lineRule="auto"/>
              <w:rPr>
                <w:sz w:val="16"/>
                <w:szCs w:val="16"/>
                <w:lang w:val="de-CH"/>
              </w:rPr>
            </w:pPr>
          </w:p>
        </w:tc>
        <w:tc>
          <w:tcPr>
            <w:tcW w:w="3685" w:type="dxa"/>
            <w:shd w:val="clear" w:color="auto" w:fill="auto"/>
          </w:tcPr>
          <w:p w14:paraId="6D608E64" w14:textId="69D6A3F9" w:rsidR="00E6732A" w:rsidRPr="00DE3CF0" w:rsidRDefault="00E6732A" w:rsidP="00A4427F">
            <w:pPr>
              <w:pStyle w:val="Bullet"/>
              <w:numPr>
                <w:ilvl w:val="0"/>
                <w:numId w:val="0"/>
              </w:numPr>
              <w:spacing w:before="0" w:after="0"/>
              <w:rPr>
                <w:lang w:val="de-CH"/>
              </w:rPr>
            </w:pPr>
            <w:r w:rsidRPr="00DE3CF0">
              <w:rPr>
                <w:lang w:val="de-CH"/>
              </w:rPr>
              <w:t xml:space="preserve">Beurteilung, ob </w:t>
            </w:r>
            <w:r w:rsidR="006852BE" w:rsidRPr="00DE3CF0">
              <w:rPr>
                <w:lang w:val="de-CH"/>
              </w:rPr>
              <w:t>d</w:t>
            </w:r>
            <w:r w:rsidR="00354A23" w:rsidRPr="00DE3CF0">
              <w:rPr>
                <w:lang w:val="de-CH"/>
              </w:rPr>
              <w:t>as</w:t>
            </w:r>
            <w:r w:rsidR="006852BE" w:rsidRPr="00DE3CF0">
              <w:rPr>
                <w:lang w:val="de-CH"/>
              </w:rPr>
              <w:t xml:space="preserve"> </w:t>
            </w:r>
            <w:r w:rsidR="00B64C54" w:rsidRPr="00DE3CF0">
              <w:rPr>
                <w:lang w:val="de-CH"/>
              </w:rPr>
              <w:t>Oberleitungsorgan</w:t>
            </w:r>
            <w:r w:rsidR="006852BE" w:rsidRPr="00DE3CF0">
              <w:rPr>
                <w:lang w:val="de-CH"/>
              </w:rPr>
              <w:t xml:space="preserve"> </w:t>
            </w:r>
            <w:r w:rsidR="004B3BD5" w:rsidRPr="00DE3CF0">
              <w:rPr>
                <w:lang w:val="de-CH"/>
              </w:rPr>
              <w:t>seine Aufgaben betreffend die Organisation, finanz</w:t>
            </w:r>
            <w:r w:rsidR="004152F9" w:rsidRPr="00DE3CF0">
              <w:rPr>
                <w:lang w:val="de-CH"/>
              </w:rPr>
              <w:t>i</w:t>
            </w:r>
            <w:r w:rsidR="004B3BD5" w:rsidRPr="00DE3CF0">
              <w:rPr>
                <w:lang w:val="de-CH"/>
              </w:rPr>
              <w:t xml:space="preserve">elle Lage sowie </w:t>
            </w:r>
            <w:r w:rsidR="00A4427F" w:rsidRPr="00DE3CF0">
              <w:rPr>
                <w:lang w:val="de-CH"/>
              </w:rPr>
              <w:t>die Ausstattung des Instituts mit personellen und weiteren Ressourcen (u.a. Wahl und Abberufung von Ausschussmitgliedern) effektiv wahrnimmt (</w:t>
            </w:r>
            <w:r w:rsidR="00A4427F" w:rsidRPr="00C06A90">
              <w:rPr>
                <w:lang w:val="de-CH"/>
              </w:rPr>
              <w:t>Rz 11-13 FINMA-RS 17/1</w:t>
            </w:r>
            <w:r w:rsidR="00A4427F" w:rsidRPr="00DE3CF0">
              <w:rPr>
                <w:lang w:val="de-CH"/>
              </w:rPr>
              <w:t xml:space="preserve">) </w:t>
            </w:r>
            <w:r w:rsidR="004B3BD5" w:rsidRPr="00DE3CF0">
              <w:rPr>
                <w:lang w:val="de-CH"/>
              </w:rPr>
              <w:t xml:space="preserve"> </w:t>
            </w:r>
          </w:p>
        </w:tc>
        <w:tc>
          <w:tcPr>
            <w:tcW w:w="3827" w:type="dxa"/>
            <w:shd w:val="clear" w:color="auto" w:fill="auto"/>
          </w:tcPr>
          <w:p w14:paraId="6D608E65" w14:textId="77777777" w:rsidR="00A177D3" w:rsidRPr="00DE3CF0" w:rsidDel="00A610D8" w:rsidRDefault="00A177D3" w:rsidP="00250F35">
            <w:pPr>
              <w:spacing w:before="0" w:after="0" w:line="240" w:lineRule="auto"/>
              <w:rPr>
                <w:lang w:val="de-CH"/>
              </w:rPr>
            </w:pPr>
          </w:p>
        </w:tc>
        <w:tc>
          <w:tcPr>
            <w:tcW w:w="3686" w:type="dxa"/>
            <w:shd w:val="clear" w:color="auto" w:fill="auto"/>
          </w:tcPr>
          <w:p w14:paraId="6D608E66" w14:textId="77777777" w:rsidR="00E6732A" w:rsidRPr="00DE3CF0" w:rsidRDefault="00E6732A">
            <w:pPr>
              <w:spacing w:before="0" w:after="0" w:line="240" w:lineRule="auto"/>
              <w:rPr>
                <w:rFonts w:cs="Arial"/>
                <w:sz w:val="16"/>
                <w:szCs w:val="16"/>
                <w:lang w:val="de-CH"/>
              </w:rPr>
            </w:pPr>
          </w:p>
        </w:tc>
        <w:tc>
          <w:tcPr>
            <w:tcW w:w="992" w:type="dxa"/>
            <w:shd w:val="clear" w:color="auto" w:fill="auto"/>
          </w:tcPr>
          <w:p w14:paraId="6D608E67" w14:textId="77777777" w:rsidR="00E6732A" w:rsidRPr="00DE3CF0" w:rsidRDefault="00E6732A">
            <w:pPr>
              <w:spacing w:before="0" w:after="0" w:line="240" w:lineRule="auto"/>
              <w:rPr>
                <w:rFonts w:cs="Arial"/>
                <w:sz w:val="16"/>
                <w:szCs w:val="16"/>
                <w:lang w:val="de-CH"/>
              </w:rPr>
            </w:pPr>
          </w:p>
        </w:tc>
      </w:tr>
      <w:tr w:rsidR="00E6732A" w:rsidRPr="00DE3CF0" w14:paraId="6D608E6F" w14:textId="77777777" w:rsidTr="008D65C6">
        <w:tc>
          <w:tcPr>
            <w:tcW w:w="531" w:type="dxa"/>
            <w:vMerge/>
            <w:shd w:val="clear" w:color="auto" w:fill="auto"/>
          </w:tcPr>
          <w:p w14:paraId="6D608E69" w14:textId="77777777" w:rsidR="00E6732A" w:rsidRPr="00DE3CF0" w:rsidRDefault="00E6732A">
            <w:pPr>
              <w:spacing w:before="0" w:after="0" w:line="240" w:lineRule="auto"/>
              <w:rPr>
                <w:rFonts w:cs="Arial"/>
                <w:sz w:val="16"/>
                <w:szCs w:val="16"/>
                <w:lang w:val="de-CH"/>
              </w:rPr>
            </w:pPr>
          </w:p>
        </w:tc>
        <w:tc>
          <w:tcPr>
            <w:tcW w:w="1596" w:type="dxa"/>
            <w:vMerge/>
            <w:shd w:val="clear" w:color="auto" w:fill="auto"/>
          </w:tcPr>
          <w:p w14:paraId="6D608E6A" w14:textId="77777777" w:rsidR="00E6732A" w:rsidRPr="00DE3CF0" w:rsidRDefault="00E6732A">
            <w:pPr>
              <w:spacing w:before="0" w:after="0" w:line="240" w:lineRule="auto"/>
              <w:rPr>
                <w:sz w:val="16"/>
                <w:szCs w:val="16"/>
                <w:lang w:val="de-CH"/>
              </w:rPr>
            </w:pPr>
          </w:p>
        </w:tc>
        <w:tc>
          <w:tcPr>
            <w:tcW w:w="3685" w:type="dxa"/>
            <w:shd w:val="clear" w:color="auto" w:fill="auto"/>
          </w:tcPr>
          <w:p w14:paraId="6D608E6B" w14:textId="30C367E9" w:rsidR="00E6732A" w:rsidRPr="00DE3CF0" w:rsidRDefault="00E6732A" w:rsidP="00A4427F">
            <w:pPr>
              <w:pStyle w:val="Bullet"/>
              <w:numPr>
                <w:ilvl w:val="0"/>
                <w:numId w:val="0"/>
              </w:numPr>
              <w:spacing w:before="0" w:after="0"/>
              <w:rPr>
                <w:lang w:val="de-CH"/>
              </w:rPr>
            </w:pPr>
            <w:r w:rsidRPr="00DE3CF0">
              <w:rPr>
                <w:lang w:val="de-CH"/>
              </w:rPr>
              <w:t>Beurteilung, ob d</w:t>
            </w:r>
            <w:r w:rsidR="00A4427F" w:rsidRPr="00DE3CF0">
              <w:rPr>
                <w:lang w:val="de-CH"/>
              </w:rPr>
              <w:t>as</w:t>
            </w:r>
            <w:r w:rsidRPr="00DE3CF0">
              <w:rPr>
                <w:lang w:val="de-CH"/>
              </w:rPr>
              <w:t xml:space="preserve"> </w:t>
            </w:r>
            <w:r w:rsidR="00354A23" w:rsidRPr="00DE3CF0">
              <w:rPr>
                <w:lang w:val="de-CH"/>
              </w:rPr>
              <w:t>O</w:t>
            </w:r>
            <w:r w:rsidR="00A4427F" w:rsidRPr="00DE3CF0">
              <w:rPr>
                <w:lang w:val="de-CH"/>
              </w:rPr>
              <w:t>berleitungsorgan</w:t>
            </w:r>
            <w:r w:rsidRPr="00DE3CF0">
              <w:rPr>
                <w:lang w:val="de-CH"/>
              </w:rPr>
              <w:t xml:space="preserve"> </w:t>
            </w:r>
            <w:r w:rsidR="006852BE" w:rsidRPr="00DE3CF0">
              <w:rPr>
                <w:lang w:val="de-CH"/>
              </w:rPr>
              <w:t xml:space="preserve">sicherstellt, dass </w:t>
            </w:r>
            <w:r w:rsidRPr="00DE3CF0">
              <w:rPr>
                <w:lang w:val="de-CH"/>
              </w:rPr>
              <w:t>durch die aus einer systematischen Risikoanalyse abgeleitete</w:t>
            </w:r>
            <w:r w:rsidR="006852BE" w:rsidRPr="00DE3CF0">
              <w:rPr>
                <w:lang w:val="de-CH"/>
              </w:rPr>
              <w:t>n</w:t>
            </w:r>
            <w:r w:rsidRPr="00DE3CF0">
              <w:rPr>
                <w:lang w:val="de-CH"/>
              </w:rPr>
              <w:t xml:space="preserve"> </w:t>
            </w:r>
            <w:r w:rsidR="006852BE" w:rsidRPr="00DE3CF0">
              <w:rPr>
                <w:lang w:val="de-CH"/>
              </w:rPr>
              <w:t xml:space="preserve">internen </w:t>
            </w:r>
            <w:r w:rsidRPr="00DE3CF0">
              <w:rPr>
                <w:lang w:val="de-CH"/>
              </w:rPr>
              <w:t>Kontrolle</w:t>
            </w:r>
            <w:r w:rsidR="006852BE" w:rsidRPr="00DE3CF0">
              <w:rPr>
                <w:lang w:val="de-CH"/>
              </w:rPr>
              <w:t>n</w:t>
            </w:r>
            <w:r w:rsidRPr="00DE3CF0">
              <w:rPr>
                <w:lang w:val="de-CH"/>
              </w:rPr>
              <w:t xml:space="preserve"> und deren Überwachung sicherstell</w:t>
            </w:r>
            <w:r w:rsidR="006852BE" w:rsidRPr="00DE3CF0">
              <w:rPr>
                <w:lang w:val="de-CH"/>
              </w:rPr>
              <w:t>en</w:t>
            </w:r>
            <w:r w:rsidRPr="00DE3CF0">
              <w:rPr>
                <w:lang w:val="de-CH"/>
              </w:rPr>
              <w:t xml:space="preserve">, dass alle wesentlichen Risiken im Institut erfasst, begrenzt und überwacht werden </w:t>
            </w:r>
            <w:r w:rsidR="00A4427F" w:rsidRPr="00DE3CF0">
              <w:rPr>
                <w:lang w:val="de-CH"/>
              </w:rPr>
              <w:t xml:space="preserve">(geeignetes Risiko- und Kontrollumfeld) </w:t>
            </w:r>
            <w:r w:rsidRPr="00DE3CF0">
              <w:rPr>
                <w:lang w:val="de-CH"/>
              </w:rPr>
              <w:t>(</w:t>
            </w:r>
            <w:r w:rsidR="00A4427F" w:rsidRPr="00C06A90">
              <w:rPr>
                <w:lang w:val="de-CH"/>
              </w:rPr>
              <w:t xml:space="preserve">Rz 14 </w:t>
            </w:r>
            <w:r w:rsidRPr="00C06A90">
              <w:rPr>
                <w:lang w:val="de-CH"/>
              </w:rPr>
              <w:t xml:space="preserve">FINMA-RS </w:t>
            </w:r>
            <w:r w:rsidR="00A4427F" w:rsidRPr="00C06A90">
              <w:rPr>
                <w:lang w:val="de-CH"/>
              </w:rPr>
              <w:t>17/1</w:t>
            </w:r>
            <w:r w:rsidR="00A4427F" w:rsidRPr="00DE3CF0">
              <w:rPr>
                <w:lang w:val="de-CH"/>
              </w:rPr>
              <w:t>)</w:t>
            </w:r>
            <w:r w:rsidRPr="00DE3CF0">
              <w:rPr>
                <w:lang w:val="de-CH"/>
              </w:rPr>
              <w:t>)</w:t>
            </w:r>
          </w:p>
        </w:tc>
        <w:tc>
          <w:tcPr>
            <w:tcW w:w="3827" w:type="dxa"/>
            <w:shd w:val="clear" w:color="auto" w:fill="auto"/>
          </w:tcPr>
          <w:p w14:paraId="6D608E6C" w14:textId="77777777" w:rsidR="00E6732A" w:rsidRPr="00DE3CF0" w:rsidDel="00A610D8" w:rsidRDefault="00E6732A" w:rsidP="00BC40EA">
            <w:pPr>
              <w:pStyle w:val="Bullet"/>
              <w:numPr>
                <w:ilvl w:val="0"/>
                <w:numId w:val="0"/>
              </w:numPr>
              <w:spacing w:before="0" w:after="0"/>
              <w:rPr>
                <w:lang w:val="de-CH"/>
              </w:rPr>
            </w:pPr>
          </w:p>
        </w:tc>
        <w:tc>
          <w:tcPr>
            <w:tcW w:w="3686" w:type="dxa"/>
            <w:shd w:val="clear" w:color="auto" w:fill="auto"/>
          </w:tcPr>
          <w:p w14:paraId="6D608E6D" w14:textId="77777777" w:rsidR="00E6732A" w:rsidRPr="00DE3CF0" w:rsidRDefault="00E6732A">
            <w:pPr>
              <w:spacing w:before="0" w:after="0" w:line="240" w:lineRule="auto"/>
              <w:rPr>
                <w:rFonts w:cs="Arial"/>
                <w:sz w:val="16"/>
                <w:szCs w:val="16"/>
                <w:lang w:val="de-CH"/>
              </w:rPr>
            </w:pPr>
          </w:p>
        </w:tc>
        <w:tc>
          <w:tcPr>
            <w:tcW w:w="992" w:type="dxa"/>
            <w:shd w:val="clear" w:color="auto" w:fill="auto"/>
          </w:tcPr>
          <w:p w14:paraId="6D608E6E" w14:textId="77777777" w:rsidR="00E6732A" w:rsidRPr="00DE3CF0" w:rsidRDefault="00E6732A">
            <w:pPr>
              <w:spacing w:before="0" w:after="0" w:line="240" w:lineRule="auto"/>
              <w:rPr>
                <w:rFonts w:cs="Arial"/>
                <w:sz w:val="16"/>
                <w:szCs w:val="16"/>
                <w:lang w:val="de-CH"/>
              </w:rPr>
            </w:pPr>
          </w:p>
        </w:tc>
      </w:tr>
      <w:tr w:rsidR="005F0124" w:rsidRPr="00DE3CF0" w14:paraId="383F05BA" w14:textId="77777777" w:rsidTr="008D65C6">
        <w:tc>
          <w:tcPr>
            <w:tcW w:w="531" w:type="dxa"/>
            <w:vMerge/>
            <w:shd w:val="clear" w:color="auto" w:fill="auto"/>
          </w:tcPr>
          <w:p w14:paraId="2A6EE913" w14:textId="77777777" w:rsidR="005F0124" w:rsidRPr="00DE3CF0" w:rsidRDefault="005F0124">
            <w:pPr>
              <w:spacing w:before="0" w:after="0" w:line="240" w:lineRule="auto"/>
              <w:rPr>
                <w:rFonts w:cs="Arial"/>
                <w:sz w:val="16"/>
                <w:szCs w:val="16"/>
                <w:lang w:val="de-CH"/>
              </w:rPr>
            </w:pPr>
          </w:p>
        </w:tc>
        <w:tc>
          <w:tcPr>
            <w:tcW w:w="1596" w:type="dxa"/>
            <w:vMerge/>
            <w:shd w:val="clear" w:color="auto" w:fill="auto"/>
          </w:tcPr>
          <w:p w14:paraId="7BF048D4" w14:textId="77777777" w:rsidR="005F0124" w:rsidRPr="00DE3CF0" w:rsidRDefault="005F0124">
            <w:pPr>
              <w:spacing w:before="0" w:after="0" w:line="240" w:lineRule="auto"/>
              <w:rPr>
                <w:sz w:val="16"/>
                <w:szCs w:val="16"/>
                <w:lang w:val="de-CH"/>
              </w:rPr>
            </w:pPr>
          </w:p>
        </w:tc>
        <w:tc>
          <w:tcPr>
            <w:tcW w:w="3685" w:type="dxa"/>
            <w:shd w:val="clear" w:color="auto" w:fill="auto"/>
          </w:tcPr>
          <w:p w14:paraId="4C26DF6E" w14:textId="227109B8" w:rsidR="003926DD" w:rsidRPr="00DE3CF0" w:rsidRDefault="005F0124" w:rsidP="005F0124">
            <w:pPr>
              <w:pStyle w:val="Bullet"/>
              <w:numPr>
                <w:ilvl w:val="0"/>
                <w:numId w:val="0"/>
              </w:numPr>
              <w:spacing w:before="0" w:after="0"/>
              <w:rPr>
                <w:lang w:val="de-CH"/>
              </w:rPr>
            </w:pPr>
            <w:r w:rsidRPr="00DE3CF0">
              <w:rPr>
                <w:lang w:val="de-CH"/>
              </w:rPr>
              <w:t xml:space="preserve">Beurteilung, </w:t>
            </w:r>
            <w:r w:rsidR="003926DD" w:rsidRPr="00DE3CF0">
              <w:rPr>
                <w:lang w:val="de-CH"/>
              </w:rPr>
              <w:t xml:space="preserve">auf der Basis von Protokollen des </w:t>
            </w:r>
            <w:r w:rsidRPr="00DE3CF0">
              <w:rPr>
                <w:lang w:val="de-CH"/>
              </w:rPr>
              <w:t>Oberleitungsorgan</w:t>
            </w:r>
            <w:r w:rsidR="003926DD" w:rsidRPr="00DE3CF0">
              <w:rPr>
                <w:lang w:val="de-CH"/>
              </w:rPr>
              <w:t>s, ob dieses</w:t>
            </w:r>
            <w:r w:rsidRPr="00DE3CF0">
              <w:rPr>
                <w:lang w:val="de-CH"/>
              </w:rPr>
              <w:t xml:space="preserve"> die effektive Oberaufsicht über die Geschäftsleitung ausgeübt hat (</w:t>
            </w:r>
            <w:r w:rsidRPr="00C06A90">
              <w:rPr>
                <w:lang w:val="de-CH"/>
              </w:rPr>
              <w:t>Rz 14 FINMA-RS 17/1</w:t>
            </w:r>
            <w:r w:rsidRPr="00DE3CF0">
              <w:rPr>
                <w:lang w:val="de-CH"/>
              </w:rPr>
              <w:t>)</w:t>
            </w:r>
            <w:r w:rsidR="002910B0" w:rsidRPr="00DE3CF0">
              <w:rPr>
                <w:lang w:val="de-CH"/>
              </w:rPr>
              <w:t>.</w:t>
            </w:r>
          </w:p>
        </w:tc>
        <w:tc>
          <w:tcPr>
            <w:tcW w:w="3827" w:type="dxa"/>
            <w:shd w:val="clear" w:color="auto" w:fill="auto"/>
          </w:tcPr>
          <w:p w14:paraId="0A5666E4" w14:textId="77777777" w:rsidR="005F0124" w:rsidRPr="00DE3CF0" w:rsidDel="00A610D8" w:rsidRDefault="005F0124" w:rsidP="00BC40EA">
            <w:pPr>
              <w:pStyle w:val="Bullet"/>
              <w:numPr>
                <w:ilvl w:val="0"/>
                <w:numId w:val="0"/>
              </w:numPr>
              <w:spacing w:before="0" w:after="0"/>
              <w:rPr>
                <w:lang w:val="de-CH"/>
              </w:rPr>
            </w:pPr>
          </w:p>
        </w:tc>
        <w:tc>
          <w:tcPr>
            <w:tcW w:w="3686" w:type="dxa"/>
            <w:shd w:val="clear" w:color="auto" w:fill="auto"/>
          </w:tcPr>
          <w:p w14:paraId="2FB5E9D5" w14:textId="77777777" w:rsidR="005F0124" w:rsidRPr="00DE3CF0" w:rsidRDefault="005F0124">
            <w:pPr>
              <w:spacing w:before="0" w:after="0" w:line="240" w:lineRule="auto"/>
              <w:rPr>
                <w:rFonts w:cs="Arial"/>
                <w:sz w:val="16"/>
                <w:szCs w:val="16"/>
                <w:lang w:val="de-CH"/>
              </w:rPr>
            </w:pPr>
          </w:p>
        </w:tc>
        <w:tc>
          <w:tcPr>
            <w:tcW w:w="992" w:type="dxa"/>
            <w:shd w:val="clear" w:color="auto" w:fill="auto"/>
          </w:tcPr>
          <w:p w14:paraId="70D86246" w14:textId="77777777" w:rsidR="005F0124" w:rsidRPr="00DE3CF0" w:rsidRDefault="005F0124">
            <w:pPr>
              <w:spacing w:before="0" w:after="0" w:line="240" w:lineRule="auto"/>
              <w:rPr>
                <w:rFonts w:cs="Arial"/>
                <w:sz w:val="16"/>
                <w:szCs w:val="16"/>
                <w:lang w:val="de-CH"/>
              </w:rPr>
            </w:pPr>
          </w:p>
        </w:tc>
      </w:tr>
      <w:tr w:rsidR="00E6222C" w:rsidRPr="00DE3CF0" w14:paraId="5A0C13A7" w14:textId="77777777" w:rsidTr="008D65C6">
        <w:tc>
          <w:tcPr>
            <w:tcW w:w="531" w:type="dxa"/>
            <w:vMerge/>
            <w:shd w:val="clear" w:color="auto" w:fill="auto"/>
          </w:tcPr>
          <w:p w14:paraId="659849BF" w14:textId="77777777" w:rsidR="00E6222C" w:rsidRPr="00DE3CF0" w:rsidRDefault="00E6222C">
            <w:pPr>
              <w:spacing w:before="0" w:after="0" w:line="240" w:lineRule="auto"/>
              <w:rPr>
                <w:rFonts w:cs="Arial"/>
                <w:sz w:val="16"/>
                <w:szCs w:val="16"/>
                <w:lang w:val="de-CH"/>
              </w:rPr>
            </w:pPr>
          </w:p>
        </w:tc>
        <w:tc>
          <w:tcPr>
            <w:tcW w:w="1596" w:type="dxa"/>
            <w:vMerge/>
            <w:shd w:val="clear" w:color="auto" w:fill="auto"/>
          </w:tcPr>
          <w:p w14:paraId="1E52117C" w14:textId="77777777" w:rsidR="00E6222C" w:rsidRPr="00DE3CF0" w:rsidRDefault="00E6222C">
            <w:pPr>
              <w:spacing w:before="0" w:after="0" w:line="240" w:lineRule="auto"/>
              <w:rPr>
                <w:sz w:val="16"/>
                <w:szCs w:val="16"/>
                <w:lang w:val="de-CH"/>
              </w:rPr>
            </w:pPr>
          </w:p>
        </w:tc>
        <w:tc>
          <w:tcPr>
            <w:tcW w:w="3685" w:type="dxa"/>
            <w:shd w:val="clear" w:color="auto" w:fill="auto"/>
          </w:tcPr>
          <w:p w14:paraId="4D758781" w14:textId="164298F0" w:rsidR="00E6222C" w:rsidRPr="00974EF8" w:rsidRDefault="00E6222C" w:rsidP="005F0124">
            <w:pPr>
              <w:pStyle w:val="Bullet"/>
              <w:numPr>
                <w:ilvl w:val="0"/>
                <w:numId w:val="0"/>
              </w:numPr>
              <w:spacing w:before="0" w:after="0"/>
              <w:rPr>
                <w:lang w:val="de-CH"/>
              </w:rPr>
            </w:pPr>
            <w:r w:rsidRPr="00974EF8">
              <w:rPr>
                <w:lang w:val="de-CH"/>
              </w:rPr>
              <w:t>Beurteilung, ob angemessene Verfahren vorliegen, damit die Mitarbeiter aller Hierarchiestufen ihre Verantwortung und Aufgaben im Rahmen der internen Kontrolle kennen und verstehen.</w:t>
            </w:r>
          </w:p>
        </w:tc>
        <w:tc>
          <w:tcPr>
            <w:tcW w:w="3827" w:type="dxa"/>
            <w:shd w:val="clear" w:color="auto" w:fill="auto"/>
          </w:tcPr>
          <w:p w14:paraId="30DC4851" w14:textId="77777777" w:rsidR="00E6222C" w:rsidRPr="00DE3CF0" w:rsidRDefault="00E6222C" w:rsidP="00651702">
            <w:pPr>
              <w:pStyle w:val="Bullet"/>
              <w:numPr>
                <w:ilvl w:val="0"/>
                <w:numId w:val="0"/>
              </w:numPr>
              <w:spacing w:before="0" w:after="0"/>
              <w:rPr>
                <w:lang w:val="de-CH"/>
              </w:rPr>
            </w:pPr>
          </w:p>
        </w:tc>
        <w:tc>
          <w:tcPr>
            <w:tcW w:w="3686" w:type="dxa"/>
            <w:shd w:val="clear" w:color="auto" w:fill="auto"/>
          </w:tcPr>
          <w:p w14:paraId="0DCF06D9" w14:textId="77777777" w:rsidR="00E6222C" w:rsidRPr="00DE3CF0" w:rsidRDefault="00E6222C">
            <w:pPr>
              <w:spacing w:before="0" w:after="0" w:line="240" w:lineRule="auto"/>
              <w:rPr>
                <w:rFonts w:cs="Arial"/>
                <w:sz w:val="16"/>
                <w:szCs w:val="16"/>
                <w:lang w:val="de-CH"/>
              </w:rPr>
            </w:pPr>
          </w:p>
        </w:tc>
        <w:tc>
          <w:tcPr>
            <w:tcW w:w="992" w:type="dxa"/>
            <w:shd w:val="clear" w:color="auto" w:fill="auto"/>
          </w:tcPr>
          <w:p w14:paraId="5A4667E1" w14:textId="77777777" w:rsidR="00E6222C" w:rsidRPr="00DE3CF0" w:rsidRDefault="00E6222C">
            <w:pPr>
              <w:spacing w:before="0" w:after="0" w:line="240" w:lineRule="auto"/>
              <w:rPr>
                <w:rFonts w:cs="Arial"/>
                <w:sz w:val="16"/>
                <w:szCs w:val="16"/>
                <w:lang w:val="de-CH"/>
              </w:rPr>
            </w:pPr>
          </w:p>
        </w:tc>
      </w:tr>
      <w:tr w:rsidR="00A4427F" w:rsidRPr="00885CAE" w14:paraId="24222167" w14:textId="77777777" w:rsidTr="008D65C6">
        <w:tc>
          <w:tcPr>
            <w:tcW w:w="531" w:type="dxa"/>
            <w:vMerge/>
            <w:shd w:val="clear" w:color="auto" w:fill="auto"/>
          </w:tcPr>
          <w:p w14:paraId="13D01373" w14:textId="77777777" w:rsidR="00A4427F" w:rsidRPr="00DE3CF0" w:rsidRDefault="00A4427F">
            <w:pPr>
              <w:spacing w:before="0" w:after="0" w:line="240" w:lineRule="auto"/>
              <w:rPr>
                <w:rFonts w:cs="Arial"/>
                <w:sz w:val="16"/>
                <w:szCs w:val="16"/>
                <w:lang w:val="de-CH"/>
              </w:rPr>
            </w:pPr>
          </w:p>
        </w:tc>
        <w:tc>
          <w:tcPr>
            <w:tcW w:w="1596" w:type="dxa"/>
            <w:vMerge/>
            <w:shd w:val="clear" w:color="auto" w:fill="auto"/>
          </w:tcPr>
          <w:p w14:paraId="3086F068" w14:textId="77777777" w:rsidR="00A4427F" w:rsidRPr="00DE3CF0" w:rsidRDefault="00A4427F">
            <w:pPr>
              <w:spacing w:before="0" w:after="0" w:line="240" w:lineRule="auto"/>
              <w:rPr>
                <w:sz w:val="16"/>
                <w:szCs w:val="16"/>
                <w:lang w:val="de-CH"/>
              </w:rPr>
            </w:pPr>
          </w:p>
        </w:tc>
        <w:tc>
          <w:tcPr>
            <w:tcW w:w="3685" w:type="dxa"/>
            <w:shd w:val="clear" w:color="auto" w:fill="auto"/>
          </w:tcPr>
          <w:p w14:paraId="43C18027" w14:textId="62923A5B" w:rsidR="00A4427F" w:rsidRPr="00DE3CF0" w:rsidRDefault="00A4427F" w:rsidP="005F0124">
            <w:pPr>
              <w:pStyle w:val="Bullet"/>
              <w:numPr>
                <w:ilvl w:val="0"/>
                <w:numId w:val="0"/>
              </w:numPr>
              <w:spacing w:before="0" w:after="0"/>
              <w:rPr>
                <w:lang w:val="de-CH"/>
              </w:rPr>
            </w:pPr>
            <w:r w:rsidRPr="00DE3CF0">
              <w:rPr>
                <w:lang w:val="de-CH"/>
              </w:rPr>
              <w:t xml:space="preserve">Beurteilung, ob das Oberleitungsorgan </w:t>
            </w:r>
            <w:r w:rsidR="005F0124" w:rsidRPr="00DE3CF0">
              <w:rPr>
                <w:lang w:val="de-CH"/>
              </w:rPr>
              <w:t>über wesentliche Strukturveränderungen und Investitionen entschieden hat (</w:t>
            </w:r>
            <w:r w:rsidR="005F0124" w:rsidRPr="00C06A90">
              <w:rPr>
                <w:lang w:val="de-CH"/>
              </w:rPr>
              <w:t>Rz 15 FINMA-RS 17/1</w:t>
            </w:r>
            <w:r w:rsidR="005F0124" w:rsidRPr="00DE3CF0">
              <w:rPr>
                <w:lang w:val="de-CH"/>
              </w:rPr>
              <w:t xml:space="preserve">) </w:t>
            </w:r>
          </w:p>
        </w:tc>
        <w:tc>
          <w:tcPr>
            <w:tcW w:w="3827" w:type="dxa"/>
            <w:shd w:val="clear" w:color="auto" w:fill="auto"/>
          </w:tcPr>
          <w:p w14:paraId="715E1EBF" w14:textId="77777777" w:rsidR="00A4427F" w:rsidRDefault="00A4427F" w:rsidP="00651702">
            <w:pPr>
              <w:pStyle w:val="Bullet"/>
              <w:numPr>
                <w:ilvl w:val="0"/>
                <w:numId w:val="0"/>
              </w:numPr>
              <w:spacing w:before="0" w:after="0"/>
              <w:rPr>
                <w:lang w:val="de-CH"/>
              </w:rPr>
            </w:pPr>
          </w:p>
        </w:tc>
        <w:tc>
          <w:tcPr>
            <w:tcW w:w="3686" w:type="dxa"/>
            <w:shd w:val="clear" w:color="auto" w:fill="auto"/>
          </w:tcPr>
          <w:p w14:paraId="42CE89A3" w14:textId="77777777" w:rsidR="00A4427F" w:rsidRPr="00885CAE" w:rsidRDefault="00A4427F">
            <w:pPr>
              <w:spacing w:before="0" w:after="0" w:line="240" w:lineRule="auto"/>
              <w:rPr>
                <w:rFonts w:cs="Arial"/>
                <w:sz w:val="16"/>
                <w:szCs w:val="16"/>
                <w:lang w:val="de-CH"/>
              </w:rPr>
            </w:pPr>
          </w:p>
        </w:tc>
        <w:tc>
          <w:tcPr>
            <w:tcW w:w="992" w:type="dxa"/>
            <w:shd w:val="clear" w:color="auto" w:fill="auto"/>
          </w:tcPr>
          <w:p w14:paraId="0882FC9F" w14:textId="77777777" w:rsidR="00A4427F" w:rsidRPr="00885CAE" w:rsidRDefault="00A4427F">
            <w:pPr>
              <w:spacing w:before="0" w:after="0" w:line="240" w:lineRule="auto"/>
              <w:rPr>
                <w:rFonts w:cs="Arial"/>
                <w:sz w:val="16"/>
                <w:szCs w:val="16"/>
                <w:lang w:val="de-CH"/>
              </w:rPr>
            </w:pPr>
          </w:p>
        </w:tc>
      </w:tr>
      <w:tr w:rsidR="00E6732A" w:rsidRPr="00DE3CF0" w14:paraId="6D608E76" w14:textId="77777777" w:rsidTr="008D65C6">
        <w:tc>
          <w:tcPr>
            <w:tcW w:w="531" w:type="dxa"/>
            <w:vMerge/>
            <w:shd w:val="clear" w:color="auto" w:fill="auto"/>
          </w:tcPr>
          <w:p w14:paraId="6D608E70" w14:textId="77777777" w:rsidR="00E6732A" w:rsidRPr="00885CAE" w:rsidRDefault="00E6732A">
            <w:pPr>
              <w:spacing w:before="0" w:after="0" w:line="240" w:lineRule="auto"/>
              <w:rPr>
                <w:rFonts w:cs="Arial"/>
                <w:sz w:val="16"/>
                <w:szCs w:val="16"/>
                <w:lang w:val="de-CH"/>
              </w:rPr>
            </w:pPr>
          </w:p>
        </w:tc>
        <w:tc>
          <w:tcPr>
            <w:tcW w:w="1596" w:type="dxa"/>
            <w:vMerge/>
            <w:shd w:val="clear" w:color="auto" w:fill="auto"/>
          </w:tcPr>
          <w:p w14:paraId="6D608E71" w14:textId="77777777" w:rsidR="00E6732A" w:rsidRPr="00885CAE" w:rsidRDefault="00E6732A">
            <w:pPr>
              <w:spacing w:before="0" w:after="0" w:line="240" w:lineRule="auto"/>
              <w:rPr>
                <w:sz w:val="16"/>
                <w:szCs w:val="16"/>
                <w:lang w:val="de-CH"/>
              </w:rPr>
            </w:pPr>
          </w:p>
        </w:tc>
        <w:tc>
          <w:tcPr>
            <w:tcW w:w="3685" w:type="dxa"/>
            <w:shd w:val="clear" w:color="auto" w:fill="auto"/>
          </w:tcPr>
          <w:p w14:paraId="6D608E72" w14:textId="4000F72E" w:rsidR="00E6732A" w:rsidRPr="00DE3CF0" w:rsidRDefault="00E6732A" w:rsidP="005F0124">
            <w:pPr>
              <w:pStyle w:val="Bullet"/>
              <w:numPr>
                <w:ilvl w:val="0"/>
                <w:numId w:val="0"/>
              </w:numPr>
              <w:spacing w:before="0" w:after="0"/>
              <w:rPr>
                <w:lang w:val="de-CH"/>
              </w:rPr>
            </w:pPr>
            <w:r w:rsidRPr="00DE3CF0">
              <w:rPr>
                <w:lang w:val="de-CH"/>
              </w:rPr>
              <w:t>Beurteilung, ob d</w:t>
            </w:r>
            <w:r w:rsidR="005F0124" w:rsidRPr="00DE3CF0">
              <w:rPr>
                <w:lang w:val="de-CH"/>
              </w:rPr>
              <w:t>as</w:t>
            </w:r>
            <w:r w:rsidRPr="00DE3CF0">
              <w:rPr>
                <w:lang w:val="de-CH"/>
              </w:rPr>
              <w:t xml:space="preserve"> </w:t>
            </w:r>
            <w:r w:rsidR="00354A23" w:rsidRPr="00DE3CF0">
              <w:rPr>
                <w:lang w:val="de-CH"/>
              </w:rPr>
              <w:t>O</w:t>
            </w:r>
            <w:r w:rsidR="00A4427F" w:rsidRPr="00DE3CF0">
              <w:rPr>
                <w:lang w:val="de-CH"/>
              </w:rPr>
              <w:t>berleitungsorgan</w:t>
            </w:r>
            <w:r w:rsidRPr="00DE3CF0">
              <w:rPr>
                <w:lang w:val="de-CH"/>
              </w:rPr>
              <w:t xml:space="preserve"> regelmässig mit der </w:t>
            </w:r>
            <w:r w:rsidR="00B64C54" w:rsidRPr="00DE3CF0">
              <w:rPr>
                <w:lang w:val="de-CH"/>
              </w:rPr>
              <w:t>Geschäftsleitung</w:t>
            </w:r>
            <w:r w:rsidRPr="00DE3CF0">
              <w:rPr>
                <w:lang w:val="de-CH"/>
              </w:rPr>
              <w:t xml:space="preserve"> deren Einschätzung über die Angemessenheit und Wirksamkeit der internen Kontrolle erörtert</w:t>
            </w:r>
          </w:p>
        </w:tc>
        <w:tc>
          <w:tcPr>
            <w:tcW w:w="3827" w:type="dxa"/>
            <w:shd w:val="clear" w:color="auto" w:fill="auto"/>
          </w:tcPr>
          <w:p w14:paraId="6D608E73" w14:textId="5C933129" w:rsidR="00E6732A" w:rsidRPr="00DE3CF0" w:rsidDel="00A610D8" w:rsidRDefault="006852BE" w:rsidP="002910B0">
            <w:pPr>
              <w:pStyle w:val="Bullet"/>
              <w:numPr>
                <w:ilvl w:val="0"/>
                <w:numId w:val="0"/>
              </w:numPr>
              <w:spacing w:before="0" w:after="0"/>
              <w:rPr>
                <w:lang w:val="de-CH"/>
              </w:rPr>
            </w:pPr>
            <w:r w:rsidRPr="00DE3CF0">
              <w:rPr>
                <w:lang w:val="de-CH"/>
              </w:rPr>
              <w:t>Einsichtnahme in die</w:t>
            </w:r>
            <w:r w:rsidR="00E6732A" w:rsidRPr="00DE3CF0">
              <w:rPr>
                <w:lang w:val="de-CH"/>
              </w:rPr>
              <w:t xml:space="preserve"> Protokoll</w:t>
            </w:r>
            <w:r w:rsidRPr="00DE3CF0">
              <w:rPr>
                <w:lang w:val="de-CH"/>
              </w:rPr>
              <w:t>e</w:t>
            </w:r>
            <w:r w:rsidR="00E6732A" w:rsidRPr="00DE3CF0">
              <w:rPr>
                <w:lang w:val="de-CH"/>
              </w:rPr>
              <w:t xml:space="preserve"> der Sitzung</w:t>
            </w:r>
            <w:r w:rsidRPr="00DE3CF0">
              <w:rPr>
                <w:lang w:val="de-CH"/>
              </w:rPr>
              <w:t>en</w:t>
            </w:r>
            <w:r w:rsidR="00E6732A" w:rsidRPr="00DE3CF0">
              <w:rPr>
                <w:lang w:val="de-CH"/>
              </w:rPr>
              <w:t xml:space="preserve"> </w:t>
            </w:r>
            <w:r w:rsidR="0089240E">
              <w:rPr>
                <w:lang w:val="de-CH"/>
              </w:rPr>
              <w:t xml:space="preserve">mit </w:t>
            </w:r>
            <w:r w:rsidR="00E6732A" w:rsidRPr="00DE3CF0">
              <w:rPr>
                <w:lang w:val="de-CH"/>
              </w:rPr>
              <w:t xml:space="preserve">der </w:t>
            </w:r>
            <w:r w:rsidR="00B64C54" w:rsidRPr="00974EF8">
              <w:rPr>
                <w:lang w:val="de-CH"/>
              </w:rPr>
              <w:t>Geschäftsleitung</w:t>
            </w:r>
            <w:r w:rsidR="00E6732A" w:rsidRPr="00974EF8">
              <w:rPr>
                <w:lang w:val="de-CH"/>
              </w:rPr>
              <w:t xml:space="preserve"> </w:t>
            </w:r>
            <w:r w:rsidR="00E72E52" w:rsidRPr="00974EF8">
              <w:rPr>
                <w:lang w:val="de-CH"/>
              </w:rPr>
              <w:t>und/</w:t>
            </w:r>
            <w:r w:rsidR="00E72E52" w:rsidRPr="00DE3CF0">
              <w:rPr>
                <w:lang w:val="de-CH"/>
              </w:rPr>
              <w:t xml:space="preserve">oder des </w:t>
            </w:r>
            <w:r w:rsidR="002910B0" w:rsidRPr="00DE3CF0">
              <w:rPr>
                <w:lang w:val="de-CH"/>
              </w:rPr>
              <w:t>Oberleitungsorgans</w:t>
            </w:r>
            <w:r w:rsidR="00E72E52" w:rsidRPr="00DE3CF0">
              <w:rPr>
                <w:lang w:val="de-CH"/>
              </w:rPr>
              <w:t xml:space="preserve"> resp. </w:t>
            </w:r>
            <w:r w:rsidR="002910B0" w:rsidRPr="00DE3CF0">
              <w:rPr>
                <w:lang w:val="de-CH"/>
              </w:rPr>
              <w:t>e</w:t>
            </w:r>
            <w:r w:rsidR="00E72E52" w:rsidRPr="00DE3CF0">
              <w:rPr>
                <w:lang w:val="de-CH"/>
              </w:rPr>
              <w:t xml:space="preserve">ntsprechender Ausschüsse </w:t>
            </w:r>
            <w:r w:rsidR="00E6732A" w:rsidRPr="00DE3CF0">
              <w:rPr>
                <w:lang w:val="de-CH"/>
              </w:rPr>
              <w:t xml:space="preserve">und Beurteilung </w:t>
            </w:r>
            <w:r w:rsidR="002910B0" w:rsidRPr="00DE3CF0">
              <w:rPr>
                <w:lang w:val="de-CH"/>
              </w:rPr>
              <w:t xml:space="preserve">der </w:t>
            </w:r>
            <w:r w:rsidRPr="00DE3CF0">
              <w:rPr>
                <w:lang w:val="de-CH"/>
              </w:rPr>
              <w:t xml:space="preserve">Angemessenheit </w:t>
            </w:r>
            <w:r w:rsidR="00E6732A" w:rsidRPr="00DE3CF0">
              <w:rPr>
                <w:lang w:val="de-CH"/>
              </w:rPr>
              <w:t xml:space="preserve">der Erörterung </w:t>
            </w:r>
            <w:r w:rsidRPr="00DE3CF0">
              <w:rPr>
                <w:lang w:val="de-CH"/>
              </w:rPr>
              <w:t xml:space="preserve">der </w:t>
            </w:r>
            <w:r w:rsidR="00E6732A" w:rsidRPr="00DE3CF0">
              <w:rPr>
                <w:lang w:val="de-CH"/>
              </w:rPr>
              <w:lastRenderedPageBreak/>
              <w:t xml:space="preserve">Einschätzung über die Angemessenheit und Wirksamkeit der internen Kontrolle </w:t>
            </w:r>
            <w:r w:rsidRPr="00DE3CF0">
              <w:rPr>
                <w:lang w:val="de-CH"/>
              </w:rPr>
              <w:t>sowie der</w:t>
            </w:r>
            <w:r w:rsidR="00E6732A" w:rsidRPr="00DE3CF0">
              <w:rPr>
                <w:lang w:val="de-CH"/>
              </w:rPr>
              <w:t xml:space="preserve"> </w:t>
            </w:r>
            <w:r w:rsidRPr="00DE3CF0">
              <w:rPr>
                <w:lang w:val="de-CH"/>
              </w:rPr>
              <w:t>gegebenenfalls</w:t>
            </w:r>
            <w:r w:rsidR="00E6732A" w:rsidRPr="00DE3CF0">
              <w:rPr>
                <w:lang w:val="de-CH"/>
              </w:rPr>
              <w:t xml:space="preserve"> getroffenen Entscheidungen.</w:t>
            </w:r>
          </w:p>
        </w:tc>
        <w:tc>
          <w:tcPr>
            <w:tcW w:w="3686" w:type="dxa"/>
            <w:shd w:val="clear" w:color="auto" w:fill="auto"/>
          </w:tcPr>
          <w:p w14:paraId="6D608E74" w14:textId="77777777" w:rsidR="00E6732A" w:rsidRPr="00DE3CF0" w:rsidRDefault="00E6732A">
            <w:pPr>
              <w:spacing w:before="0" w:after="0" w:line="240" w:lineRule="auto"/>
              <w:rPr>
                <w:rFonts w:cs="Arial"/>
                <w:sz w:val="16"/>
                <w:szCs w:val="16"/>
                <w:lang w:val="de-CH"/>
              </w:rPr>
            </w:pPr>
          </w:p>
        </w:tc>
        <w:tc>
          <w:tcPr>
            <w:tcW w:w="992" w:type="dxa"/>
            <w:shd w:val="clear" w:color="auto" w:fill="auto"/>
          </w:tcPr>
          <w:p w14:paraId="6D608E75" w14:textId="77777777" w:rsidR="00E6732A" w:rsidRPr="00DE3CF0" w:rsidRDefault="00E6732A">
            <w:pPr>
              <w:spacing w:before="0" w:after="0" w:line="240" w:lineRule="auto"/>
              <w:rPr>
                <w:rFonts w:cs="Arial"/>
                <w:sz w:val="16"/>
                <w:szCs w:val="16"/>
                <w:lang w:val="de-CH"/>
              </w:rPr>
            </w:pPr>
          </w:p>
        </w:tc>
      </w:tr>
      <w:tr w:rsidR="00D43861" w:rsidRPr="00DE3CF0" w14:paraId="6D608E7D" w14:textId="77777777" w:rsidTr="00617203">
        <w:trPr>
          <w:trHeight w:val="981"/>
        </w:trPr>
        <w:tc>
          <w:tcPr>
            <w:tcW w:w="531" w:type="dxa"/>
            <w:vMerge/>
            <w:shd w:val="clear" w:color="auto" w:fill="auto"/>
          </w:tcPr>
          <w:p w14:paraId="6D608E77" w14:textId="77777777" w:rsidR="00D43861" w:rsidRPr="00DE3CF0" w:rsidRDefault="00D43861">
            <w:pPr>
              <w:spacing w:before="0" w:after="0" w:line="240" w:lineRule="auto"/>
              <w:rPr>
                <w:rFonts w:cs="Arial"/>
                <w:sz w:val="16"/>
                <w:szCs w:val="16"/>
                <w:lang w:val="de-CH"/>
              </w:rPr>
            </w:pPr>
          </w:p>
        </w:tc>
        <w:tc>
          <w:tcPr>
            <w:tcW w:w="1596" w:type="dxa"/>
            <w:vMerge/>
            <w:shd w:val="clear" w:color="auto" w:fill="auto"/>
          </w:tcPr>
          <w:p w14:paraId="6D608E78" w14:textId="77777777" w:rsidR="00D43861" w:rsidRPr="00DE3CF0" w:rsidRDefault="00D43861">
            <w:pPr>
              <w:spacing w:before="0" w:after="0" w:line="240" w:lineRule="auto"/>
              <w:rPr>
                <w:sz w:val="16"/>
                <w:szCs w:val="16"/>
                <w:lang w:val="de-CH"/>
              </w:rPr>
            </w:pPr>
          </w:p>
        </w:tc>
        <w:tc>
          <w:tcPr>
            <w:tcW w:w="3685" w:type="dxa"/>
            <w:shd w:val="clear" w:color="auto" w:fill="auto"/>
          </w:tcPr>
          <w:p w14:paraId="3220E08E" w14:textId="49A076C3" w:rsidR="00D43861" w:rsidRPr="00DE3CF0" w:rsidRDefault="00D43861">
            <w:pPr>
              <w:spacing w:before="0" w:after="0" w:line="240" w:lineRule="auto"/>
              <w:rPr>
                <w:rFonts w:cs="Arial"/>
                <w:sz w:val="16"/>
                <w:szCs w:val="16"/>
                <w:lang w:val="de-CH"/>
              </w:rPr>
            </w:pPr>
            <w:r w:rsidRPr="00DE3CF0">
              <w:rPr>
                <w:sz w:val="16"/>
                <w:lang w:val="de-CH"/>
              </w:rPr>
              <w:t>Beurteilung, ob die</w:t>
            </w:r>
            <w:r w:rsidR="00473567" w:rsidRPr="00DE3CF0">
              <w:rPr>
                <w:sz w:val="16"/>
                <w:lang w:val="de-CH"/>
              </w:rPr>
              <w:t xml:space="preserve"> </w:t>
            </w:r>
            <w:r w:rsidRPr="00DE3CF0">
              <w:rPr>
                <w:sz w:val="16"/>
                <w:lang w:val="de-CH"/>
              </w:rPr>
              <w:t xml:space="preserve">Geschäftsleitung die Vorgaben des Oberleitungsorgans bezüglich der operativen Geschäftstätigkeit im Einklang mit der Geschäftsstrategie sowie Einrichtung, Aufrechterhaltung und regelmässiger Überprüfung der </w:t>
            </w:r>
            <w:r w:rsidR="00974EF8">
              <w:rPr>
                <w:sz w:val="16"/>
                <w:lang w:val="de-CH"/>
              </w:rPr>
              <w:br/>
            </w:r>
            <w:r w:rsidRPr="00DE3CF0">
              <w:rPr>
                <w:sz w:val="16"/>
                <w:lang w:val="de-CH"/>
              </w:rPr>
              <w:t>internen Kontrolle umsetzt (</w:t>
            </w:r>
            <w:r w:rsidRPr="00C06A90">
              <w:rPr>
                <w:sz w:val="16"/>
                <w:lang w:val="de-CH"/>
              </w:rPr>
              <w:t xml:space="preserve">Rz 47-50 FINMA-RS </w:t>
            </w:r>
            <w:r w:rsidRPr="00DE3CF0">
              <w:rPr>
                <w:sz w:val="16"/>
                <w:lang w:val="de-CH"/>
              </w:rPr>
              <w:t>17/1)</w:t>
            </w:r>
            <w:r w:rsidR="002D4D9A" w:rsidRPr="00DE3CF0" w:rsidDel="002D4D9A">
              <w:rPr>
                <w:sz w:val="16"/>
                <w:lang w:val="de-CH"/>
              </w:rPr>
              <w:t xml:space="preserve"> </w:t>
            </w:r>
          </w:p>
          <w:p w14:paraId="32537942" w14:textId="77777777" w:rsidR="00D43861" w:rsidRPr="00DE3CF0" w:rsidRDefault="00D43861">
            <w:pPr>
              <w:spacing w:before="0" w:after="0" w:line="240" w:lineRule="auto"/>
              <w:rPr>
                <w:rFonts w:cs="Arial"/>
                <w:sz w:val="16"/>
                <w:szCs w:val="16"/>
                <w:lang w:val="de-CH"/>
              </w:rPr>
            </w:pPr>
          </w:p>
          <w:p w14:paraId="475FB25E" w14:textId="1956E827" w:rsidR="00D43861" w:rsidRPr="00DE3CF0" w:rsidRDefault="00D43861">
            <w:pPr>
              <w:spacing w:before="0" w:after="0" w:line="240" w:lineRule="auto"/>
              <w:rPr>
                <w:rFonts w:cs="Arial"/>
                <w:sz w:val="16"/>
                <w:szCs w:val="16"/>
                <w:lang w:val="de-CH"/>
              </w:rPr>
            </w:pPr>
            <w:r w:rsidRPr="00DE3CF0">
              <w:rPr>
                <w:sz w:val="16"/>
                <w:lang w:val="de-CH"/>
              </w:rPr>
              <w:t>Die Geschäftsleitung ist verantwortlich für:</w:t>
            </w:r>
          </w:p>
          <w:p w14:paraId="3D4A8E60" w14:textId="77777777" w:rsidR="00D43861" w:rsidRPr="00DE3CF0" w:rsidRDefault="00D43861">
            <w:pPr>
              <w:pStyle w:val="Listenabsatz"/>
              <w:numPr>
                <w:ilvl w:val="0"/>
                <w:numId w:val="13"/>
              </w:numPr>
              <w:spacing w:before="0" w:after="0" w:line="240" w:lineRule="auto"/>
              <w:ind w:left="317" w:hanging="142"/>
              <w:rPr>
                <w:rFonts w:cs="Arial"/>
                <w:sz w:val="16"/>
                <w:szCs w:val="16"/>
                <w:lang w:val="de-CH"/>
              </w:rPr>
            </w:pPr>
            <w:r w:rsidRPr="00DE3CF0">
              <w:rPr>
                <w:rFonts w:cs="Arial"/>
                <w:sz w:val="16"/>
                <w:szCs w:val="16"/>
                <w:lang w:val="de-CH"/>
              </w:rPr>
              <w:t>Die Führung des Tagesgeschäfts, die operative Ertrags- und Risikosteuerung sowie die Vertretung des Instituts gegenüber Dritten im operativen Bereich;</w:t>
            </w:r>
          </w:p>
          <w:p w14:paraId="7044C4A0" w14:textId="77777777" w:rsidR="00D43861" w:rsidRPr="00DE3CF0" w:rsidRDefault="00D43861">
            <w:pPr>
              <w:pStyle w:val="Listenabsatz"/>
              <w:numPr>
                <w:ilvl w:val="0"/>
                <w:numId w:val="13"/>
              </w:numPr>
              <w:spacing w:before="0" w:after="0" w:line="240" w:lineRule="auto"/>
              <w:ind w:left="317" w:hanging="142"/>
              <w:rPr>
                <w:rFonts w:cs="Arial"/>
                <w:sz w:val="16"/>
                <w:szCs w:val="16"/>
                <w:lang w:val="de-CH"/>
              </w:rPr>
            </w:pPr>
            <w:r w:rsidRPr="00DE3CF0">
              <w:rPr>
                <w:rFonts w:cs="Arial"/>
                <w:sz w:val="16"/>
                <w:szCs w:val="16"/>
                <w:lang w:val="de-CH"/>
              </w:rPr>
              <w:t>Die Antragstellung betreffend Geschäfte, die in die Zuständigkeit oder den Genehmigungsvorbehalt des Oberleitungsorgans fallen sowie den Erlass von Vorschriften zur Regelung des operativen Geschäftsbetriebs;</w:t>
            </w:r>
          </w:p>
          <w:p w14:paraId="6D608E79" w14:textId="059E04A0" w:rsidR="00D43861" w:rsidRPr="00174949" w:rsidRDefault="00D43861" w:rsidP="003A59C3">
            <w:pPr>
              <w:pStyle w:val="Listenabsatz"/>
              <w:numPr>
                <w:ilvl w:val="0"/>
                <w:numId w:val="13"/>
              </w:numPr>
              <w:spacing w:before="0" w:after="0" w:line="240" w:lineRule="auto"/>
              <w:ind w:left="317" w:hanging="142"/>
              <w:rPr>
                <w:lang w:val="de-CH"/>
              </w:rPr>
            </w:pPr>
            <w:r w:rsidRPr="00DE3CF0">
              <w:rPr>
                <w:rFonts w:cs="Arial"/>
                <w:sz w:val="16"/>
                <w:szCs w:val="16"/>
                <w:lang w:val="de-CH"/>
              </w:rPr>
              <w:t xml:space="preserve">Die Ausgestaltung sowie den Unterhalt zweckmässiger interner </w:t>
            </w:r>
            <w:r w:rsidRPr="00DE3CF0" w:rsidDel="00616026">
              <w:rPr>
                <w:rFonts w:cs="Arial"/>
                <w:sz w:val="16"/>
                <w:szCs w:val="16"/>
                <w:lang w:val="de-CH"/>
              </w:rPr>
              <w:t>Prozesse</w:t>
            </w:r>
            <w:r w:rsidRPr="00DE3CF0">
              <w:rPr>
                <w:rFonts w:cs="Arial"/>
                <w:sz w:val="16"/>
                <w:szCs w:val="16"/>
                <w:lang w:val="de-CH"/>
              </w:rPr>
              <w:t>, eines angemessenen MIS und eines IKS sowie einer geeigneten Technologieinfrastruktur</w:t>
            </w:r>
            <w:r w:rsidR="006C6EB7" w:rsidRPr="00DE3CF0">
              <w:rPr>
                <w:rFonts w:cs="Arial"/>
                <w:sz w:val="16"/>
                <w:szCs w:val="16"/>
                <w:lang w:val="de-CH"/>
              </w:rPr>
              <w:t>.</w:t>
            </w:r>
            <w:r w:rsidR="00DB35CC" w:rsidRPr="00DE3CF0">
              <w:rPr>
                <w:rFonts w:cs="Arial"/>
                <w:sz w:val="16"/>
                <w:szCs w:val="16"/>
                <w:lang w:val="de-CH"/>
              </w:rPr>
              <w:t xml:space="preserve"> </w:t>
            </w:r>
          </w:p>
        </w:tc>
        <w:tc>
          <w:tcPr>
            <w:tcW w:w="3827" w:type="dxa"/>
            <w:shd w:val="clear" w:color="auto" w:fill="auto"/>
          </w:tcPr>
          <w:p w14:paraId="5BE99A30" w14:textId="5A0283E9" w:rsidR="00D43861" w:rsidRPr="00DE3CF0" w:rsidRDefault="004333E7">
            <w:pPr>
              <w:pStyle w:val="Bullet"/>
              <w:numPr>
                <w:ilvl w:val="0"/>
                <w:numId w:val="0"/>
              </w:numPr>
              <w:spacing w:before="0" w:after="0"/>
              <w:ind w:left="34"/>
              <w:rPr>
                <w:lang w:val="de-CH"/>
              </w:rPr>
            </w:pPr>
            <w:r>
              <w:rPr>
                <w:lang w:val="de-CH"/>
              </w:rPr>
              <w:t>Einsichtnahme in die</w:t>
            </w:r>
            <w:r w:rsidR="00D43861" w:rsidRPr="00DE3CF0">
              <w:rPr>
                <w:lang w:val="de-CH"/>
              </w:rPr>
              <w:t xml:space="preserve"> Dokumentation im Zusammenhang mit der Überprüfung der Angemessenheit der internen Kontrolle und Beurteilung der Angemessenheit der Erörterungen und der getroffenen Entscheidungen.</w:t>
            </w:r>
          </w:p>
          <w:p w14:paraId="65C7CD7B" w14:textId="77777777" w:rsidR="00D43861" w:rsidRPr="00DE3CF0" w:rsidRDefault="00D43861" w:rsidP="00617203">
            <w:pPr>
              <w:pStyle w:val="Bullet"/>
              <w:numPr>
                <w:ilvl w:val="0"/>
                <w:numId w:val="0"/>
              </w:numPr>
              <w:spacing w:before="0" w:after="0"/>
              <w:rPr>
                <w:lang w:val="de-CH"/>
              </w:rPr>
            </w:pPr>
          </w:p>
          <w:p w14:paraId="6D608E7A" w14:textId="308951D0" w:rsidR="00D43861" w:rsidRPr="00DE3CF0" w:rsidDel="00A610D8" w:rsidRDefault="00D43861">
            <w:pPr>
              <w:pStyle w:val="Bullet"/>
              <w:numPr>
                <w:ilvl w:val="0"/>
                <w:numId w:val="0"/>
              </w:numPr>
              <w:spacing w:before="0" w:after="0"/>
              <w:ind w:left="34"/>
              <w:rPr>
                <w:lang w:val="de-CH"/>
              </w:rPr>
            </w:pPr>
          </w:p>
        </w:tc>
        <w:tc>
          <w:tcPr>
            <w:tcW w:w="3686" w:type="dxa"/>
            <w:shd w:val="clear" w:color="auto" w:fill="auto"/>
          </w:tcPr>
          <w:p w14:paraId="6D608E7B" w14:textId="77777777" w:rsidR="00D43861" w:rsidRPr="00DE3CF0" w:rsidRDefault="00D43861">
            <w:pPr>
              <w:spacing w:before="0" w:after="0" w:line="240" w:lineRule="auto"/>
              <w:rPr>
                <w:rFonts w:cs="Arial"/>
                <w:sz w:val="16"/>
                <w:szCs w:val="16"/>
                <w:lang w:val="de-CH"/>
              </w:rPr>
            </w:pPr>
          </w:p>
        </w:tc>
        <w:tc>
          <w:tcPr>
            <w:tcW w:w="992" w:type="dxa"/>
            <w:shd w:val="clear" w:color="auto" w:fill="auto"/>
          </w:tcPr>
          <w:p w14:paraId="6D608E7C" w14:textId="77777777" w:rsidR="00D43861" w:rsidRPr="00DE3CF0" w:rsidRDefault="00D43861">
            <w:pPr>
              <w:spacing w:before="0" w:after="0" w:line="240" w:lineRule="auto"/>
              <w:rPr>
                <w:rFonts w:cs="Arial"/>
                <w:sz w:val="16"/>
                <w:szCs w:val="16"/>
                <w:lang w:val="de-CH"/>
              </w:rPr>
            </w:pPr>
          </w:p>
        </w:tc>
      </w:tr>
      <w:tr w:rsidR="00D43861" w:rsidRPr="00885CAE" w14:paraId="6D608E9B" w14:textId="77777777" w:rsidTr="008D65C6">
        <w:tc>
          <w:tcPr>
            <w:tcW w:w="531" w:type="dxa"/>
            <w:vMerge/>
            <w:shd w:val="clear" w:color="auto" w:fill="auto"/>
          </w:tcPr>
          <w:p w14:paraId="6D608E7E" w14:textId="77777777" w:rsidR="00D43861" w:rsidRPr="00DE3CF0" w:rsidRDefault="00D43861">
            <w:pPr>
              <w:spacing w:before="0" w:after="0" w:line="240" w:lineRule="auto"/>
              <w:rPr>
                <w:rFonts w:cs="Arial"/>
                <w:sz w:val="16"/>
                <w:szCs w:val="16"/>
                <w:lang w:val="de-CH"/>
              </w:rPr>
            </w:pPr>
          </w:p>
        </w:tc>
        <w:tc>
          <w:tcPr>
            <w:tcW w:w="1596" w:type="dxa"/>
            <w:vMerge/>
            <w:shd w:val="clear" w:color="auto" w:fill="auto"/>
          </w:tcPr>
          <w:p w14:paraId="6D608E7F" w14:textId="77777777" w:rsidR="00D43861" w:rsidRPr="00DE3CF0" w:rsidRDefault="00D43861">
            <w:pPr>
              <w:spacing w:before="0" w:after="0" w:line="240" w:lineRule="auto"/>
              <w:rPr>
                <w:sz w:val="16"/>
                <w:szCs w:val="16"/>
                <w:lang w:val="de-CH"/>
              </w:rPr>
            </w:pPr>
          </w:p>
        </w:tc>
        <w:tc>
          <w:tcPr>
            <w:tcW w:w="3685" w:type="dxa"/>
            <w:shd w:val="clear" w:color="auto" w:fill="auto"/>
          </w:tcPr>
          <w:p w14:paraId="04120A7F" w14:textId="77777777" w:rsidR="00D43861" w:rsidRPr="00DE3CF0" w:rsidRDefault="00D43861">
            <w:pPr>
              <w:pStyle w:val="Bullet"/>
              <w:numPr>
                <w:ilvl w:val="0"/>
                <w:numId w:val="0"/>
              </w:numPr>
              <w:spacing w:before="0" w:after="0"/>
              <w:rPr>
                <w:lang w:val="de-CH"/>
              </w:rPr>
            </w:pPr>
            <w:r w:rsidRPr="00DE3CF0">
              <w:rPr>
                <w:lang w:val="de-CH"/>
              </w:rPr>
              <w:t>Beurteilung der allgemeinen Angemessenheit der Ausgestaltung des internen Kontrollsystems in Bezug auf (Ausgestaltung):</w:t>
            </w:r>
          </w:p>
          <w:p w14:paraId="43295525" w14:textId="77777777" w:rsidR="00D43861" w:rsidRPr="00DE3CF0" w:rsidRDefault="00D43861" w:rsidP="008E0BCA">
            <w:pPr>
              <w:pStyle w:val="Aufzhlungszeichen"/>
              <w:numPr>
                <w:ilvl w:val="0"/>
                <w:numId w:val="24"/>
              </w:numPr>
              <w:spacing w:before="0" w:after="0" w:line="240" w:lineRule="auto"/>
              <w:contextualSpacing w:val="0"/>
              <w:rPr>
                <w:sz w:val="16"/>
                <w:szCs w:val="16"/>
                <w:lang w:val="de-CH"/>
              </w:rPr>
            </w:pPr>
            <w:r w:rsidRPr="00DE3CF0">
              <w:rPr>
                <w:sz w:val="16"/>
                <w:szCs w:val="16"/>
                <w:lang w:val="de-CH"/>
              </w:rPr>
              <w:t>Dokumentationsgrundsätze</w:t>
            </w:r>
          </w:p>
          <w:p w14:paraId="23B45053" w14:textId="77777777" w:rsidR="00D43861" w:rsidRPr="00DE3CF0" w:rsidRDefault="00D43861" w:rsidP="008E0BCA">
            <w:pPr>
              <w:pStyle w:val="Aufzhlungszeichen"/>
              <w:numPr>
                <w:ilvl w:val="0"/>
                <w:numId w:val="24"/>
              </w:numPr>
              <w:spacing w:before="0" w:after="0" w:line="240" w:lineRule="auto"/>
              <w:contextualSpacing w:val="0"/>
              <w:rPr>
                <w:sz w:val="16"/>
                <w:szCs w:val="16"/>
                <w:lang w:val="de-CH"/>
              </w:rPr>
            </w:pPr>
            <w:r w:rsidRPr="00DE3CF0">
              <w:rPr>
                <w:sz w:val="16"/>
                <w:szCs w:val="16"/>
                <w:lang w:val="de-CH"/>
              </w:rPr>
              <w:t>Grösse des Instituts / Komplexität</w:t>
            </w:r>
          </w:p>
          <w:p w14:paraId="577A387F" w14:textId="77777777" w:rsidR="00D43861" w:rsidRPr="00DE3CF0" w:rsidRDefault="00D43861" w:rsidP="008E0BCA">
            <w:pPr>
              <w:pStyle w:val="Aufzhlungszeichen"/>
              <w:numPr>
                <w:ilvl w:val="0"/>
                <w:numId w:val="24"/>
              </w:numPr>
              <w:spacing w:before="0" w:after="0" w:line="240" w:lineRule="auto"/>
              <w:contextualSpacing w:val="0"/>
              <w:rPr>
                <w:sz w:val="16"/>
                <w:szCs w:val="16"/>
                <w:lang w:val="de-CH"/>
              </w:rPr>
            </w:pPr>
            <w:r w:rsidRPr="00DE3CF0">
              <w:rPr>
                <w:sz w:val="16"/>
                <w:szCs w:val="16"/>
                <w:lang w:val="de-CH"/>
              </w:rPr>
              <w:t>Einhaltung des Vier-Augen-Prinzips</w:t>
            </w:r>
          </w:p>
          <w:p w14:paraId="06D650C2" w14:textId="77777777" w:rsidR="00D43861" w:rsidRPr="00DE3CF0" w:rsidRDefault="00D43861" w:rsidP="008E0BCA">
            <w:pPr>
              <w:pStyle w:val="Aufzhlungszeichen"/>
              <w:numPr>
                <w:ilvl w:val="0"/>
                <w:numId w:val="24"/>
              </w:numPr>
              <w:spacing w:before="0" w:after="0" w:line="240" w:lineRule="auto"/>
              <w:contextualSpacing w:val="0"/>
              <w:rPr>
                <w:sz w:val="16"/>
                <w:szCs w:val="16"/>
                <w:lang w:val="de-CH"/>
              </w:rPr>
            </w:pPr>
            <w:r w:rsidRPr="00DE3CF0">
              <w:rPr>
                <w:sz w:val="16"/>
                <w:szCs w:val="16"/>
                <w:lang w:val="de-CH"/>
              </w:rPr>
              <w:t>Berichterstattung (Ergebnisse, Probleme)</w:t>
            </w:r>
          </w:p>
          <w:p w14:paraId="6D608E87" w14:textId="1E76C37C" w:rsidR="00D43861" w:rsidRPr="00DE3CF0" w:rsidRDefault="00D43861" w:rsidP="008E0BCA">
            <w:pPr>
              <w:pStyle w:val="Aufzhlungszeichen"/>
              <w:numPr>
                <w:ilvl w:val="0"/>
                <w:numId w:val="24"/>
              </w:numPr>
              <w:spacing w:before="0" w:after="0" w:line="240" w:lineRule="auto"/>
              <w:rPr>
                <w:lang w:val="de-CH"/>
              </w:rPr>
            </w:pPr>
            <w:r w:rsidRPr="00DE3CF0">
              <w:rPr>
                <w:sz w:val="16"/>
                <w:szCs w:val="16"/>
                <w:lang w:val="de-CH"/>
              </w:rPr>
              <w:t>Genehmigungsprozess</w:t>
            </w:r>
          </w:p>
        </w:tc>
        <w:tc>
          <w:tcPr>
            <w:tcW w:w="3827" w:type="dxa"/>
            <w:shd w:val="clear" w:color="auto" w:fill="auto"/>
          </w:tcPr>
          <w:p w14:paraId="6D608E98" w14:textId="2C453CC1" w:rsidR="00D43861" w:rsidRPr="00885CAE" w:rsidRDefault="00D43861">
            <w:pPr>
              <w:pStyle w:val="Bullet"/>
              <w:numPr>
                <w:ilvl w:val="0"/>
                <w:numId w:val="0"/>
              </w:numPr>
              <w:spacing w:before="0" w:after="0"/>
              <w:ind w:left="34"/>
              <w:rPr>
                <w:lang w:val="de-CH"/>
              </w:rPr>
            </w:pPr>
            <w:r w:rsidRPr="00DE3CF0">
              <w:rPr>
                <w:lang w:val="de-CH"/>
              </w:rPr>
              <w:t>Beurteilung auf Basis einer Stichprobe der IKS-Dokumentation, ob die Vorgaben des Instituts bezüglich der Dokumentation, der Berücksichtigung des Vier-Augen-Prinzips, der Berichterstattung und der Genehmigung eingehalten wurden, einschliesslich der Durchführung der festgelegten Kontrollen (operative Wirksamkeit).</w:t>
            </w:r>
            <w:r>
              <w:rPr>
                <w:lang w:val="de-CH"/>
              </w:rPr>
              <w:t xml:space="preserve"> </w:t>
            </w:r>
          </w:p>
        </w:tc>
        <w:tc>
          <w:tcPr>
            <w:tcW w:w="3686" w:type="dxa"/>
            <w:shd w:val="clear" w:color="auto" w:fill="auto"/>
          </w:tcPr>
          <w:p w14:paraId="6D608E99" w14:textId="77777777" w:rsidR="00D43861" w:rsidRPr="00885CAE" w:rsidRDefault="00D43861">
            <w:pPr>
              <w:spacing w:before="0" w:after="0" w:line="240" w:lineRule="auto"/>
              <w:rPr>
                <w:rFonts w:cs="Arial"/>
                <w:sz w:val="16"/>
                <w:szCs w:val="16"/>
                <w:lang w:val="de-CH"/>
              </w:rPr>
            </w:pPr>
          </w:p>
        </w:tc>
        <w:tc>
          <w:tcPr>
            <w:tcW w:w="992" w:type="dxa"/>
            <w:shd w:val="clear" w:color="auto" w:fill="auto"/>
          </w:tcPr>
          <w:p w14:paraId="6D608E9A" w14:textId="77777777" w:rsidR="00D43861" w:rsidRPr="00885CAE" w:rsidRDefault="00D43861">
            <w:pPr>
              <w:spacing w:before="0" w:after="0" w:line="240" w:lineRule="auto"/>
              <w:rPr>
                <w:rFonts w:cs="Arial"/>
                <w:sz w:val="16"/>
                <w:szCs w:val="16"/>
                <w:lang w:val="de-CH"/>
              </w:rPr>
            </w:pPr>
          </w:p>
        </w:tc>
      </w:tr>
      <w:tr w:rsidR="00652C6C" w:rsidRPr="00885CAE" w14:paraId="6D608EA7" w14:textId="77777777" w:rsidTr="002D4D9A">
        <w:trPr>
          <w:trHeight w:val="1472"/>
        </w:trPr>
        <w:tc>
          <w:tcPr>
            <w:tcW w:w="531" w:type="dxa"/>
            <w:vMerge/>
            <w:shd w:val="clear" w:color="auto" w:fill="auto"/>
          </w:tcPr>
          <w:p w14:paraId="6D608E9C" w14:textId="77777777" w:rsidR="00652C6C" w:rsidRPr="00885CAE" w:rsidRDefault="00652C6C">
            <w:pPr>
              <w:spacing w:before="0" w:after="0" w:line="240" w:lineRule="auto"/>
              <w:rPr>
                <w:rFonts w:cs="Arial"/>
                <w:sz w:val="16"/>
                <w:szCs w:val="16"/>
                <w:lang w:val="de-CH"/>
              </w:rPr>
            </w:pPr>
          </w:p>
        </w:tc>
        <w:tc>
          <w:tcPr>
            <w:tcW w:w="1596" w:type="dxa"/>
            <w:vMerge/>
            <w:shd w:val="clear" w:color="auto" w:fill="auto"/>
          </w:tcPr>
          <w:p w14:paraId="6D608E9D" w14:textId="77777777" w:rsidR="00652C6C" w:rsidRPr="00885CAE" w:rsidRDefault="00652C6C">
            <w:pPr>
              <w:spacing w:before="0" w:after="0" w:line="240" w:lineRule="auto"/>
              <w:rPr>
                <w:sz w:val="16"/>
                <w:szCs w:val="16"/>
                <w:lang w:val="de-CH"/>
              </w:rPr>
            </w:pPr>
          </w:p>
        </w:tc>
        <w:tc>
          <w:tcPr>
            <w:tcW w:w="3685" w:type="dxa"/>
            <w:shd w:val="clear" w:color="auto" w:fill="auto"/>
          </w:tcPr>
          <w:p w14:paraId="48BEB19A" w14:textId="4E079184" w:rsidR="00652C6C" w:rsidRPr="000A16F9" w:rsidRDefault="00652C6C">
            <w:pPr>
              <w:pStyle w:val="Aufzhlungszeichen"/>
              <w:numPr>
                <w:ilvl w:val="0"/>
                <w:numId w:val="0"/>
              </w:numPr>
              <w:spacing w:before="0" w:after="0" w:line="240" w:lineRule="auto"/>
              <w:rPr>
                <w:sz w:val="16"/>
                <w:szCs w:val="16"/>
                <w:lang w:val="de-CH"/>
              </w:rPr>
            </w:pPr>
            <w:r w:rsidRPr="005E583D">
              <w:rPr>
                <w:sz w:val="16"/>
                <w:lang w:val="de-CH"/>
              </w:rPr>
              <w:t>Aneignung von Kenntnissen über die Ausgestaltung des Aktualisierungsprozesses für die Dokumentation des internen Kontrollsystems und Beurteilung, ob der Prozess angemessen ist, um notwendige Anpassungen aufzudecken und das interne Kontrollsystem aktuell zu halten (Ausgestaltung).</w:t>
            </w:r>
          </w:p>
          <w:p w14:paraId="6D608EA3" w14:textId="37185D8C" w:rsidR="00652C6C" w:rsidRPr="000A16F9" w:rsidRDefault="00652C6C" w:rsidP="00617203">
            <w:pPr>
              <w:pStyle w:val="Bullet"/>
              <w:spacing w:before="0" w:after="0"/>
              <w:ind w:left="0"/>
              <w:rPr>
                <w:lang w:val="de-CH"/>
              </w:rPr>
            </w:pPr>
          </w:p>
        </w:tc>
        <w:tc>
          <w:tcPr>
            <w:tcW w:w="3827" w:type="dxa"/>
            <w:shd w:val="clear" w:color="auto" w:fill="auto"/>
          </w:tcPr>
          <w:p w14:paraId="4FCB0C2E" w14:textId="12E0F1A7" w:rsidR="00652C6C" w:rsidRPr="00885CAE" w:rsidRDefault="00652C6C" w:rsidP="00B83672">
            <w:pPr>
              <w:pStyle w:val="Bullet"/>
              <w:numPr>
                <w:ilvl w:val="0"/>
                <w:numId w:val="0"/>
              </w:numPr>
              <w:spacing w:before="0" w:after="0"/>
              <w:ind w:left="34"/>
              <w:rPr>
                <w:lang w:val="de-CH"/>
              </w:rPr>
            </w:pPr>
            <w:r w:rsidRPr="00885CAE">
              <w:rPr>
                <w:lang w:val="de-CH"/>
              </w:rPr>
              <w:t>Beurteilung auf Basis einer Stichprobe der IKS-Dokumentation</w:t>
            </w:r>
            <w:r>
              <w:rPr>
                <w:lang w:val="de-CH"/>
              </w:rPr>
              <w:t>,</w:t>
            </w:r>
            <w:r w:rsidRPr="00885CAE">
              <w:rPr>
                <w:lang w:val="de-CH"/>
              </w:rPr>
              <w:t xml:space="preserve"> ob die Vorgaben des Instituts bezüglich der Aktualisierungs- und Genehmigungsprozesse eingehalten wurden, einschliesslich der Durchführung der festgelegten Kontrollen (operative Wirksamkeit)</w:t>
            </w:r>
            <w:r>
              <w:rPr>
                <w:lang w:val="de-CH"/>
              </w:rPr>
              <w:t>.</w:t>
            </w:r>
          </w:p>
          <w:p w14:paraId="6D608EA4" w14:textId="4BF9E017" w:rsidR="00652C6C" w:rsidRPr="00885CAE" w:rsidRDefault="00652C6C" w:rsidP="00B83672">
            <w:pPr>
              <w:pStyle w:val="Bullet"/>
              <w:spacing w:before="0" w:after="0"/>
              <w:ind w:left="34"/>
              <w:rPr>
                <w:lang w:val="de-CH"/>
              </w:rPr>
            </w:pPr>
          </w:p>
        </w:tc>
        <w:tc>
          <w:tcPr>
            <w:tcW w:w="3686" w:type="dxa"/>
            <w:shd w:val="clear" w:color="auto" w:fill="auto"/>
          </w:tcPr>
          <w:p w14:paraId="6D608EA5" w14:textId="77777777" w:rsidR="00652C6C" w:rsidRPr="00885CAE" w:rsidRDefault="00652C6C">
            <w:pPr>
              <w:spacing w:before="0" w:after="0" w:line="240" w:lineRule="auto"/>
              <w:rPr>
                <w:rFonts w:cs="Arial"/>
                <w:sz w:val="16"/>
                <w:szCs w:val="16"/>
                <w:lang w:val="de-CH"/>
              </w:rPr>
            </w:pPr>
          </w:p>
        </w:tc>
        <w:tc>
          <w:tcPr>
            <w:tcW w:w="992" w:type="dxa"/>
            <w:shd w:val="clear" w:color="auto" w:fill="auto"/>
          </w:tcPr>
          <w:p w14:paraId="6D608EA6" w14:textId="77777777" w:rsidR="00652C6C" w:rsidRPr="00885CAE" w:rsidRDefault="00652C6C">
            <w:pPr>
              <w:spacing w:before="0" w:after="0" w:line="240" w:lineRule="auto"/>
              <w:rPr>
                <w:rFonts w:cs="Arial"/>
                <w:sz w:val="16"/>
                <w:szCs w:val="16"/>
                <w:lang w:val="de-CH"/>
              </w:rPr>
            </w:pPr>
          </w:p>
        </w:tc>
      </w:tr>
    </w:tbl>
    <w:p w14:paraId="6D608EAF" w14:textId="77777777" w:rsidR="00902075" w:rsidRPr="00885CAE" w:rsidRDefault="00902075" w:rsidP="003B1D91">
      <w:pPr>
        <w:spacing w:before="0" w:after="0" w:line="240" w:lineRule="auto"/>
        <w:jc w:val="center"/>
        <w:rPr>
          <w:rFonts w:cs="Arial"/>
          <w:lang w:val="de-CH"/>
        </w:rPr>
      </w:pPr>
    </w:p>
    <w:p w14:paraId="6D608EB0" w14:textId="77777777" w:rsidR="00902075" w:rsidRPr="00885CAE" w:rsidRDefault="00902075" w:rsidP="003B1D91">
      <w:pPr>
        <w:spacing w:before="0" w:after="200"/>
        <w:rPr>
          <w:rFonts w:cs="Arial"/>
          <w:b/>
          <w:lang w:val="de-CH"/>
        </w:rPr>
      </w:pPr>
      <w:r w:rsidRPr="00885CAE">
        <w:rPr>
          <w:lang w:val="de-CH"/>
        </w:rPr>
        <w:br w:type="page"/>
      </w:r>
    </w:p>
    <w:p w14:paraId="6D608EB1" w14:textId="77777777" w:rsidR="00902075" w:rsidRPr="00885CAE" w:rsidRDefault="00902075" w:rsidP="003B1D91">
      <w:pPr>
        <w:spacing w:before="0" w:after="0" w:line="240" w:lineRule="auto"/>
        <w:rPr>
          <w:rFonts w:cs="Arial"/>
          <w:b/>
          <w:u w:val="single"/>
          <w:lang w:val="de-CH"/>
        </w:rPr>
      </w:pPr>
      <w:r w:rsidRPr="00885CAE">
        <w:rPr>
          <w:b/>
          <w:lang w:val="de-CH"/>
        </w:rPr>
        <w:lastRenderedPageBreak/>
        <w:t xml:space="preserve">Prüfprogramm – </w:t>
      </w:r>
      <w:r w:rsidRPr="00885CAE">
        <w:rPr>
          <w:b/>
          <w:u w:val="single"/>
          <w:lang w:val="de-CH"/>
        </w:rPr>
        <w:t>Interne Organisation und internes Kontrollsystem – Massnahmen zur angemessenen Begrenzung von Interessenkonflikten</w:t>
      </w:r>
    </w:p>
    <w:p w14:paraId="6D608EB2" w14:textId="77777777" w:rsidR="00902075" w:rsidRPr="00885CAE" w:rsidRDefault="00902075" w:rsidP="007C14FD">
      <w:pPr>
        <w:spacing w:before="0" w:after="0" w:line="240" w:lineRule="auto"/>
        <w:rPr>
          <w:rFonts w:cs="Arial"/>
          <w:b/>
          <w:u w:val="single"/>
          <w:lang w:val="de-CH"/>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902075" w:rsidRPr="00885CAE" w14:paraId="6D608EB9" w14:textId="77777777" w:rsidTr="00E72C82">
        <w:trPr>
          <w:tblHeader/>
        </w:trPr>
        <w:tc>
          <w:tcPr>
            <w:tcW w:w="531" w:type="dxa"/>
            <w:tcBorders>
              <w:bottom w:val="single" w:sz="4" w:space="0" w:color="auto"/>
            </w:tcBorders>
            <w:shd w:val="pct20" w:color="auto" w:fill="auto"/>
          </w:tcPr>
          <w:p w14:paraId="6D608EB3" w14:textId="77777777" w:rsidR="00902075" w:rsidRPr="00885CAE" w:rsidRDefault="00902075" w:rsidP="007C14FD">
            <w:pPr>
              <w:spacing w:before="0" w:after="0" w:line="240" w:lineRule="auto"/>
              <w:rPr>
                <w:rFonts w:cs="Arial"/>
                <w:b/>
                <w:sz w:val="16"/>
                <w:szCs w:val="16"/>
                <w:lang w:val="de-CH"/>
              </w:rPr>
            </w:pPr>
            <w:r w:rsidRPr="00885CAE">
              <w:rPr>
                <w:b/>
                <w:sz w:val="16"/>
                <w:lang w:val="de-CH"/>
              </w:rPr>
              <w:t>Nr.</w:t>
            </w:r>
          </w:p>
        </w:tc>
        <w:tc>
          <w:tcPr>
            <w:tcW w:w="1596" w:type="dxa"/>
            <w:tcBorders>
              <w:bottom w:val="single" w:sz="4" w:space="0" w:color="auto"/>
            </w:tcBorders>
            <w:shd w:val="pct20" w:color="auto" w:fill="auto"/>
          </w:tcPr>
          <w:p w14:paraId="6D608EB4" w14:textId="77777777" w:rsidR="00902075" w:rsidRPr="00885CAE" w:rsidRDefault="00902075" w:rsidP="00110A2E">
            <w:pPr>
              <w:spacing w:before="0" w:after="0" w:line="240" w:lineRule="auto"/>
              <w:rPr>
                <w:rFonts w:cs="Arial"/>
                <w:b/>
                <w:sz w:val="16"/>
                <w:szCs w:val="16"/>
                <w:lang w:val="de-CH"/>
              </w:rPr>
            </w:pPr>
            <w:r w:rsidRPr="00885CAE">
              <w:rPr>
                <w:b/>
                <w:sz w:val="16"/>
                <w:lang w:val="de-CH"/>
              </w:rPr>
              <w:t>Thema:</w:t>
            </w:r>
          </w:p>
        </w:tc>
        <w:tc>
          <w:tcPr>
            <w:tcW w:w="3685" w:type="dxa"/>
            <w:tcBorders>
              <w:bottom w:val="single" w:sz="4" w:space="0" w:color="auto"/>
            </w:tcBorders>
            <w:shd w:val="pct20" w:color="auto" w:fill="auto"/>
          </w:tcPr>
          <w:p w14:paraId="6D608EB5" w14:textId="3566EA7E" w:rsidR="00902075" w:rsidRPr="00885CAE" w:rsidRDefault="00902075">
            <w:pPr>
              <w:spacing w:before="0" w:after="0" w:line="240" w:lineRule="auto"/>
              <w:rPr>
                <w:rFonts w:cs="Arial"/>
                <w:b/>
                <w:sz w:val="16"/>
                <w:szCs w:val="16"/>
                <w:lang w:val="de-CH"/>
              </w:rPr>
            </w:pPr>
            <w:r w:rsidRPr="00885CAE">
              <w:rPr>
                <w:b/>
                <w:sz w:val="16"/>
                <w:lang w:val="de-CH"/>
              </w:rPr>
              <w:t>Prüfungshandlungen für Prüftiefe „kritische Beurteilung“:</w:t>
            </w:r>
          </w:p>
        </w:tc>
        <w:tc>
          <w:tcPr>
            <w:tcW w:w="3827" w:type="dxa"/>
            <w:tcBorders>
              <w:bottom w:val="single" w:sz="4" w:space="0" w:color="auto"/>
            </w:tcBorders>
            <w:shd w:val="pct20" w:color="auto" w:fill="auto"/>
          </w:tcPr>
          <w:p w14:paraId="6D608EB6" w14:textId="483EB8E4" w:rsidR="00902075" w:rsidRPr="00885CAE" w:rsidRDefault="00902075" w:rsidP="001B380C">
            <w:pPr>
              <w:spacing w:before="0" w:after="0" w:line="240" w:lineRule="auto"/>
              <w:rPr>
                <w:rFonts w:cs="Arial"/>
                <w:b/>
                <w:sz w:val="16"/>
                <w:szCs w:val="16"/>
                <w:lang w:val="de-CH"/>
              </w:rPr>
            </w:pPr>
            <w:r w:rsidRPr="00885CAE">
              <w:rPr>
                <w:b/>
                <w:sz w:val="16"/>
                <w:u w:val="single"/>
                <w:lang w:val="de-CH"/>
              </w:rPr>
              <w:t>Zusätzliche</w:t>
            </w:r>
            <w:r w:rsidRPr="00885CAE">
              <w:rPr>
                <w:b/>
                <w:sz w:val="16"/>
                <w:lang w:val="de-CH"/>
              </w:rPr>
              <w:t xml:space="preserve"> Prüfungshandlungen für Prüftiefe „Prüfung“:</w:t>
            </w:r>
          </w:p>
        </w:tc>
        <w:tc>
          <w:tcPr>
            <w:tcW w:w="3686" w:type="dxa"/>
            <w:tcBorders>
              <w:bottom w:val="single" w:sz="4" w:space="0" w:color="auto"/>
            </w:tcBorders>
            <w:shd w:val="pct20" w:color="auto" w:fill="auto"/>
          </w:tcPr>
          <w:p w14:paraId="6D608EB7" w14:textId="77777777" w:rsidR="00902075" w:rsidRPr="00885CAE" w:rsidRDefault="0090547A">
            <w:pPr>
              <w:spacing w:before="0" w:after="0" w:line="240" w:lineRule="auto"/>
              <w:rPr>
                <w:rFonts w:cs="Arial"/>
                <w:b/>
                <w:sz w:val="16"/>
                <w:szCs w:val="16"/>
                <w:lang w:val="de-CH"/>
              </w:rPr>
            </w:pPr>
            <w:r w:rsidRPr="00885CAE">
              <w:rPr>
                <w:b/>
                <w:sz w:val="16"/>
                <w:lang w:val="de-CH"/>
              </w:rPr>
              <w:t>Durchgeführte Prüfungshandlungen / Feststellungen</w:t>
            </w:r>
          </w:p>
        </w:tc>
        <w:tc>
          <w:tcPr>
            <w:tcW w:w="992" w:type="dxa"/>
            <w:tcBorders>
              <w:bottom w:val="single" w:sz="4" w:space="0" w:color="auto"/>
            </w:tcBorders>
            <w:shd w:val="pct20" w:color="auto" w:fill="auto"/>
          </w:tcPr>
          <w:p w14:paraId="6D608EB8" w14:textId="77777777" w:rsidR="00902075" w:rsidRPr="00885CAE" w:rsidRDefault="00902075">
            <w:pPr>
              <w:spacing w:before="0" w:after="0" w:line="240" w:lineRule="auto"/>
              <w:rPr>
                <w:rFonts w:cs="Arial"/>
                <w:b/>
                <w:sz w:val="16"/>
                <w:szCs w:val="16"/>
                <w:lang w:val="de-CH"/>
              </w:rPr>
            </w:pPr>
            <w:r w:rsidRPr="00885CAE">
              <w:rPr>
                <w:b/>
                <w:sz w:val="16"/>
                <w:lang w:val="de-CH"/>
              </w:rPr>
              <w:t xml:space="preserve">Arbeitspapiere </w:t>
            </w:r>
            <w:proofErr w:type="spellStart"/>
            <w:r w:rsidRPr="00885CAE">
              <w:rPr>
                <w:b/>
                <w:sz w:val="16"/>
                <w:lang w:val="de-CH"/>
              </w:rPr>
              <w:t>Ref</w:t>
            </w:r>
            <w:proofErr w:type="spellEnd"/>
            <w:r w:rsidRPr="00885CAE">
              <w:rPr>
                <w:b/>
                <w:sz w:val="16"/>
                <w:lang w:val="de-CH"/>
              </w:rPr>
              <w:t>.:</w:t>
            </w:r>
          </w:p>
        </w:tc>
      </w:tr>
      <w:tr w:rsidR="00902075" w:rsidRPr="00D6498A" w14:paraId="6D608EBD" w14:textId="77777777" w:rsidTr="00E72C82">
        <w:tc>
          <w:tcPr>
            <w:tcW w:w="14317" w:type="dxa"/>
            <w:gridSpan w:val="6"/>
            <w:shd w:val="pct10" w:color="auto" w:fill="auto"/>
          </w:tcPr>
          <w:p w14:paraId="6D608EBC" w14:textId="24B3537F" w:rsidR="00902075" w:rsidRPr="0023086C" w:rsidRDefault="00902075" w:rsidP="007C14FD">
            <w:pPr>
              <w:spacing w:before="0" w:after="0" w:line="240" w:lineRule="auto"/>
              <w:rPr>
                <w:rFonts w:cs="Arial"/>
                <w:i/>
                <w:sz w:val="16"/>
                <w:szCs w:val="16"/>
                <w:lang w:val="fr-CH"/>
              </w:rPr>
            </w:pPr>
          </w:p>
        </w:tc>
      </w:tr>
      <w:tr w:rsidR="00755512" w:rsidRPr="00885CAE" w14:paraId="6D608EC4" w14:textId="77777777" w:rsidTr="008D65C6">
        <w:tc>
          <w:tcPr>
            <w:tcW w:w="531" w:type="dxa"/>
            <w:vMerge w:val="restart"/>
            <w:shd w:val="clear" w:color="auto" w:fill="auto"/>
          </w:tcPr>
          <w:p w14:paraId="6D608EBE" w14:textId="77777777" w:rsidR="00755512" w:rsidRPr="0023086C" w:rsidRDefault="00755512" w:rsidP="003B1D91">
            <w:pPr>
              <w:spacing w:before="0" w:after="0" w:line="240" w:lineRule="auto"/>
              <w:rPr>
                <w:rFonts w:cs="Arial"/>
                <w:sz w:val="16"/>
                <w:szCs w:val="16"/>
                <w:lang w:val="fr-CH"/>
              </w:rPr>
            </w:pPr>
          </w:p>
        </w:tc>
        <w:tc>
          <w:tcPr>
            <w:tcW w:w="1596" w:type="dxa"/>
            <w:vMerge w:val="restart"/>
            <w:shd w:val="clear" w:color="auto" w:fill="auto"/>
          </w:tcPr>
          <w:p w14:paraId="6D608EBF" w14:textId="77777777" w:rsidR="00755512" w:rsidRPr="00885CAE" w:rsidRDefault="00755512" w:rsidP="003B1D91">
            <w:pPr>
              <w:spacing w:before="0" w:after="0" w:line="240" w:lineRule="auto"/>
              <w:rPr>
                <w:rFonts w:cs="Arial"/>
                <w:b/>
                <w:sz w:val="16"/>
                <w:szCs w:val="16"/>
                <w:lang w:val="de-CH"/>
              </w:rPr>
            </w:pPr>
            <w:r w:rsidRPr="00885CAE">
              <w:rPr>
                <w:b/>
                <w:sz w:val="16"/>
                <w:lang w:val="de-CH"/>
              </w:rPr>
              <w:t>Massnahmen zur angemessenen Begrenzung von Interessenkonflikten</w:t>
            </w:r>
          </w:p>
        </w:tc>
        <w:tc>
          <w:tcPr>
            <w:tcW w:w="3685" w:type="dxa"/>
            <w:shd w:val="clear" w:color="auto" w:fill="auto"/>
          </w:tcPr>
          <w:p w14:paraId="6D608EC0" w14:textId="77777777" w:rsidR="00755512" w:rsidRPr="00885CAE" w:rsidRDefault="00755512" w:rsidP="007C14FD">
            <w:pPr>
              <w:pStyle w:val="Bullet"/>
              <w:numPr>
                <w:ilvl w:val="0"/>
                <w:numId w:val="0"/>
              </w:numPr>
              <w:spacing w:before="0" w:after="0"/>
              <w:rPr>
                <w:i/>
                <w:lang w:val="de-CH"/>
              </w:rPr>
            </w:pPr>
            <w:r w:rsidRPr="00885CAE">
              <w:rPr>
                <w:i/>
                <w:lang w:val="de-CH"/>
              </w:rPr>
              <w:t>Beurteilung, ob die interne Organisation angemessen ausgestaltet ist, um eine angemessene Begrenzung von Interessenkonflikten nach Massgabe der Grösse und der Geschäfts- und Organisationskomplexität des Instituts zu gewährleisten, namentlich</w:t>
            </w:r>
          </w:p>
        </w:tc>
        <w:tc>
          <w:tcPr>
            <w:tcW w:w="3827" w:type="dxa"/>
            <w:shd w:val="clear" w:color="auto" w:fill="auto"/>
          </w:tcPr>
          <w:p w14:paraId="6D608EC1" w14:textId="1828DAE5" w:rsidR="00755512" w:rsidRPr="00885CAE" w:rsidRDefault="005D62BB">
            <w:pPr>
              <w:pStyle w:val="Bullet"/>
              <w:numPr>
                <w:ilvl w:val="0"/>
                <w:numId w:val="0"/>
              </w:numPr>
              <w:spacing w:before="0" w:after="0"/>
              <w:ind w:left="34"/>
              <w:rPr>
                <w:i/>
                <w:lang w:val="de-CH"/>
              </w:rPr>
            </w:pPr>
            <w:r w:rsidRPr="000251A4">
              <w:rPr>
                <w:lang w:val="de-CH"/>
              </w:rPr>
              <w:t>Einholen</w:t>
            </w:r>
            <w:r w:rsidR="00E56B89">
              <w:rPr>
                <w:lang w:val="de-CH"/>
              </w:rPr>
              <w:t xml:space="preserve"> von Unterlagen </w:t>
            </w:r>
            <w:r w:rsidR="00755512" w:rsidRPr="00885CAE">
              <w:rPr>
                <w:lang w:val="de-CH"/>
              </w:rPr>
              <w:t>über</w:t>
            </w:r>
            <w:r w:rsidR="00537474">
              <w:rPr>
                <w:lang w:val="de-CH"/>
              </w:rPr>
              <w:t xml:space="preserve"> </w:t>
            </w:r>
            <w:r w:rsidR="00537474" w:rsidRPr="000251A4">
              <w:rPr>
                <w:lang w:val="de-CH"/>
              </w:rPr>
              <w:t>wesentliche</w:t>
            </w:r>
            <w:r w:rsidR="00755512" w:rsidRPr="00885CAE">
              <w:rPr>
                <w:lang w:val="de-CH"/>
              </w:rPr>
              <w:t xml:space="preserve"> festgestellte Mängel (z. B. Betrug infolge umgangener Kontrollmechanismen) </w:t>
            </w:r>
            <w:r>
              <w:rPr>
                <w:lang w:val="de-CH"/>
              </w:rPr>
              <w:t>und Beurteilung</w:t>
            </w:r>
            <w:r w:rsidR="00755512" w:rsidRPr="00885CAE">
              <w:rPr>
                <w:lang w:val="de-CH"/>
              </w:rPr>
              <w:t>, wie das Institut damit</w:t>
            </w:r>
            <w:r w:rsidR="00CA2292" w:rsidRPr="00885CAE">
              <w:rPr>
                <w:lang w:val="de-CH"/>
              </w:rPr>
              <w:t xml:space="preserve"> </w:t>
            </w:r>
            <w:r w:rsidR="00755512" w:rsidRPr="00885CAE">
              <w:rPr>
                <w:lang w:val="de-CH"/>
              </w:rPr>
              <w:t>umgegangen ist (z. B. Meldung, Korrekturmassnahme</w:t>
            </w:r>
            <w:r>
              <w:rPr>
                <w:lang w:val="de-CH"/>
              </w:rPr>
              <w:t xml:space="preserve">n </w:t>
            </w:r>
            <w:r w:rsidR="00755512" w:rsidRPr="00885CAE">
              <w:rPr>
                <w:lang w:val="de-CH"/>
              </w:rPr>
              <w:t>usw.)</w:t>
            </w:r>
            <w:r w:rsidR="00CA1DFA">
              <w:rPr>
                <w:lang w:val="de-CH"/>
              </w:rPr>
              <w:t>.</w:t>
            </w:r>
          </w:p>
        </w:tc>
        <w:tc>
          <w:tcPr>
            <w:tcW w:w="3686" w:type="dxa"/>
            <w:shd w:val="clear" w:color="auto" w:fill="auto"/>
          </w:tcPr>
          <w:p w14:paraId="6D608EC2" w14:textId="77777777" w:rsidR="00755512" w:rsidRPr="00885CAE" w:rsidRDefault="00755512" w:rsidP="007C14FD">
            <w:pPr>
              <w:spacing w:before="0" w:after="0" w:line="240" w:lineRule="auto"/>
              <w:rPr>
                <w:rFonts w:cs="Arial"/>
                <w:sz w:val="16"/>
                <w:szCs w:val="16"/>
                <w:lang w:val="de-CH"/>
              </w:rPr>
            </w:pPr>
          </w:p>
        </w:tc>
        <w:tc>
          <w:tcPr>
            <w:tcW w:w="992" w:type="dxa"/>
            <w:shd w:val="clear" w:color="auto" w:fill="auto"/>
          </w:tcPr>
          <w:p w14:paraId="6D608EC3" w14:textId="77777777" w:rsidR="00755512" w:rsidRPr="00885CAE" w:rsidRDefault="00755512" w:rsidP="00110A2E">
            <w:pPr>
              <w:spacing w:before="0" w:after="0" w:line="240" w:lineRule="auto"/>
              <w:rPr>
                <w:rFonts w:cs="Arial"/>
                <w:sz w:val="16"/>
                <w:szCs w:val="16"/>
                <w:lang w:val="de-CH"/>
              </w:rPr>
            </w:pPr>
          </w:p>
        </w:tc>
      </w:tr>
      <w:tr w:rsidR="00755512" w:rsidRPr="00885CAE" w14:paraId="6D608ECB" w14:textId="77777777" w:rsidTr="008D65C6">
        <w:tc>
          <w:tcPr>
            <w:tcW w:w="531" w:type="dxa"/>
            <w:vMerge/>
            <w:shd w:val="clear" w:color="auto" w:fill="auto"/>
          </w:tcPr>
          <w:p w14:paraId="6D608EC5" w14:textId="77777777" w:rsidR="00755512" w:rsidRPr="00885CAE" w:rsidRDefault="00755512">
            <w:pPr>
              <w:spacing w:before="0" w:after="0" w:line="240" w:lineRule="auto"/>
              <w:rPr>
                <w:rFonts w:cs="Arial"/>
                <w:sz w:val="16"/>
                <w:szCs w:val="16"/>
                <w:lang w:val="de-CH"/>
              </w:rPr>
            </w:pPr>
          </w:p>
        </w:tc>
        <w:tc>
          <w:tcPr>
            <w:tcW w:w="1596" w:type="dxa"/>
            <w:vMerge/>
            <w:shd w:val="clear" w:color="auto" w:fill="auto"/>
          </w:tcPr>
          <w:p w14:paraId="6D608EC6" w14:textId="77777777" w:rsidR="00755512" w:rsidRPr="00885CAE" w:rsidRDefault="00755512">
            <w:pPr>
              <w:spacing w:before="0" w:after="0" w:line="240" w:lineRule="auto"/>
              <w:rPr>
                <w:rFonts w:cs="Arial"/>
                <w:b/>
                <w:sz w:val="16"/>
                <w:szCs w:val="16"/>
                <w:lang w:val="de-CH"/>
              </w:rPr>
            </w:pPr>
          </w:p>
        </w:tc>
        <w:tc>
          <w:tcPr>
            <w:tcW w:w="3685" w:type="dxa"/>
            <w:shd w:val="clear" w:color="auto" w:fill="auto"/>
          </w:tcPr>
          <w:p w14:paraId="6D608EC7" w14:textId="77777777" w:rsidR="00755512" w:rsidRPr="00DE3CF0" w:rsidRDefault="00755512">
            <w:pPr>
              <w:pStyle w:val="Bullet"/>
              <w:numPr>
                <w:ilvl w:val="0"/>
                <w:numId w:val="0"/>
              </w:numPr>
              <w:spacing w:before="0" w:after="0"/>
              <w:rPr>
                <w:lang w:val="de-CH"/>
              </w:rPr>
            </w:pPr>
            <w:r w:rsidRPr="00DE3CF0">
              <w:rPr>
                <w:lang w:val="de-CH"/>
              </w:rPr>
              <w:t>Beurteilung, ob die internen Richtlinien und Vorgaben Hinweise zur Vermeidung und zur Behandlung von Interessenkonflikten enthalten.</w:t>
            </w:r>
          </w:p>
        </w:tc>
        <w:tc>
          <w:tcPr>
            <w:tcW w:w="3827" w:type="dxa"/>
            <w:shd w:val="clear" w:color="auto" w:fill="auto"/>
          </w:tcPr>
          <w:p w14:paraId="6D608EC8" w14:textId="77777777" w:rsidR="00755512" w:rsidRPr="00DE3CF0" w:rsidRDefault="00755512">
            <w:pPr>
              <w:pStyle w:val="Bullet"/>
              <w:numPr>
                <w:ilvl w:val="0"/>
                <w:numId w:val="0"/>
              </w:numPr>
              <w:spacing w:before="0" w:after="0"/>
              <w:ind w:left="34"/>
              <w:rPr>
                <w:lang w:val="de-CH"/>
              </w:rPr>
            </w:pPr>
          </w:p>
        </w:tc>
        <w:tc>
          <w:tcPr>
            <w:tcW w:w="3686" w:type="dxa"/>
            <w:shd w:val="clear" w:color="auto" w:fill="auto"/>
          </w:tcPr>
          <w:p w14:paraId="6D608EC9" w14:textId="77777777" w:rsidR="00755512" w:rsidRPr="00885CAE" w:rsidRDefault="00755512">
            <w:pPr>
              <w:spacing w:before="0" w:after="0" w:line="240" w:lineRule="auto"/>
              <w:rPr>
                <w:rFonts w:cs="Arial"/>
                <w:sz w:val="16"/>
                <w:szCs w:val="16"/>
                <w:lang w:val="de-CH"/>
              </w:rPr>
            </w:pPr>
          </w:p>
        </w:tc>
        <w:tc>
          <w:tcPr>
            <w:tcW w:w="992" w:type="dxa"/>
            <w:shd w:val="clear" w:color="auto" w:fill="auto"/>
          </w:tcPr>
          <w:p w14:paraId="6D608ECA" w14:textId="77777777" w:rsidR="00755512" w:rsidRPr="00885CAE" w:rsidRDefault="00755512">
            <w:pPr>
              <w:spacing w:before="0" w:after="0" w:line="240" w:lineRule="auto"/>
              <w:rPr>
                <w:rFonts w:cs="Arial"/>
                <w:sz w:val="16"/>
                <w:szCs w:val="16"/>
                <w:lang w:val="de-CH"/>
              </w:rPr>
            </w:pPr>
          </w:p>
        </w:tc>
      </w:tr>
      <w:tr w:rsidR="00755512" w:rsidRPr="00885CAE" w14:paraId="6D608ED3" w14:textId="77777777" w:rsidTr="008D65C6">
        <w:tc>
          <w:tcPr>
            <w:tcW w:w="531" w:type="dxa"/>
            <w:vMerge/>
            <w:shd w:val="clear" w:color="auto" w:fill="auto"/>
          </w:tcPr>
          <w:p w14:paraId="6D608ECC" w14:textId="77777777" w:rsidR="00755512" w:rsidRPr="00885CAE" w:rsidRDefault="00755512">
            <w:pPr>
              <w:spacing w:before="0" w:after="0" w:line="240" w:lineRule="auto"/>
              <w:rPr>
                <w:rFonts w:cs="Arial"/>
                <w:sz w:val="16"/>
                <w:szCs w:val="16"/>
                <w:lang w:val="de-CH"/>
              </w:rPr>
            </w:pPr>
          </w:p>
        </w:tc>
        <w:tc>
          <w:tcPr>
            <w:tcW w:w="1596" w:type="dxa"/>
            <w:vMerge/>
            <w:shd w:val="clear" w:color="auto" w:fill="auto"/>
          </w:tcPr>
          <w:p w14:paraId="6D608ECD" w14:textId="77777777" w:rsidR="00755512" w:rsidRPr="00885CAE" w:rsidRDefault="00755512">
            <w:pPr>
              <w:spacing w:before="0" w:after="0" w:line="240" w:lineRule="auto"/>
              <w:rPr>
                <w:rFonts w:cs="Arial"/>
                <w:b/>
                <w:sz w:val="16"/>
                <w:szCs w:val="16"/>
                <w:lang w:val="de-CH"/>
              </w:rPr>
            </w:pPr>
          </w:p>
        </w:tc>
        <w:tc>
          <w:tcPr>
            <w:tcW w:w="3685" w:type="dxa"/>
            <w:shd w:val="clear" w:color="auto" w:fill="auto"/>
          </w:tcPr>
          <w:p w14:paraId="6D608ECE" w14:textId="16E78BE4" w:rsidR="007B039A" w:rsidRPr="00DE3CF0" w:rsidRDefault="00755512" w:rsidP="00C06A90">
            <w:pPr>
              <w:shd w:val="clear" w:color="auto" w:fill="FFFFFF" w:themeFill="background1"/>
              <w:spacing w:before="0" w:after="0" w:line="240" w:lineRule="auto"/>
              <w:rPr>
                <w:rFonts w:cs="Arial"/>
                <w:sz w:val="16"/>
                <w:szCs w:val="16"/>
                <w:lang w:val="de-CH"/>
              </w:rPr>
            </w:pPr>
            <w:r w:rsidRPr="00DE3CF0">
              <w:rPr>
                <w:sz w:val="16"/>
                <w:lang w:val="de-CH"/>
              </w:rPr>
              <w:t>Beurteilung, ob d</w:t>
            </w:r>
            <w:r w:rsidR="009A08C3" w:rsidRPr="00DE3CF0">
              <w:rPr>
                <w:sz w:val="16"/>
                <w:lang w:val="de-CH"/>
              </w:rPr>
              <w:t>as</w:t>
            </w:r>
            <w:r w:rsidRPr="00DE3CF0">
              <w:rPr>
                <w:sz w:val="16"/>
                <w:lang w:val="de-CH"/>
              </w:rPr>
              <w:t xml:space="preserve"> </w:t>
            </w:r>
            <w:r w:rsidR="00354A23" w:rsidRPr="00DE3CF0">
              <w:rPr>
                <w:sz w:val="16"/>
                <w:lang w:val="de-CH"/>
              </w:rPr>
              <w:t>O</w:t>
            </w:r>
            <w:r w:rsidR="009A08C3" w:rsidRPr="00DE3CF0">
              <w:rPr>
                <w:sz w:val="16"/>
                <w:lang w:val="de-CH"/>
              </w:rPr>
              <w:t>berleitungsorgan</w:t>
            </w:r>
            <w:r w:rsidRPr="00DE3CF0">
              <w:rPr>
                <w:sz w:val="16"/>
                <w:lang w:val="de-CH"/>
              </w:rPr>
              <w:t xml:space="preserve"> dafür sorgt, dass der Umgang mit Interessenkonflikten </w:t>
            </w:r>
            <w:r w:rsidRPr="00C06A90">
              <w:rPr>
                <w:sz w:val="16"/>
                <w:shd w:val="clear" w:color="auto" w:fill="FFFFFF" w:themeFill="background1"/>
                <w:lang w:val="de-CH"/>
              </w:rPr>
              <w:t>geregelt wird (</w:t>
            </w:r>
            <w:r w:rsidR="009A08C3" w:rsidRPr="00C06A90">
              <w:rPr>
                <w:sz w:val="16"/>
                <w:shd w:val="clear" w:color="auto" w:fill="FFFFFF" w:themeFill="background1"/>
                <w:lang w:val="de-CH"/>
              </w:rPr>
              <w:t xml:space="preserve">Rz 29 </w:t>
            </w:r>
            <w:r w:rsidRPr="00C06A90">
              <w:rPr>
                <w:sz w:val="16"/>
                <w:shd w:val="clear" w:color="auto" w:fill="FFFFFF" w:themeFill="background1"/>
                <w:lang w:val="de-CH"/>
              </w:rPr>
              <w:t>FINMA-R</w:t>
            </w:r>
            <w:r w:rsidR="009A08C3" w:rsidRPr="00C06A90">
              <w:rPr>
                <w:sz w:val="16"/>
                <w:shd w:val="clear" w:color="auto" w:fill="FFFFFF" w:themeFill="background1"/>
                <w:lang w:val="de-CH"/>
              </w:rPr>
              <w:t>S 17/1</w:t>
            </w:r>
            <w:r w:rsidRPr="00C06A90">
              <w:rPr>
                <w:sz w:val="16"/>
                <w:shd w:val="clear" w:color="auto" w:fill="FFFFFF" w:themeFill="background1"/>
                <w:lang w:val="de-CH"/>
              </w:rPr>
              <w:t>).</w:t>
            </w:r>
            <w:r w:rsidRPr="00DE3CF0">
              <w:rPr>
                <w:sz w:val="16"/>
                <w:lang w:val="de-CH"/>
              </w:rPr>
              <w:t xml:space="preserve"> </w:t>
            </w:r>
          </w:p>
          <w:p w14:paraId="6D608ECF" w14:textId="4F41BCCF" w:rsidR="00755512" w:rsidRPr="00DE3CF0" w:rsidRDefault="00755512" w:rsidP="00CA2292">
            <w:pPr>
              <w:spacing w:before="0" w:after="0" w:line="240" w:lineRule="auto"/>
              <w:rPr>
                <w:lang w:val="de-CH"/>
              </w:rPr>
            </w:pPr>
            <w:r w:rsidRPr="00DE3CF0">
              <w:rPr>
                <w:sz w:val="16"/>
                <w:lang w:val="de-CH"/>
              </w:rPr>
              <w:t>Können Interessenkonflikte nicht vermieden werden, ist zu beurteilen, ob das Institut Massnahmen getroffen hat, um d</w:t>
            </w:r>
            <w:r w:rsidR="00CA2292" w:rsidRPr="00DE3CF0">
              <w:rPr>
                <w:sz w:val="16"/>
                <w:lang w:val="de-CH"/>
              </w:rPr>
              <w:t>ie</w:t>
            </w:r>
            <w:r w:rsidRPr="00DE3CF0">
              <w:rPr>
                <w:sz w:val="16"/>
                <w:lang w:val="de-CH"/>
              </w:rPr>
              <w:t xml:space="preserve"> Konflikte angemessen zu </w:t>
            </w:r>
            <w:r w:rsidR="00CA2292" w:rsidRPr="00DE3CF0">
              <w:rPr>
                <w:sz w:val="16"/>
                <w:lang w:val="de-CH"/>
              </w:rPr>
              <w:t>adressieren</w:t>
            </w:r>
            <w:r w:rsidRPr="00DE3CF0">
              <w:rPr>
                <w:sz w:val="16"/>
                <w:lang w:val="de-CH"/>
              </w:rPr>
              <w:t>.</w:t>
            </w:r>
          </w:p>
        </w:tc>
        <w:tc>
          <w:tcPr>
            <w:tcW w:w="3827" w:type="dxa"/>
            <w:shd w:val="clear" w:color="auto" w:fill="auto"/>
          </w:tcPr>
          <w:p w14:paraId="6D608ED0" w14:textId="0878D2ED" w:rsidR="00755512" w:rsidRPr="00DE3CF0" w:rsidRDefault="005D62BB">
            <w:pPr>
              <w:pStyle w:val="Bullet"/>
              <w:numPr>
                <w:ilvl w:val="0"/>
                <w:numId w:val="0"/>
              </w:numPr>
              <w:spacing w:before="0" w:after="0"/>
              <w:ind w:left="34"/>
              <w:rPr>
                <w:lang w:val="de-CH"/>
              </w:rPr>
            </w:pPr>
            <w:r w:rsidRPr="000251A4">
              <w:rPr>
                <w:lang w:val="de-CH"/>
              </w:rPr>
              <w:t>Befragung</w:t>
            </w:r>
            <w:r w:rsidR="00282AF6" w:rsidRPr="00DE3CF0">
              <w:rPr>
                <w:lang w:val="de-CH"/>
              </w:rPr>
              <w:t xml:space="preserve">, ob Interessenkonflikte nicht vermieden werden konnten </w:t>
            </w:r>
            <w:r w:rsidR="00CA2292" w:rsidRPr="00DE3CF0">
              <w:rPr>
                <w:lang w:val="de-CH"/>
              </w:rPr>
              <w:t xml:space="preserve">sowie </w:t>
            </w:r>
            <w:r w:rsidR="00282AF6" w:rsidRPr="00DE3CF0">
              <w:rPr>
                <w:lang w:val="de-CH"/>
              </w:rPr>
              <w:t>Beurteilung</w:t>
            </w:r>
            <w:r w:rsidRPr="00DE3CF0">
              <w:rPr>
                <w:lang w:val="de-CH"/>
              </w:rPr>
              <w:t xml:space="preserve"> auf der Basis einer Stichprobe</w:t>
            </w:r>
            <w:r w:rsidR="00282AF6" w:rsidRPr="00DE3CF0">
              <w:rPr>
                <w:lang w:val="de-CH"/>
              </w:rPr>
              <w:t>, ob die ergriffenen Massnahmen angemessen sind/waren</w:t>
            </w:r>
            <w:r w:rsidRPr="00DE3CF0">
              <w:rPr>
                <w:lang w:val="de-CH"/>
              </w:rPr>
              <w:t>.</w:t>
            </w:r>
          </w:p>
        </w:tc>
        <w:tc>
          <w:tcPr>
            <w:tcW w:w="3686" w:type="dxa"/>
            <w:shd w:val="clear" w:color="auto" w:fill="auto"/>
          </w:tcPr>
          <w:p w14:paraId="6D608ED1" w14:textId="77777777" w:rsidR="00755512" w:rsidRPr="00885CAE" w:rsidRDefault="00755512">
            <w:pPr>
              <w:spacing w:before="0" w:after="0" w:line="240" w:lineRule="auto"/>
              <w:rPr>
                <w:rFonts w:cs="Arial"/>
                <w:sz w:val="16"/>
                <w:szCs w:val="16"/>
                <w:lang w:val="de-CH"/>
              </w:rPr>
            </w:pPr>
          </w:p>
        </w:tc>
        <w:tc>
          <w:tcPr>
            <w:tcW w:w="992" w:type="dxa"/>
            <w:shd w:val="clear" w:color="auto" w:fill="auto"/>
          </w:tcPr>
          <w:p w14:paraId="6D608ED2" w14:textId="77777777" w:rsidR="00755512" w:rsidRPr="00885CAE" w:rsidRDefault="00755512">
            <w:pPr>
              <w:spacing w:before="0" w:after="0" w:line="240" w:lineRule="auto"/>
              <w:rPr>
                <w:rFonts w:cs="Arial"/>
                <w:sz w:val="16"/>
                <w:szCs w:val="16"/>
                <w:lang w:val="de-CH"/>
              </w:rPr>
            </w:pPr>
          </w:p>
        </w:tc>
      </w:tr>
      <w:tr w:rsidR="007C14FD" w:rsidRPr="00885CAE" w14:paraId="6D608EDA" w14:textId="77777777" w:rsidTr="008D65C6">
        <w:tc>
          <w:tcPr>
            <w:tcW w:w="531" w:type="dxa"/>
            <w:vMerge/>
            <w:shd w:val="clear" w:color="auto" w:fill="auto"/>
          </w:tcPr>
          <w:p w14:paraId="6D608ED4" w14:textId="77777777" w:rsidR="007C14FD" w:rsidRPr="00885CAE" w:rsidRDefault="007C14FD" w:rsidP="003B1D91">
            <w:pPr>
              <w:spacing w:before="0" w:after="0" w:line="240" w:lineRule="auto"/>
              <w:rPr>
                <w:rFonts w:cs="Arial"/>
                <w:sz w:val="16"/>
                <w:szCs w:val="16"/>
                <w:lang w:val="de-CH"/>
              </w:rPr>
            </w:pPr>
          </w:p>
        </w:tc>
        <w:tc>
          <w:tcPr>
            <w:tcW w:w="1596" w:type="dxa"/>
            <w:vMerge/>
            <w:shd w:val="clear" w:color="auto" w:fill="auto"/>
          </w:tcPr>
          <w:p w14:paraId="6D608ED5" w14:textId="77777777" w:rsidR="007C14FD" w:rsidRPr="00885CAE" w:rsidRDefault="007C14FD" w:rsidP="003B1D91">
            <w:pPr>
              <w:spacing w:before="0" w:after="0" w:line="240" w:lineRule="auto"/>
              <w:rPr>
                <w:rFonts w:cs="Arial"/>
                <w:b/>
                <w:sz w:val="16"/>
                <w:szCs w:val="16"/>
                <w:lang w:val="de-CH"/>
              </w:rPr>
            </w:pPr>
          </w:p>
        </w:tc>
        <w:tc>
          <w:tcPr>
            <w:tcW w:w="3685" w:type="dxa"/>
            <w:shd w:val="clear" w:color="auto" w:fill="auto"/>
          </w:tcPr>
          <w:p w14:paraId="6D608ED6" w14:textId="642FEE7E" w:rsidR="007C14FD" w:rsidRPr="00DE3CF0" w:rsidRDefault="007C14FD" w:rsidP="001B128C">
            <w:pPr>
              <w:spacing w:before="0" w:after="0" w:line="240" w:lineRule="auto"/>
              <w:rPr>
                <w:rFonts w:cs="Arial"/>
                <w:sz w:val="16"/>
                <w:szCs w:val="16"/>
                <w:lang w:val="de-CH"/>
              </w:rPr>
            </w:pPr>
            <w:r w:rsidRPr="00DE3CF0">
              <w:rPr>
                <w:sz w:val="16"/>
                <w:lang w:val="de-CH"/>
              </w:rPr>
              <w:t>Beurteilung, ob d</w:t>
            </w:r>
            <w:r w:rsidR="009A08C3" w:rsidRPr="00DE3CF0">
              <w:rPr>
                <w:sz w:val="16"/>
                <w:lang w:val="de-CH"/>
              </w:rPr>
              <w:t>as</w:t>
            </w:r>
            <w:r w:rsidRPr="00DE3CF0">
              <w:rPr>
                <w:sz w:val="16"/>
                <w:lang w:val="de-CH"/>
              </w:rPr>
              <w:t xml:space="preserve"> </w:t>
            </w:r>
            <w:r w:rsidR="00354A23" w:rsidRPr="00DE3CF0">
              <w:rPr>
                <w:sz w:val="16"/>
                <w:lang w:val="de-CH"/>
              </w:rPr>
              <w:t>O</w:t>
            </w:r>
            <w:r w:rsidR="009A08C3" w:rsidRPr="00DE3CF0">
              <w:rPr>
                <w:sz w:val="16"/>
                <w:lang w:val="de-CH"/>
              </w:rPr>
              <w:t>berleitungsorgan</w:t>
            </w:r>
            <w:r w:rsidRPr="00DE3CF0">
              <w:rPr>
                <w:sz w:val="16"/>
                <w:lang w:val="de-CH"/>
              </w:rPr>
              <w:t xml:space="preserve"> sicherstellt, dass ein allenfalls auf die Mitarbeiter aller Hierarchiestufen ausgeübter Druck zur Erreichung von Zielvorgaben nicht zur Umgehung von Kontrollmechanismen führ</w:t>
            </w:r>
            <w:r w:rsidR="00CA2292" w:rsidRPr="00DE3CF0">
              <w:rPr>
                <w:sz w:val="16"/>
                <w:lang w:val="de-CH"/>
              </w:rPr>
              <w:t>t</w:t>
            </w:r>
            <w:r w:rsidRPr="00DE3CF0">
              <w:rPr>
                <w:sz w:val="16"/>
                <w:lang w:val="de-CH"/>
              </w:rPr>
              <w:t>. D</w:t>
            </w:r>
            <w:r w:rsidR="009A08C3" w:rsidRPr="00DE3CF0">
              <w:rPr>
                <w:sz w:val="16"/>
                <w:lang w:val="de-CH"/>
              </w:rPr>
              <w:t>as</w:t>
            </w:r>
            <w:r w:rsidRPr="00DE3CF0">
              <w:rPr>
                <w:sz w:val="16"/>
                <w:lang w:val="de-CH"/>
              </w:rPr>
              <w:t xml:space="preserve"> </w:t>
            </w:r>
            <w:r w:rsidR="00354A23" w:rsidRPr="00DE3CF0">
              <w:rPr>
                <w:sz w:val="16"/>
                <w:lang w:val="de-CH"/>
              </w:rPr>
              <w:t>O</w:t>
            </w:r>
            <w:r w:rsidR="009A08C3" w:rsidRPr="00DE3CF0">
              <w:rPr>
                <w:sz w:val="16"/>
                <w:lang w:val="de-CH"/>
              </w:rPr>
              <w:t>berleitungsorgan</w:t>
            </w:r>
            <w:r w:rsidRPr="00DE3CF0">
              <w:rPr>
                <w:sz w:val="16"/>
                <w:lang w:val="de-CH"/>
              </w:rPr>
              <w:t xml:space="preserve"> sorgt dafür, dass die </w:t>
            </w:r>
            <w:r w:rsidR="009A08C3" w:rsidRPr="00DE3CF0">
              <w:rPr>
                <w:sz w:val="16"/>
                <w:lang w:val="de-CH"/>
              </w:rPr>
              <w:t>Vergütungssystem</w:t>
            </w:r>
            <w:r w:rsidR="001B128C" w:rsidRPr="00DE3CF0">
              <w:rPr>
                <w:sz w:val="16"/>
                <w:lang w:val="de-CH"/>
              </w:rPr>
              <w:t>e</w:t>
            </w:r>
            <w:r w:rsidR="009A08C3" w:rsidRPr="00DE3CF0">
              <w:rPr>
                <w:sz w:val="16"/>
                <w:lang w:val="de-CH"/>
              </w:rPr>
              <w:t xml:space="preserve"> </w:t>
            </w:r>
            <w:r w:rsidRPr="00DE3CF0">
              <w:rPr>
                <w:sz w:val="16"/>
                <w:lang w:val="de-CH"/>
              </w:rPr>
              <w:t>keine Anreize</w:t>
            </w:r>
            <w:r w:rsidR="009A08C3" w:rsidRPr="00DE3CF0">
              <w:rPr>
                <w:sz w:val="16"/>
                <w:lang w:val="de-CH"/>
              </w:rPr>
              <w:t xml:space="preserve"> für Interessenkonflikte </w:t>
            </w:r>
            <w:r w:rsidR="001B128C" w:rsidRPr="00DE3CF0">
              <w:rPr>
                <w:sz w:val="16"/>
                <w:lang w:val="de-CH"/>
              </w:rPr>
              <w:t>oder</w:t>
            </w:r>
            <w:r w:rsidRPr="00DE3CF0">
              <w:rPr>
                <w:sz w:val="16"/>
                <w:lang w:val="de-CH"/>
              </w:rPr>
              <w:t xml:space="preserve"> zur Missachtung interner Kontrollmechanismen bieten (</w:t>
            </w:r>
            <w:r w:rsidR="009A08C3" w:rsidRPr="00C06A90">
              <w:rPr>
                <w:sz w:val="16"/>
                <w:shd w:val="clear" w:color="auto" w:fill="FFFFFF" w:themeFill="background1"/>
                <w:lang w:val="de-CH"/>
              </w:rPr>
              <w:t>Rz</w:t>
            </w:r>
            <w:r w:rsidR="00143645">
              <w:rPr>
                <w:sz w:val="16"/>
                <w:shd w:val="clear" w:color="auto" w:fill="FFFFFF" w:themeFill="background1"/>
                <w:lang w:val="de-CH"/>
              </w:rPr>
              <w:t xml:space="preserve"> 13 &amp;</w:t>
            </w:r>
            <w:r w:rsidR="009A08C3" w:rsidRPr="00C06A90">
              <w:rPr>
                <w:sz w:val="16"/>
                <w:shd w:val="clear" w:color="auto" w:fill="FFFFFF" w:themeFill="background1"/>
                <w:lang w:val="de-CH"/>
              </w:rPr>
              <w:t xml:space="preserve"> 63 </w:t>
            </w:r>
            <w:r w:rsidRPr="00C06A90">
              <w:rPr>
                <w:sz w:val="16"/>
                <w:shd w:val="clear" w:color="auto" w:fill="FFFFFF" w:themeFill="background1"/>
                <w:lang w:val="de-CH"/>
              </w:rPr>
              <w:t xml:space="preserve">FINMA-RS </w:t>
            </w:r>
            <w:r w:rsidR="009A08C3" w:rsidRPr="00C06A90">
              <w:rPr>
                <w:sz w:val="16"/>
                <w:shd w:val="clear" w:color="auto" w:fill="FFFFFF" w:themeFill="background1"/>
                <w:lang w:val="de-CH"/>
              </w:rPr>
              <w:t>17/1</w:t>
            </w:r>
            <w:r w:rsidRPr="00C06A90">
              <w:rPr>
                <w:sz w:val="16"/>
                <w:shd w:val="clear" w:color="auto" w:fill="FFFFFF" w:themeFill="background1"/>
                <w:lang w:val="de-CH"/>
              </w:rPr>
              <w:t>)</w:t>
            </w:r>
          </w:p>
        </w:tc>
        <w:tc>
          <w:tcPr>
            <w:tcW w:w="3827" w:type="dxa"/>
            <w:shd w:val="clear" w:color="auto" w:fill="auto"/>
          </w:tcPr>
          <w:p w14:paraId="6D608ED7" w14:textId="42D810D7" w:rsidR="007C14FD" w:rsidRPr="00DE3CF0" w:rsidRDefault="007C14FD" w:rsidP="009A08C3">
            <w:pPr>
              <w:pStyle w:val="Bullet"/>
              <w:numPr>
                <w:ilvl w:val="0"/>
                <w:numId w:val="0"/>
              </w:numPr>
              <w:spacing w:before="0" w:after="0"/>
              <w:ind w:left="34"/>
              <w:rPr>
                <w:lang w:val="de-CH"/>
              </w:rPr>
            </w:pPr>
            <w:r w:rsidRPr="00DE3CF0">
              <w:rPr>
                <w:lang w:val="de-CH"/>
              </w:rPr>
              <w:t xml:space="preserve">Untersuchung der jeweiligen Vorgaben des </w:t>
            </w:r>
            <w:r w:rsidR="00354A23" w:rsidRPr="00DE3CF0">
              <w:rPr>
                <w:lang w:val="de-CH"/>
              </w:rPr>
              <w:t>O</w:t>
            </w:r>
            <w:r w:rsidR="009A08C3" w:rsidRPr="00DE3CF0">
              <w:rPr>
                <w:lang w:val="de-CH"/>
              </w:rPr>
              <w:t>berleitungsorgan</w:t>
            </w:r>
            <w:r w:rsidRPr="00DE3CF0">
              <w:rPr>
                <w:lang w:val="de-CH"/>
              </w:rPr>
              <w:t xml:space="preserve"> und Beurteilung, ob sie eingehalten werden.</w:t>
            </w:r>
          </w:p>
        </w:tc>
        <w:tc>
          <w:tcPr>
            <w:tcW w:w="3686" w:type="dxa"/>
            <w:shd w:val="clear" w:color="auto" w:fill="auto"/>
          </w:tcPr>
          <w:p w14:paraId="6D608ED8" w14:textId="77777777" w:rsidR="007C14FD" w:rsidRPr="00885CAE" w:rsidRDefault="007C14FD" w:rsidP="003B1D91">
            <w:pPr>
              <w:spacing w:before="0" w:after="0" w:line="240" w:lineRule="auto"/>
              <w:rPr>
                <w:rFonts w:cs="Arial"/>
                <w:sz w:val="16"/>
                <w:szCs w:val="16"/>
                <w:lang w:val="de-CH"/>
              </w:rPr>
            </w:pPr>
          </w:p>
        </w:tc>
        <w:tc>
          <w:tcPr>
            <w:tcW w:w="992" w:type="dxa"/>
            <w:shd w:val="clear" w:color="auto" w:fill="auto"/>
          </w:tcPr>
          <w:p w14:paraId="6D608ED9" w14:textId="77777777" w:rsidR="007C14FD" w:rsidRPr="00885CAE" w:rsidRDefault="007C14FD" w:rsidP="003B1D91">
            <w:pPr>
              <w:spacing w:before="0" w:after="0" w:line="240" w:lineRule="auto"/>
              <w:rPr>
                <w:rFonts w:cs="Arial"/>
                <w:sz w:val="16"/>
                <w:szCs w:val="16"/>
                <w:lang w:val="de-CH"/>
              </w:rPr>
            </w:pPr>
          </w:p>
        </w:tc>
      </w:tr>
      <w:tr w:rsidR="007C14FD" w:rsidRPr="00885CAE" w14:paraId="6D608EE1" w14:textId="77777777" w:rsidTr="008D65C6">
        <w:tc>
          <w:tcPr>
            <w:tcW w:w="531" w:type="dxa"/>
            <w:vMerge/>
            <w:shd w:val="clear" w:color="auto" w:fill="auto"/>
          </w:tcPr>
          <w:p w14:paraId="6D608EDB" w14:textId="77777777" w:rsidR="007C14FD" w:rsidRPr="00885CAE" w:rsidRDefault="007C14FD" w:rsidP="003B1D91">
            <w:pPr>
              <w:spacing w:before="0" w:after="0" w:line="240" w:lineRule="auto"/>
              <w:rPr>
                <w:rFonts w:cs="Arial"/>
                <w:sz w:val="16"/>
                <w:szCs w:val="16"/>
                <w:lang w:val="de-CH"/>
              </w:rPr>
            </w:pPr>
          </w:p>
        </w:tc>
        <w:tc>
          <w:tcPr>
            <w:tcW w:w="1596" w:type="dxa"/>
            <w:vMerge/>
            <w:shd w:val="clear" w:color="auto" w:fill="auto"/>
          </w:tcPr>
          <w:p w14:paraId="6D608EDC" w14:textId="77777777" w:rsidR="007C14FD" w:rsidRPr="00885CAE" w:rsidRDefault="007C14FD" w:rsidP="003B1D91">
            <w:pPr>
              <w:spacing w:before="0" w:after="0" w:line="240" w:lineRule="auto"/>
              <w:rPr>
                <w:rFonts w:cs="Arial"/>
                <w:b/>
                <w:sz w:val="16"/>
                <w:szCs w:val="16"/>
                <w:lang w:val="de-CH"/>
              </w:rPr>
            </w:pPr>
          </w:p>
        </w:tc>
        <w:tc>
          <w:tcPr>
            <w:tcW w:w="3685" w:type="dxa"/>
            <w:shd w:val="clear" w:color="auto" w:fill="auto"/>
          </w:tcPr>
          <w:p w14:paraId="6D608EDD" w14:textId="18742AA5" w:rsidR="007C14FD" w:rsidRPr="00DE3CF0" w:rsidRDefault="007C14FD" w:rsidP="001B128C">
            <w:pPr>
              <w:spacing w:before="0" w:after="0" w:line="240" w:lineRule="auto"/>
              <w:rPr>
                <w:rFonts w:cs="Arial"/>
                <w:sz w:val="16"/>
                <w:szCs w:val="16"/>
                <w:lang w:val="de-CH"/>
              </w:rPr>
            </w:pPr>
            <w:r w:rsidRPr="00DE3CF0">
              <w:rPr>
                <w:sz w:val="16"/>
                <w:lang w:val="de-CH"/>
              </w:rPr>
              <w:t xml:space="preserve">Beurteilung, ob die </w:t>
            </w:r>
            <w:r w:rsidR="00B64C54" w:rsidRPr="00DE3CF0">
              <w:rPr>
                <w:sz w:val="16"/>
                <w:lang w:val="de-CH"/>
              </w:rPr>
              <w:t>Geschäftsleitung</w:t>
            </w:r>
            <w:r w:rsidRPr="00DE3CF0">
              <w:rPr>
                <w:sz w:val="16"/>
                <w:lang w:val="de-CH"/>
              </w:rPr>
              <w:t xml:space="preserve"> eine geeignete Trennung von Funktionen sicherstellt und die Zuweisung </w:t>
            </w:r>
            <w:proofErr w:type="spellStart"/>
            <w:r w:rsidRPr="00DE3CF0">
              <w:rPr>
                <w:sz w:val="16"/>
                <w:lang w:val="de-CH"/>
              </w:rPr>
              <w:t>konfliktärer</w:t>
            </w:r>
            <w:proofErr w:type="spellEnd"/>
            <w:r w:rsidRPr="00DE3CF0">
              <w:rPr>
                <w:sz w:val="16"/>
                <w:lang w:val="de-CH"/>
              </w:rPr>
              <w:t xml:space="preserve"> Verantwortungen in den Fällen vermeidet, in denen eine Funktionentrennung aufgrund der Unternehmensgrösse nicht vollständig umgesetzt werden kann, und ob sie </w:t>
            </w:r>
            <w:r w:rsidR="00592388" w:rsidRPr="00DE3CF0">
              <w:rPr>
                <w:sz w:val="16"/>
                <w:lang w:val="de-CH"/>
              </w:rPr>
              <w:t xml:space="preserve">dabei </w:t>
            </w:r>
            <w:r w:rsidRPr="00DE3CF0">
              <w:rPr>
                <w:sz w:val="16"/>
                <w:lang w:val="de-CH"/>
              </w:rPr>
              <w:t xml:space="preserve">besonderen Wert auf eine erhöhte Führungsverantwortung der </w:t>
            </w:r>
            <w:r w:rsidR="00592388" w:rsidRPr="00DE3CF0">
              <w:rPr>
                <w:sz w:val="16"/>
                <w:lang w:val="de-CH"/>
              </w:rPr>
              <w:t xml:space="preserve">entsprechenden </w:t>
            </w:r>
            <w:r w:rsidRPr="00DE3CF0">
              <w:rPr>
                <w:sz w:val="16"/>
                <w:lang w:val="de-CH"/>
              </w:rPr>
              <w:t>Linieninstanzen legt</w:t>
            </w:r>
            <w:r w:rsidR="001B128C" w:rsidRPr="00DE3CF0">
              <w:rPr>
                <w:sz w:val="16"/>
                <w:lang w:val="de-CH"/>
              </w:rPr>
              <w:t>.</w:t>
            </w:r>
            <w:r w:rsidRPr="00DE3CF0">
              <w:rPr>
                <w:sz w:val="16"/>
                <w:lang w:val="de-CH"/>
              </w:rPr>
              <w:t xml:space="preserve"> </w:t>
            </w:r>
          </w:p>
        </w:tc>
        <w:tc>
          <w:tcPr>
            <w:tcW w:w="3827" w:type="dxa"/>
            <w:shd w:val="clear" w:color="auto" w:fill="auto"/>
          </w:tcPr>
          <w:p w14:paraId="6D608EDE" w14:textId="77777777" w:rsidR="007C14FD" w:rsidRPr="00DE3CF0" w:rsidRDefault="007C14FD" w:rsidP="003B1D91">
            <w:pPr>
              <w:pStyle w:val="Bullet"/>
              <w:numPr>
                <w:ilvl w:val="0"/>
                <w:numId w:val="0"/>
              </w:numPr>
              <w:spacing w:before="0" w:after="0"/>
              <w:ind w:left="34"/>
              <w:rPr>
                <w:lang w:val="de-CH"/>
              </w:rPr>
            </w:pPr>
          </w:p>
        </w:tc>
        <w:tc>
          <w:tcPr>
            <w:tcW w:w="3686" w:type="dxa"/>
            <w:shd w:val="clear" w:color="auto" w:fill="auto"/>
          </w:tcPr>
          <w:p w14:paraId="6D608EDF" w14:textId="77777777" w:rsidR="007C14FD" w:rsidRPr="00885CAE" w:rsidRDefault="007C14FD" w:rsidP="003B1D91">
            <w:pPr>
              <w:spacing w:before="0" w:after="0" w:line="240" w:lineRule="auto"/>
              <w:rPr>
                <w:rFonts w:cs="Arial"/>
                <w:sz w:val="16"/>
                <w:szCs w:val="16"/>
                <w:lang w:val="de-CH"/>
              </w:rPr>
            </w:pPr>
          </w:p>
        </w:tc>
        <w:tc>
          <w:tcPr>
            <w:tcW w:w="992" w:type="dxa"/>
            <w:shd w:val="clear" w:color="auto" w:fill="auto"/>
          </w:tcPr>
          <w:p w14:paraId="6D608EE0" w14:textId="77777777" w:rsidR="007C14FD" w:rsidRPr="00885CAE" w:rsidRDefault="007C14FD" w:rsidP="003B1D91">
            <w:pPr>
              <w:spacing w:before="0" w:after="0" w:line="240" w:lineRule="auto"/>
              <w:rPr>
                <w:rFonts w:cs="Arial"/>
                <w:sz w:val="16"/>
                <w:szCs w:val="16"/>
                <w:lang w:val="de-CH"/>
              </w:rPr>
            </w:pPr>
          </w:p>
        </w:tc>
      </w:tr>
      <w:tr w:rsidR="00755512" w:rsidRPr="00885CAE" w14:paraId="6D608EE8" w14:textId="77777777" w:rsidTr="008D65C6">
        <w:tc>
          <w:tcPr>
            <w:tcW w:w="531" w:type="dxa"/>
            <w:vMerge/>
            <w:shd w:val="clear" w:color="auto" w:fill="auto"/>
          </w:tcPr>
          <w:p w14:paraId="6D608EE2" w14:textId="77777777" w:rsidR="00755512" w:rsidRPr="00885CAE" w:rsidRDefault="00755512">
            <w:pPr>
              <w:spacing w:before="0" w:after="0" w:line="240" w:lineRule="auto"/>
              <w:rPr>
                <w:rFonts w:cs="Arial"/>
                <w:sz w:val="16"/>
                <w:szCs w:val="16"/>
                <w:lang w:val="de-CH"/>
              </w:rPr>
            </w:pPr>
          </w:p>
        </w:tc>
        <w:tc>
          <w:tcPr>
            <w:tcW w:w="1596" w:type="dxa"/>
            <w:vMerge/>
            <w:shd w:val="clear" w:color="auto" w:fill="auto"/>
          </w:tcPr>
          <w:p w14:paraId="6D608EE3" w14:textId="77777777" w:rsidR="00755512" w:rsidRPr="00885CAE" w:rsidRDefault="00755512">
            <w:pPr>
              <w:spacing w:before="0" w:after="0" w:line="240" w:lineRule="auto"/>
              <w:rPr>
                <w:rFonts w:cs="Arial"/>
                <w:b/>
                <w:sz w:val="16"/>
                <w:szCs w:val="16"/>
                <w:lang w:val="de-CH"/>
              </w:rPr>
            </w:pPr>
          </w:p>
        </w:tc>
        <w:tc>
          <w:tcPr>
            <w:tcW w:w="3685" w:type="dxa"/>
            <w:shd w:val="clear" w:color="auto" w:fill="auto"/>
          </w:tcPr>
          <w:p w14:paraId="6D608EE4" w14:textId="77777777" w:rsidR="00755512" w:rsidRPr="00885CAE" w:rsidRDefault="00755512">
            <w:pPr>
              <w:pStyle w:val="Bullet"/>
              <w:numPr>
                <w:ilvl w:val="0"/>
                <w:numId w:val="0"/>
              </w:numPr>
              <w:spacing w:before="0" w:after="0"/>
              <w:rPr>
                <w:lang w:val="de-CH"/>
              </w:rPr>
            </w:pPr>
            <w:r w:rsidRPr="00885CAE">
              <w:rPr>
                <w:lang w:val="de-CH"/>
              </w:rPr>
              <w:t xml:space="preserve">Beurteilung der Verfahren des Instituts zur Aufdeckung potenzieller Interessenkonflikte (einschliesslich z. B. </w:t>
            </w:r>
            <w:proofErr w:type="spellStart"/>
            <w:r w:rsidRPr="00885CAE">
              <w:rPr>
                <w:lang w:val="de-CH"/>
              </w:rPr>
              <w:t>Whistleblowing</w:t>
            </w:r>
            <w:proofErr w:type="spellEnd"/>
            <w:r w:rsidRPr="00885CAE">
              <w:rPr>
                <w:lang w:val="de-CH"/>
              </w:rPr>
              <w:t>-Regelung und -Verfahren).</w:t>
            </w:r>
          </w:p>
        </w:tc>
        <w:tc>
          <w:tcPr>
            <w:tcW w:w="3827" w:type="dxa"/>
            <w:shd w:val="clear" w:color="auto" w:fill="auto"/>
          </w:tcPr>
          <w:p w14:paraId="6D608EE5" w14:textId="2B7B58CB" w:rsidR="00755512" w:rsidRPr="00885CAE" w:rsidRDefault="005D62BB">
            <w:pPr>
              <w:pStyle w:val="Bullet"/>
              <w:numPr>
                <w:ilvl w:val="0"/>
                <w:numId w:val="0"/>
              </w:numPr>
              <w:spacing w:before="0" w:after="0"/>
              <w:ind w:left="34"/>
              <w:rPr>
                <w:lang w:val="de-CH"/>
              </w:rPr>
            </w:pPr>
            <w:r w:rsidRPr="000251A4">
              <w:rPr>
                <w:lang w:val="de-CH"/>
              </w:rPr>
              <w:t>Befragung</w:t>
            </w:r>
            <w:r w:rsidR="00282AF6" w:rsidRPr="00885CAE">
              <w:rPr>
                <w:lang w:val="de-CH"/>
              </w:rPr>
              <w:t>, ob Interessenkonflikte gemeldet wurden</w:t>
            </w:r>
            <w:r w:rsidR="00592388">
              <w:rPr>
                <w:lang w:val="de-CH"/>
              </w:rPr>
              <w:t xml:space="preserve"> sowie</w:t>
            </w:r>
            <w:r w:rsidR="00282AF6" w:rsidRPr="00885CAE">
              <w:rPr>
                <w:lang w:val="de-CH"/>
              </w:rPr>
              <w:t xml:space="preserve"> Beurteilung </w:t>
            </w:r>
            <w:r w:rsidR="00592388">
              <w:rPr>
                <w:lang w:val="de-CH"/>
              </w:rPr>
              <w:t xml:space="preserve">betreffend </w:t>
            </w:r>
            <w:r w:rsidR="00282AF6" w:rsidRPr="00885CAE">
              <w:rPr>
                <w:lang w:val="de-CH"/>
              </w:rPr>
              <w:t>deren Behandlung</w:t>
            </w:r>
            <w:r w:rsidR="00CA1DFA">
              <w:rPr>
                <w:lang w:val="de-CH"/>
              </w:rPr>
              <w:t xml:space="preserve"> auf der Basis einer Stichprobe.</w:t>
            </w:r>
          </w:p>
        </w:tc>
        <w:tc>
          <w:tcPr>
            <w:tcW w:w="3686" w:type="dxa"/>
            <w:shd w:val="clear" w:color="auto" w:fill="auto"/>
          </w:tcPr>
          <w:p w14:paraId="6D608EE6" w14:textId="77777777" w:rsidR="00755512" w:rsidRPr="00885CAE" w:rsidRDefault="00755512">
            <w:pPr>
              <w:spacing w:before="0" w:after="0" w:line="240" w:lineRule="auto"/>
              <w:rPr>
                <w:rFonts w:cs="Arial"/>
                <w:sz w:val="16"/>
                <w:szCs w:val="16"/>
                <w:lang w:val="de-CH"/>
              </w:rPr>
            </w:pPr>
          </w:p>
        </w:tc>
        <w:tc>
          <w:tcPr>
            <w:tcW w:w="992" w:type="dxa"/>
            <w:shd w:val="clear" w:color="auto" w:fill="auto"/>
          </w:tcPr>
          <w:p w14:paraId="6D608EE7" w14:textId="77777777" w:rsidR="00755512" w:rsidRPr="00885CAE" w:rsidRDefault="00755512">
            <w:pPr>
              <w:spacing w:before="0" w:after="0" w:line="240" w:lineRule="auto"/>
              <w:rPr>
                <w:rFonts w:cs="Arial"/>
                <w:sz w:val="16"/>
                <w:szCs w:val="16"/>
                <w:lang w:val="de-CH"/>
              </w:rPr>
            </w:pPr>
          </w:p>
        </w:tc>
      </w:tr>
      <w:tr w:rsidR="00755512" w:rsidRPr="00885CAE" w14:paraId="6D608EEF" w14:textId="77777777" w:rsidTr="008D65C6">
        <w:tc>
          <w:tcPr>
            <w:tcW w:w="531" w:type="dxa"/>
            <w:vMerge w:val="restart"/>
            <w:shd w:val="clear" w:color="auto" w:fill="auto"/>
          </w:tcPr>
          <w:p w14:paraId="6D608EE9" w14:textId="77777777" w:rsidR="00755512" w:rsidRPr="00885CAE" w:rsidRDefault="00755512" w:rsidP="003B1D91">
            <w:pPr>
              <w:spacing w:before="0" w:after="0" w:line="240" w:lineRule="auto"/>
              <w:rPr>
                <w:rFonts w:cs="Arial"/>
                <w:sz w:val="16"/>
                <w:szCs w:val="16"/>
                <w:lang w:val="de-CH"/>
              </w:rPr>
            </w:pPr>
          </w:p>
        </w:tc>
        <w:tc>
          <w:tcPr>
            <w:tcW w:w="1596" w:type="dxa"/>
            <w:vMerge w:val="restart"/>
            <w:shd w:val="clear" w:color="auto" w:fill="auto"/>
          </w:tcPr>
          <w:p w14:paraId="6D608EEA" w14:textId="601836AB" w:rsidR="00755512" w:rsidRPr="00885CAE" w:rsidRDefault="00755512" w:rsidP="003B1D91">
            <w:pPr>
              <w:spacing w:before="0" w:after="0" w:line="240" w:lineRule="auto"/>
              <w:rPr>
                <w:rFonts w:cs="Arial"/>
                <w:b/>
                <w:sz w:val="16"/>
                <w:szCs w:val="16"/>
                <w:lang w:val="de-CH"/>
              </w:rPr>
            </w:pPr>
            <w:r w:rsidRPr="00885CAE">
              <w:rPr>
                <w:b/>
                <w:sz w:val="16"/>
                <w:lang w:val="de-CH"/>
              </w:rPr>
              <w:t>Vergütungssysteme</w:t>
            </w:r>
            <w:r w:rsidR="003230EE">
              <w:rPr>
                <w:rStyle w:val="Funotenzeichen"/>
                <w:b/>
                <w:sz w:val="16"/>
                <w:lang w:val="de-CH"/>
              </w:rPr>
              <w:footnoteReference w:id="3"/>
            </w:r>
          </w:p>
        </w:tc>
        <w:tc>
          <w:tcPr>
            <w:tcW w:w="3685" w:type="dxa"/>
            <w:shd w:val="clear" w:color="auto" w:fill="auto"/>
          </w:tcPr>
          <w:p w14:paraId="6D608EEB" w14:textId="77777777" w:rsidR="00755512" w:rsidRPr="00885CAE" w:rsidRDefault="00755512" w:rsidP="007C14FD">
            <w:pPr>
              <w:pStyle w:val="Bullet"/>
              <w:numPr>
                <w:ilvl w:val="0"/>
                <w:numId w:val="0"/>
              </w:numPr>
              <w:spacing w:before="0" w:after="0"/>
              <w:rPr>
                <w:i/>
                <w:lang w:val="de-CH"/>
              </w:rPr>
            </w:pPr>
            <w:r w:rsidRPr="00885CAE">
              <w:rPr>
                <w:i/>
                <w:lang w:val="de-CH"/>
              </w:rPr>
              <w:t xml:space="preserve">Beurteilung, ob die interne Organisation in Bezug auf die Vergütungssysteme nach Massgabe </w:t>
            </w:r>
            <w:r w:rsidRPr="00885CAE">
              <w:rPr>
                <w:i/>
                <w:lang w:val="de-CH"/>
              </w:rPr>
              <w:lastRenderedPageBreak/>
              <w:t>der Grösse und der Geschäfts- und Organisationskomplexität des Instituts angemessen ausgestaltet war, namentlich</w:t>
            </w:r>
          </w:p>
        </w:tc>
        <w:tc>
          <w:tcPr>
            <w:tcW w:w="3827" w:type="dxa"/>
            <w:shd w:val="clear" w:color="auto" w:fill="auto"/>
          </w:tcPr>
          <w:p w14:paraId="6D608EEC" w14:textId="77777777" w:rsidR="00755512" w:rsidRPr="00885CAE" w:rsidRDefault="00755512" w:rsidP="007C14FD">
            <w:pPr>
              <w:pStyle w:val="Bullet"/>
              <w:numPr>
                <w:ilvl w:val="0"/>
                <w:numId w:val="0"/>
              </w:numPr>
              <w:spacing w:before="0" w:after="0"/>
              <w:ind w:left="34"/>
              <w:rPr>
                <w:lang w:val="de-CH"/>
              </w:rPr>
            </w:pPr>
          </w:p>
        </w:tc>
        <w:tc>
          <w:tcPr>
            <w:tcW w:w="3686" w:type="dxa"/>
            <w:shd w:val="clear" w:color="auto" w:fill="auto"/>
          </w:tcPr>
          <w:p w14:paraId="6D608EED" w14:textId="77777777" w:rsidR="00755512" w:rsidRPr="00885CAE" w:rsidRDefault="00755512" w:rsidP="007C14FD">
            <w:pPr>
              <w:spacing w:before="0" w:after="0" w:line="240" w:lineRule="auto"/>
              <w:rPr>
                <w:rFonts w:cs="Arial"/>
                <w:sz w:val="16"/>
                <w:szCs w:val="16"/>
                <w:lang w:val="de-CH"/>
              </w:rPr>
            </w:pPr>
          </w:p>
        </w:tc>
        <w:tc>
          <w:tcPr>
            <w:tcW w:w="992" w:type="dxa"/>
            <w:shd w:val="clear" w:color="auto" w:fill="auto"/>
          </w:tcPr>
          <w:p w14:paraId="6D608EEE" w14:textId="77777777" w:rsidR="00755512" w:rsidRPr="00885CAE" w:rsidRDefault="00755512" w:rsidP="00110A2E">
            <w:pPr>
              <w:spacing w:before="0" w:after="0" w:line="240" w:lineRule="auto"/>
              <w:rPr>
                <w:rFonts w:cs="Arial"/>
                <w:sz w:val="16"/>
                <w:szCs w:val="16"/>
                <w:lang w:val="de-CH"/>
              </w:rPr>
            </w:pPr>
          </w:p>
        </w:tc>
      </w:tr>
      <w:tr w:rsidR="00755512" w:rsidRPr="00885CAE" w14:paraId="6D608EF6" w14:textId="77777777" w:rsidTr="008D65C6">
        <w:tc>
          <w:tcPr>
            <w:tcW w:w="531" w:type="dxa"/>
            <w:vMerge/>
            <w:shd w:val="clear" w:color="auto" w:fill="auto"/>
          </w:tcPr>
          <w:p w14:paraId="6D608EF0" w14:textId="77777777" w:rsidR="00755512" w:rsidRPr="00885CAE" w:rsidRDefault="00755512">
            <w:pPr>
              <w:spacing w:before="0" w:after="0" w:line="240" w:lineRule="auto"/>
              <w:rPr>
                <w:rFonts w:cs="Arial"/>
                <w:sz w:val="16"/>
                <w:szCs w:val="16"/>
                <w:lang w:val="de-CH"/>
              </w:rPr>
            </w:pPr>
          </w:p>
        </w:tc>
        <w:tc>
          <w:tcPr>
            <w:tcW w:w="1596" w:type="dxa"/>
            <w:vMerge/>
            <w:shd w:val="clear" w:color="auto" w:fill="auto"/>
          </w:tcPr>
          <w:p w14:paraId="6D608EF1" w14:textId="77777777" w:rsidR="00755512" w:rsidRPr="00885CAE" w:rsidRDefault="00755512">
            <w:pPr>
              <w:spacing w:before="0" w:after="0" w:line="240" w:lineRule="auto"/>
              <w:rPr>
                <w:rFonts w:cs="Arial"/>
                <w:b/>
                <w:sz w:val="16"/>
                <w:szCs w:val="16"/>
                <w:lang w:val="de-CH"/>
              </w:rPr>
            </w:pPr>
          </w:p>
        </w:tc>
        <w:tc>
          <w:tcPr>
            <w:tcW w:w="3685" w:type="dxa"/>
            <w:shd w:val="clear" w:color="auto" w:fill="auto"/>
          </w:tcPr>
          <w:p w14:paraId="6D608EF2" w14:textId="50A29B93" w:rsidR="00755512" w:rsidRPr="00885CAE" w:rsidRDefault="00755512" w:rsidP="00592388">
            <w:pPr>
              <w:pStyle w:val="Bullet"/>
              <w:numPr>
                <w:ilvl w:val="0"/>
                <w:numId w:val="0"/>
              </w:numPr>
              <w:spacing w:before="0" w:after="0"/>
              <w:rPr>
                <w:lang w:val="de-CH"/>
              </w:rPr>
            </w:pPr>
            <w:r w:rsidRPr="00885CAE">
              <w:rPr>
                <w:lang w:val="de-CH"/>
              </w:rPr>
              <w:t xml:space="preserve">Aneignung entsprechender Kenntnisse und Dokumentation </w:t>
            </w:r>
            <w:r w:rsidR="005D62BB">
              <w:rPr>
                <w:lang w:val="de-CH"/>
              </w:rPr>
              <w:t>des</w:t>
            </w:r>
            <w:r w:rsidRPr="00885CAE">
              <w:rPr>
                <w:lang w:val="de-CH"/>
              </w:rPr>
              <w:t xml:space="preserve"> Vergütungssystem</w:t>
            </w:r>
            <w:r w:rsidR="005D62BB">
              <w:rPr>
                <w:lang w:val="de-CH"/>
              </w:rPr>
              <w:t>s</w:t>
            </w:r>
            <w:r w:rsidRPr="00885CAE">
              <w:rPr>
                <w:lang w:val="de-CH"/>
              </w:rPr>
              <w:t xml:space="preserve"> des Instituts.</w:t>
            </w:r>
          </w:p>
        </w:tc>
        <w:tc>
          <w:tcPr>
            <w:tcW w:w="3827" w:type="dxa"/>
            <w:shd w:val="clear" w:color="auto" w:fill="auto"/>
          </w:tcPr>
          <w:p w14:paraId="6D608EF3" w14:textId="77777777" w:rsidR="00755512" w:rsidRPr="00885CAE" w:rsidRDefault="00755512">
            <w:pPr>
              <w:pStyle w:val="Bullet"/>
              <w:numPr>
                <w:ilvl w:val="0"/>
                <w:numId w:val="0"/>
              </w:numPr>
              <w:spacing w:before="0" w:after="0"/>
              <w:ind w:left="34"/>
              <w:rPr>
                <w:lang w:val="de-CH"/>
              </w:rPr>
            </w:pPr>
          </w:p>
        </w:tc>
        <w:tc>
          <w:tcPr>
            <w:tcW w:w="3686" w:type="dxa"/>
            <w:shd w:val="clear" w:color="auto" w:fill="auto"/>
          </w:tcPr>
          <w:p w14:paraId="6D608EF4" w14:textId="77777777" w:rsidR="00755512" w:rsidRPr="00885CAE" w:rsidRDefault="00755512">
            <w:pPr>
              <w:spacing w:before="0" w:after="0" w:line="240" w:lineRule="auto"/>
              <w:rPr>
                <w:rFonts w:cs="Arial"/>
                <w:sz w:val="16"/>
                <w:szCs w:val="16"/>
                <w:lang w:val="de-CH"/>
              </w:rPr>
            </w:pPr>
          </w:p>
        </w:tc>
        <w:tc>
          <w:tcPr>
            <w:tcW w:w="992" w:type="dxa"/>
            <w:shd w:val="clear" w:color="auto" w:fill="auto"/>
          </w:tcPr>
          <w:p w14:paraId="6D608EF5" w14:textId="77777777" w:rsidR="00755512" w:rsidRPr="00885CAE" w:rsidRDefault="00755512">
            <w:pPr>
              <w:spacing w:before="0" w:after="0" w:line="240" w:lineRule="auto"/>
              <w:rPr>
                <w:rFonts w:cs="Arial"/>
                <w:sz w:val="16"/>
                <w:szCs w:val="16"/>
                <w:lang w:val="de-CH"/>
              </w:rPr>
            </w:pPr>
          </w:p>
        </w:tc>
      </w:tr>
      <w:tr w:rsidR="00755512" w:rsidRPr="00885CAE" w14:paraId="6D608EFD" w14:textId="77777777" w:rsidTr="008D65C6">
        <w:trPr>
          <w:trHeight w:val="47"/>
        </w:trPr>
        <w:tc>
          <w:tcPr>
            <w:tcW w:w="531" w:type="dxa"/>
            <w:vMerge/>
            <w:shd w:val="clear" w:color="auto" w:fill="auto"/>
          </w:tcPr>
          <w:p w14:paraId="6D608EF7" w14:textId="77777777" w:rsidR="00755512" w:rsidRPr="00885CAE" w:rsidRDefault="00755512">
            <w:pPr>
              <w:spacing w:before="0" w:after="0" w:line="240" w:lineRule="auto"/>
              <w:rPr>
                <w:rFonts w:cs="Arial"/>
                <w:sz w:val="16"/>
                <w:szCs w:val="16"/>
                <w:lang w:val="de-CH"/>
              </w:rPr>
            </w:pPr>
          </w:p>
        </w:tc>
        <w:tc>
          <w:tcPr>
            <w:tcW w:w="1596" w:type="dxa"/>
            <w:vMerge/>
            <w:shd w:val="clear" w:color="auto" w:fill="auto"/>
          </w:tcPr>
          <w:p w14:paraId="6D608EF8" w14:textId="77777777" w:rsidR="00755512" w:rsidRPr="00885CAE" w:rsidRDefault="00755512">
            <w:pPr>
              <w:spacing w:before="0" w:after="0" w:line="240" w:lineRule="auto"/>
              <w:rPr>
                <w:rFonts w:cs="Arial"/>
                <w:b/>
                <w:sz w:val="16"/>
                <w:szCs w:val="16"/>
                <w:lang w:val="de-CH"/>
              </w:rPr>
            </w:pPr>
          </w:p>
        </w:tc>
        <w:tc>
          <w:tcPr>
            <w:tcW w:w="3685" w:type="dxa"/>
            <w:shd w:val="clear" w:color="auto" w:fill="auto"/>
          </w:tcPr>
          <w:p w14:paraId="6D608EF9" w14:textId="6970DBF3" w:rsidR="00755512" w:rsidRPr="00885CAE" w:rsidRDefault="00755512" w:rsidP="00420151">
            <w:pPr>
              <w:pStyle w:val="Bullet"/>
              <w:numPr>
                <w:ilvl w:val="0"/>
                <w:numId w:val="0"/>
              </w:numPr>
              <w:spacing w:before="0" w:after="0"/>
              <w:rPr>
                <w:lang w:val="de-CH"/>
              </w:rPr>
            </w:pPr>
            <w:r w:rsidRPr="00885CAE">
              <w:rPr>
                <w:lang w:val="de-CH"/>
              </w:rPr>
              <w:t>Beurteilung, ob das Instit</w:t>
            </w:r>
            <w:r w:rsidR="00706A1E">
              <w:rPr>
                <w:lang w:val="de-CH"/>
              </w:rPr>
              <w:t xml:space="preserve">ut die Vorgaben in </w:t>
            </w:r>
            <w:r w:rsidR="00706A1E" w:rsidRPr="00C06A90">
              <w:rPr>
                <w:lang w:val="de-CH"/>
              </w:rPr>
              <w:t>FINMA-RS 10/</w:t>
            </w:r>
            <w:r w:rsidRPr="00885CAE">
              <w:rPr>
                <w:lang w:val="de-CH"/>
              </w:rPr>
              <w:t>1 in Bezug auf Interessenkonflikte grundsätzlich berücksichtigt hat</w:t>
            </w:r>
          </w:p>
        </w:tc>
        <w:tc>
          <w:tcPr>
            <w:tcW w:w="3827" w:type="dxa"/>
            <w:shd w:val="clear" w:color="auto" w:fill="auto"/>
          </w:tcPr>
          <w:p w14:paraId="6D608EFA" w14:textId="0B420E5B" w:rsidR="00755512" w:rsidRPr="00DE3CF0" w:rsidRDefault="009D0B22" w:rsidP="00617203">
            <w:pPr>
              <w:pStyle w:val="Bullet"/>
              <w:numPr>
                <w:ilvl w:val="0"/>
                <w:numId w:val="0"/>
              </w:numPr>
              <w:spacing w:before="0" w:after="0"/>
              <w:ind w:left="34"/>
              <w:rPr>
                <w:lang w:val="de-CH"/>
              </w:rPr>
            </w:pPr>
            <w:r w:rsidRPr="00420151">
              <w:rPr>
                <w:lang w:val="de-CH"/>
              </w:rPr>
              <w:t>Auswah</w:t>
            </w:r>
            <w:r w:rsidRPr="00DE3CF0">
              <w:rPr>
                <w:lang w:val="de-CH"/>
              </w:rPr>
              <w:t>l einer angemessenen Stichprobe von Schlüsselpersonen und Beurteilung, ob die Vergütungssysteme (z. B. Löhne, Boni und Honorare) angemessen ausgestaltet sind, um Anreize zu vermeiden, die zu Interessenkonflikten oder zur Missachtung von Kontrollmechanismen führen (</w:t>
            </w:r>
            <w:r w:rsidR="000C4F2D" w:rsidRPr="00141559">
              <w:rPr>
                <w:lang w:val="de-CH"/>
              </w:rPr>
              <w:t xml:space="preserve">namentlich </w:t>
            </w:r>
            <w:r w:rsidR="001B128C" w:rsidRPr="00141559">
              <w:rPr>
                <w:lang w:val="de-CH"/>
              </w:rPr>
              <w:t xml:space="preserve">Rz 63 </w:t>
            </w:r>
            <w:r w:rsidRPr="00141559">
              <w:rPr>
                <w:lang w:val="de-CH"/>
              </w:rPr>
              <w:t xml:space="preserve">FINMA-RS </w:t>
            </w:r>
            <w:r w:rsidR="001B128C" w:rsidRPr="00141559">
              <w:rPr>
                <w:lang w:val="de-CH"/>
              </w:rPr>
              <w:t>17/1</w:t>
            </w:r>
            <w:r w:rsidRPr="00DE3CF0">
              <w:rPr>
                <w:lang w:val="de-CH"/>
              </w:rPr>
              <w:t>).</w:t>
            </w:r>
          </w:p>
        </w:tc>
        <w:tc>
          <w:tcPr>
            <w:tcW w:w="3686" w:type="dxa"/>
            <w:shd w:val="clear" w:color="auto" w:fill="auto"/>
          </w:tcPr>
          <w:p w14:paraId="6D608EFB" w14:textId="77777777" w:rsidR="00755512" w:rsidRPr="00885CAE" w:rsidRDefault="00755512">
            <w:pPr>
              <w:spacing w:before="0" w:after="0" w:line="240" w:lineRule="auto"/>
              <w:rPr>
                <w:rFonts w:cs="Arial"/>
                <w:sz w:val="16"/>
                <w:szCs w:val="16"/>
                <w:lang w:val="de-CH"/>
              </w:rPr>
            </w:pPr>
          </w:p>
        </w:tc>
        <w:tc>
          <w:tcPr>
            <w:tcW w:w="992" w:type="dxa"/>
            <w:shd w:val="clear" w:color="auto" w:fill="auto"/>
          </w:tcPr>
          <w:p w14:paraId="6D608EFC" w14:textId="77777777" w:rsidR="00755512" w:rsidRPr="00885CAE" w:rsidRDefault="00755512">
            <w:pPr>
              <w:spacing w:before="0" w:after="0" w:line="240" w:lineRule="auto"/>
              <w:rPr>
                <w:rFonts w:cs="Arial"/>
                <w:sz w:val="16"/>
                <w:szCs w:val="16"/>
                <w:lang w:val="de-CH"/>
              </w:rPr>
            </w:pPr>
          </w:p>
        </w:tc>
      </w:tr>
    </w:tbl>
    <w:p w14:paraId="6D608EFE" w14:textId="77777777" w:rsidR="00902075" w:rsidRPr="00885CAE" w:rsidRDefault="00902075" w:rsidP="00166DBD">
      <w:pPr>
        <w:spacing w:before="0" w:after="0" w:line="240" w:lineRule="auto"/>
        <w:jc w:val="center"/>
        <w:rPr>
          <w:rFonts w:cs="Arial"/>
          <w:lang w:val="de-CH"/>
        </w:rPr>
      </w:pPr>
    </w:p>
    <w:p w14:paraId="6D608EFF" w14:textId="77777777" w:rsidR="00902075" w:rsidRPr="00885CAE" w:rsidRDefault="00902075">
      <w:pPr>
        <w:spacing w:before="0" w:after="200"/>
        <w:rPr>
          <w:rFonts w:cs="Arial"/>
          <w:b/>
          <w:lang w:val="de-CH"/>
        </w:rPr>
      </w:pPr>
      <w:r w:rsidRPr="00885CAE">
        <w:rPr>
          <w:lang w:val="de-CH"/>
        </w:rPr>
        <w:br w:type="page"/>
      </w:r>
    </w:p>
    <w:p w14:paraId="6D608F00" w14:textId="42F2AE06" w:rsidR="00902075" w:rsidRPr="00885CAE" w:rsidRDefault="00902075" w:rsidP="00902075">
      <w:pPr>
        <w:spacing w:before="0" w:after="0" w:line="240" w:lineRule="auto"/>
        <w:rPr>
          <w:rFonts w:cs="Arial"/>
          <w:b/>
          <w:u w:val="single"/>
          <w:lang w:val="de-CH"/>
        </w:rPr>
      </w:pPr>
      <w:r w:rsidRPr="00885CAE">
        <w:rPr>
          <w:b/>
          <w:lang w:val="de-CH"/>
        </w:rPr>
        <w:lastRenderedPageBreak/>
        <w:t xml:space="preserve">Prüfprogramm – </w:t>
      </w:r>
      <w:r w:rsidRPr="00885CAE">
        <w:rPr>
          <w:b/>
          <w:u w:val="single"/>
          <w:lang w:val="de-CH"/>
        </w:rPr>
        <w:t>Interne Organisation und internes Kontrollsystem – Interne Berichterstattung</w:t>
      </w:r>
      <w:r w:rsidR="009C4F77">
        <w:rPr>
          <w:b/>
          <w:u w:val="single"/>
          <w:lang w:val="de-CH"/>
        </w:rPr>
        <w:t xml:space="preserve"> und Offenlegung Corporate Governance</w:t>
      </w:r>
    </w:p>
    <w:p w14:paraId="6D608F01" w14:textId="77777777" w:rsidR="00902075" w:rsidRPr="00885CAE" w:rsidRDefault="00902075" w:rsidP="00902075">
      <w:pPr>
        <w:spacing w:before="0" w:after="0" w:line="240" w:lineRule="auto"/>
        <w:rPr>
          <w:rFonts w:cs="Arial"/>
          <w:b/>
          <w:u w:val="single"/>
          <w:lang w:val="de-CH"/>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902075" w:rsidRPr="00885CAE" w14:paraId="6D608F08" w14:textId="77777777" w:rsidTr="00E72C82">
        <w:trPr>
          <w:tblHeader/>
        </w:trPr>
        <w:tc>
          <w:tcPr>
            <w:tcW w:w="531" w:type="dxa"/>
            <w:tcBorders>
              <w:bottom w:val="single" w:sz="4" w:space="0" w:color="auto"/>
            </w:tcBorders>
            <w:shd w:val="pct20" w:color="auto" w:fill="auto"/>
          </w:tcPr>
          <w:p w14:paraId="6D608F02" w14:textId="77777777" w:rsidR="00902075" w:rsidRPr="00885CAE" w:rsidRDefault="00902075" w:rsidP="00E72C82">
            <w:pPr>
              <w:spacing w:before="0" w:after="0" w:line="240" w:lineRule="auto"/>
              <w:rPr>
                <w:rFonts w:cs="Arial"/>
                <w:b/>
                <w:sz w:val="16"/>
                <w:szCs w:val="16"/>
                <w:lang w:val="de-CH"/>
              </w:rPr>
            </w:pPr>
            <w:r w:rsidRPr="00885CAE">
              <w:rPr>
                <w:b/>
                <w:sz w:val="16"/>
                <w:lang w:val="de-CH"/>
              </w:rPr>
              <w:t>Nr.</w:t>
            </w:r>
          </w:p>
        </w:tc>
        <w:tc>
          <w:tcPr>
            <w:tcW w:w="1596" w:type="dxa"/>
            <w:tcBorders>
              <w:bottom w:val="single" w:sz="4" w:space="0" w:color="auto"/>
            </w:tcBorders>
            <w:shd w:val="pct20" w:color="auto" w:fill="auto"/>
          </w:tcPr>
          <w:p w14:paraId="6D608F03" w14:textId="77777777" w:rsidR="00902075" w:rsidRPr="00885CAE" w:rsidRDefault="00902075" w:rsidP="00E72C82">
            <w:pPr>
              <w:spacing w:before="0" w:after="0" w:line="240" w:lineRule="auto"/>
              <w:rPr>
                <w:rFonts w:cs="Arial"/>
                <w:b/>
                <w:sz w:val="16"/>
                <w:szCs w:val="16"/>
                <w:lang w:val="de-CH"/>
              </w:rPr>
            </w:pPr>
            <w:r w:rsidRPr="00885CAE">
              <w:rPr>
                <w:b/>
                <w:sz w:val="16"/>
                <w:lang w:val="de-CH"/>
              </w:rPr>
              <w:t>Thema:</w:t>
            </w:r>
          </w:p>
        </w:tc>
        <w:tc>
          <w:tcPr>
            <w:tcW w:w="3685" w:type="dxa"/>
            <w:tcBorders>
              <w:bottom w:val="single" w:sz="4" w:space="0" w:color="auto"/>
            </w:tcBorders>
            <w:shd w:val="pct20" w:color="auto" w:fill="auto"/>
          </w:tcPr>
          <w:p w14:paraId="6D608F04" w14:textId="29B2DA03" w:rsidR="00902075" w:rsidRPr="00885CAE" w:rsidRDefault="00902075" w:rsidP="00E72C82">
            <w:pPr>
              <w:spacing w:before="0" w:after="0" w:line="240" w:lineRule="auto"/>
              <w:rPr>
                <w:rFonts w:cs="Arial"/>
                <w:b/>
                <w:sz w:val="16"/>
                <w:szCs w:val="16"/>
                <w:lang w:val="de-CH"/>
              </w:rPr>
            </w:pPr>
            <w:r w:rsidRPr="00885CAE">
              <w:rPr>
                <w:b/>
                <w:sz w:val="16"/>
                <w:lang w:val="de-CH"/>
              </w:rPr>
              <w:t>Prüfungshandlungen für Prüftiefe „kritische Beurteilung“:</w:t>
            </w:r>
          </w:p>
        </w:tc>
        <w:tc>
          <w:tcPr>
            <w:tcW w:w="3827" w:type="dxa"/>
            <w:tcBorders>
              <w:bottom w:val="single" w:sz="4" w:space="0" w:color="auto"/>
            </w:tcBorders>
            <w:shd w:val="pct20" w:color="auto" w:fill="auto"/>
          </w:tcPr>
          <w:p w14:paraId="6D608F05" w14:textId="4D626BAC" w:rsidR="00902075" w:rsidRPr="00885CAE" w:rsidRDefault="00902075" w:rsidP="001B380C">
            <w:pPr>
              <w:spacing w:before="0" w:after="0" w:line="240" w:lineRule="auto"/>
              <w:rPr>
                <w:rFonts w:cs="Arial"/>
                <w:b/>
                <w:sz w:val="16"/>
                <w:szCs w:val="16"/>
                <w:lang w:val="de-CH"/>
              </w:rPr>
            </w:pPr>
            <w:r w:rsidRPr="00885CAE">
              <w:rPr>
                <w:b/>
                <w:sz w:val="16"/>
                <w:u w:val="single"/>
                <w:lang w:val="de-CH"/>
              </w:rPr>
              <w:t>Zusätzliche</w:t>
            </w:r>
            <w:r w:rsidRPr="00885CAE">
              <w:rPr>
                <w:b/>
                <w:sz w:val="16"/>
                <w:lang w:val="de-CH"/>
              </w:rPr>
              <w:t xml:space="preserve"> Prüfungshandlungen für Prüftiefe „Prüfung“:</w:t>
            </w:r>
          </w:p>
        </w:tc>
        <w:tc>
          <w:tcPr>
            <w:tcW w:w="3686" w:type="dxa"/>
            <w:tcBorders>
              <w:bottom w:val="single" w:sz="4" w:space="0" w:color="auto"/>
            </w:tcBorders>
            <w:shd w:val="pct20" w:color="auto" w:fill="auto"/>
          </w:tcPr>
          <w:p w14:paraId="6D608F06" w14:textId="77777777" w:rsidR="00902075" w:rsidRPr="00885CAE" w:rsidRDefault="0090547A" w:rsidP="00E72C82">
            <w:pPr>
              <w:spacing w:before="0" w:after="0" w:line="240" w:lineRule="auto"/>
              <w:rPr>
                <w:rFonts w:cs="Arial"/>
                <w:b/>
                <w:sz w:val="16"/>
                <w:szCs w:val="16"/>
                <w:lang w:val="de-CH"/>
              </w:rPr>
            </w:pPr>
            <w:r w:rsidRPr="00885CAE">
              <w:rPr>
                <w:b/>
                <w:sz w:val="16"/>
                <w:lang w:val="de-CH"/>
              </w:rPr>
              <w:t>Durchgeführte Prüfungshandlungen / Feststellungen</w:t>
            </w:r>
          </w:p>
        </w:tc>
        <w:tc>
          <w:tcPr>
            <w:tcW w:w="992" w:type="dxa"/>
            <w:tcBorders>
              <w:bottom w:val="single" w:sz="4" w:space="0" w:color="auto"/>
            </w:tcBorders>
            <w:shd w:val="pct20" w:color="auto" w:fill="auto"/>
          </w:tcPr>
          <w:p w14:paraId="6D608F07" w14:textId="77777777" w:rsidR="00902075" w:rsidRPr="00885CAE" w:rsidRDefault="00902075" w:rsidP="00E72C82">
            <w:pPr>
              <w:spacing w:before="0" w:after="0" w:line="240" w:lineRule="auto"/>
              <w:rPr>
                <w:rFonts w:cs="Arial"/>
                <w:b/>
                <w:sz w:val="16"/>
                <w:szCs w:val="16"/>
                <w:lang w:val="de-CH"/>
              </w:rPr>
            </w:pPr>
            <w:r w:rsidRPr="00885CAE">
              <w:rPr>
                <w:b/>
                <w:sz w:val="16"/>
                <w:lang w:val="de-CH"/>
              </w:rPr>
              <w:t xml:space="preserve">Arbeitspapiere </w:t>
            </w:r>
            <w:proofErr w:type="spellStart"/>
            <w:r w:rsidRPr="00885CAE">
              <w:rPr>
                <w:b/>
                <w:sz w:val="16"/>
                <w:lang w:val="de-CH"/>
              </w:rPr>
              <w:t>Ref</w:t>
            </w:r>
            <w:proofErr w:type="spellEnd"/>
            <w:r w:rsidRPr="00885CAE">
              <w:rPr>
                <w:b/>
                <w:sz w:val="16"/>
                <w:lang w:val="de-CH"/>
              </w:rPr>
              <w:t>.:</w:t>
            </w:r>
          </w:p>
        </w:tc>
      </w:tr>
      <w:tr w:rsidR="00902075" w:rsidRPr="00D6498A" w14:paraId="6D608F0C" w14:textId="77777777" w:rsidTr="00E72C82">
        <w:tc>
          <w:tcPr>
            <w:tcW w:w="14317" w:type="dxa"/>
            <w:gridSpan w:val="6"/>
            <w:shd w:val="pct10" w:color="auto" w:fill="auto"/>
          </w:tcPr>
          <w:p w14:paraId="6D608F0B" w14:textId="6875208E" w:rsidR="00902075" w:rsidRPr="0023086C" w:rsidRDefault="00902075" w:rsidP="006A210D">
            <w:pPr>
              <w:spacing w:before="0" w:after="0" w:line="240" w:lineRule="auto"/>
              <w:rPr>
                <w:rFonts w:cs="Arial"/>
                <w:i/>
                <w:sz w:val="16"/>
                <w:szCs w:val="16"/>
                <w:lang w:val="fr-CH"/>
              </w:rPr>
            </w:pPr>
          </w:p>
        </w:tc>
      </w:tr>
      <w:tr w:rsidR="00B128DA" w:rsidRPr="00885CAE" w14:paraId="6D608F15" w14:textId="77777777" w:rsidTr="008D65C6">
        <w:tc>
          <w:tcPr>
            <w:tcW w:w="531" w:type="dxa"/>
            <w:vMerge w:val="restart"/>
            <w:shd w:val="clear" w:color="auto" w:fill="auto"/>
          </w:tcPr>
          <w:p w14:paraId="6D608F0D" w14:textId="77777777" w:rsidR="00B128DA" w:rsidRPr="0023086C" w:rsidRDefault="00B128DA" w:rsidP="008D65C6">
            <w:pPr>
              <w:spacing w:before="0" w:after="0" w:line="240" w:lineRule="auto"/>
              <w:rPr>
                <w:rFonts w:cs="Arial"/>
                <w:sz w:val="16"/>
                <w:szCs w:val="16"/>
                <w:lang w:val="fr-CH"/>
              </w:rPr>
            </w:pPr>
          </w:p>
        </w:tc>
        <w:tc>
          <w:tcPr>
            <w:tcW w:w="1596" w:type="dxa"/>
            <w:vMerge w:val="restart"/>
            <w:shd w:val="clear" w:color="auto" w:fill="auto"/>
          </w:tcPr>
          <w:p w14:paraId="6D608F0E" w14:textId="77777777" w:rsidR="00B128DA" w:rsidRPr="00885CAE" w:rsidRDefault="00B128DA" w:rsidP="008D65C6">
            <w:pPr>
              <w:spacing w:before="0" w:after="0" w:line="240" w:lineRule="auto"/>
              <w:rPr>
                <w:rFonts w:cs="Arial"/>
                <w:b/>
                <w:sz w:val="16"/>
                <w:szCs w:val="16"/>
                <w:lang w:val="de-CH"/>
              </w:rPr>
            </w:pPr>
            <w:r w:rsidRPr="00885CAE">
              <w:rPr>
                <w:b/>
                <w:sz w:val="16"/>
                <w:lang w:val="de-CH"/>
              </w:rPr>
              <w:t xml:space="preserve">Interne Berichterstattung </w:t>
            </w:r>
          </w:p>
          <w:p w14:paraId="6D608F0F" w14:textId="77777777" w:rsidR="00B128DA" w:rsidRPr="00885CAE" w:rsidRDefault="00B128DA" w:rsidP="008D65C6">
            <w:pPr>
              <w:spacing w:before="0" w:after="0" w:line="240" w:lineRule="auto"/>
              <w:rPr>
                <w:rFonts w:cs="Arial"/>
                <w:b/>
                <w:sz w:val="16"/>
                <w:szCs w:val="16"/>
                <w:lang w:val="de-CH"/>
              </w:rPr>
            </w:pPr>
          </w:p>
          <w:p w14:paraId="6D608F10" w14:textId="77777777" w:rsidR="00B128DA" w:rsidRPr="00885CAE" w:rsidRDefault="00B128DA" w:rsidP="008D65C6">
            <w:pPr>
              <w:spacing w:before="0" w:after="0" w:line="240" w:lineRule="auto"/>
              <w:rPr>
                <w:rFonts w:cs="Arial"/>
                <w:b/>
                <w:sz w:val="16"/>
                <w:szCs w:val="16"/>
                <w:lang w:val="de-CH"/>
              </w:rPr>
            </w:pPr>
            <w:r w:rsidRPr="00885CAE">
              <w:rPr>
                <w:b/>
                <w:sz w:val="16"/>
                <w:lang w:val="de-CH"/>
              </w:rPr>
              <w:t>Inhalt</w:t>
            </w:r>
          </w:p>
        </w:tc>
        <w:tc>
          <w:tcPr>
            <w:tcW w:w="3685" w:type="dxa"/>
            <w:shd w:val="clear" w:color="auto" w:fill="auto"/>
          </w:tcPr>
          <w:p w14:paraId="6D608F11" w14:textId="77777777" w:rsidR="00B128DA" w:rsidRPr="00885CAE" w:rsidRDefault="00B128DA">
            <w:pPr>
              <w:pStyle w:val="Bullet"/>
              <w:numPr>
                <w:ilvl w:val="0"/>
                <w:numId w:val="0"/>
              </w:numPr>
              <w:spacing w:before="0" w:after="0"/>
              <w:rPr>
                <w:i/>
                <w:lang w:val="de-CH"/>
              </w:rPr>
            </w:pPr>
            <w:r w:rsidRPr="00885CAE">
              <w:rPr>
                <w:i/>
                <w:lang w:val="de-CH"/>
              </w:rPr>
              <w:t>Beurteilung, ob ein adäquates internes Berichterstattungskonzept nach Massgabe der Grösse und der Geschäfts- und Organisationskomplexität des Instituts entwickelt wurde, namentlich</w:t>
            </w:r>
          </w:p>
        </w:tc>
        <w:tc>
          <w:tcPr>
            <w:tcW w:w="3827" w:type="dxa"/>
            <w:shd w:val="clear" w:color="auto" w:fill="auto"/>
          </w:tcPr>
          <w:p w14:paraId="6D608F12" w14:textId="77777777" w:rsidR="00B128DA" w:rsidRPr="00885CAE" w:rsidRDefault="00B128DA" w:rsidP="008D65C6">
            <w:pPr>
              <w:pStyle w:val="Bullet"/>
              <w:numPr>
                <w:ilvl w:val="0"/>
                <w:numId w:val="0"/>
              </w:numPr>
              <w:spacing w:before="0" w:after="0"/>
              <w:ind w:left="34"/>
              <w:rPr>
                <w:i/>
                <w:lang w:val="de-CH"/>
              </w:rPr>
            </w:pPr>
          </w:p>
        </w:tc>
        <w:tc>
          <w:tcPr>
            <w:tcW w:w="3686" w:type="dxa"/>
            <w:shd w:val="clear" w:color="auto" w:fill="auto"/>
          </w:tcPr>
          <w:p w14:paraId="6D608F13" w14:textId="77777777" w:rsidR="00B128DA" w:rsidRPr="00885CAE" w:rsidRDefault="00B128DA" w:rsidP="008D65C6">
            <w:pPr>
              <w:spacing w:before="0" w:after="0" w:line="240" w:lineRule="auto"/>
              <w:rPr>
                <w:rFonts w:cs="Arial"/>
                <w:sz w:val="16"/>
                <w:szCs w:val="16"/>
                <w:highlight w:val="cyan"/>
                <w:lang w:val="de-CH"/>
              </w:rPr>
            </w:pPr>
          </w:p>
        </w:tc>
        <w:tc>
          <w:tcPr>
            <w:tcW w:w="992" w:type="dxa"/>
            <w:shd w:val="clear" w:color="auto" w:fill="auto"/>
          </w:tcPr>
          <w:p w14:paraId="6D608F14" w14:textId="77777777" w:rsidR="00B128DA" w:rsidRPr="00885CAE" w:rsidRDefault="00B128DA" w:rsidP="008D65C6">
            <w:pPr>
              <w:spacing w:before="0" w:after="0" w:line="240" w:lineRule="auto"/>
              <w:rPr>
                <w:rFonts w:cs="Arial"/>
                <w:sz w:val="16"/>
                <w:szCs w:val="16"/>
                <w:lang w:val="de-CH"/>
              </w:rPr>
            </w:pPr>
          </w:p>
        </w:tc>
      </w:tr>
      <w:tr w:rsidR="00B128DA" w:rsidRPr="00885CAE" w14:paraId="6D608F1C" w14:textId="77777777" w:rsidTr="008D65C6">
        <w:tc>
          <w:tcPr>
            <w:tcW w:w="531" w:type="dxa"/>
            <w:vMerge/>
            <w:shd w:val="clear" w:color="auto" w:fill="auto"/>
          </w:tcPr>
          <w:p w14:paraId="6D608F16" w14:textId="77777777" w:rsidR="00B128DA" w:rsidRPr="00885CAE" w:rsidRDefault="00B128DA" w:rsidP="008D65C6">
            <w:pPr>
              <w:spacing w:before="0" w:after="0" w:line="240" w:lineRule="auto"/>
              <w:rPr>
                <w:rFonts w:cs="Arial"/>
                <w:sz w:val="16"/>
                <w:szCs w:val="16"/>
                <w:lang w:val="de-CH"/>
              </w:rPr>
            </w:pPr>
          </w:p>
        </w:tc>
        <w:tc>
          <w:tcPr>
            <w:tcW w:w="1596" w:type="dxa"/>
            <w:vMerge/>
            <w:shd w:val="clear" w:color="auto" w:fill="auto"/>
          </w:tcPr>
          <w:p w14:paraId="6D608F17" w14:textId="77777777" w:rsidR="00B128DA" w:rsidRPr="00885CAE" w:rsidRDefault="00B128DA" w:rsidP="008D65C6">
            <w:pPr>
              <w:spacing w:before="0" w:after="0" w:line="240" w:lineRule="auto"/>
              <w:rPr>
                <w:rFonts w:cs="Arial"/>
                <w:b/>
                <w:sz w:val="16"/>
                <w:szCs w:val="16"/>
                <w:lang w:val="de-CH"/>
              </w:rPr>
            </w:pPr>
          </w:p>
        </w:tc>
        <w:tc>
          <w:tcPr>
            <w:tcW w:w="3685" w:type="dxa"/>
            <w:shd w:val="clear" w:color="auto" w:fill="auto"/>
          </w:tcPr>
          <w:p w14:paraId="6D608F18" w14:textId="12C4B7E9" w:rsidR="00B128DA" w:rsidRPr="00DE3CF0" w:rsidRDefault="00B128DA">
            <w:pPr>
              <w:pStyle w:val="Bullet"/>
              <w:numPr>
                <w:ilvl w:val="0"/>
                <w:numId w:val="0"/>
              </w:numPr>
              <w:spacing w:before="0" w:after="0"/>
              <w:rPr>
                <w:lang w:val="de-CH"/>
              </w:rPr>
            </w:pPr>
            <w:r w:rsidRPr="00DE3CF0">
              <w:rPr>
                <w:lang w:val="de-CH"/>
              </w:rPr>
              <w:t xml:space="preserve">Aneignung von Kenntnissen </w:t>
            </w:r>
            <w:r w:rsidR="00A52F35" w:rsidRPr="00DE3CF0">
              <w:rPr>
                <w:lang w:val="de-CH"/>
              </w:rPr>
              <w:t>und Dokument</w:t>
            </w:r>
            <w:r w:rsidR="00E37B87" w:rsidRPr="00DE3CF0">
              <w:rPr>
                <w:lang w:val="de-CH"/>
              </w:rPr>
              <w:t>ierung</w:t>
            </w:r>
            <w:r w:rsidR="00A52F35" w:rsidRPr="00DE3CF0">
              <w:rPr>
                <w:lang w:val="de-CH"/>
              </w:rPr>
              <w:t xml:space="preserve"> </w:t>
            </w:r>
            <w:r w:rsidR="005D62BB" w:rsidRPr="00DE3CF0">
              <w:rPr>
                <w:lang w:val="de-CH"/>
              </w:rPr>
              <w:t xml:space="preserve">der </w:t>
            </w:r>
            <w:r w:rsidRPr="00DE3CF0">
              <w:rPr>
                <w:lang w:val="de-CH"/>
              </w:rPr>
              <w:t xml:space="preserve">Ausgestaltung des Berichterstattungskonzepts bezüglich der internen Organisation und der internen Kontrolle </w:t>
            </w:r>
            <w:r w:rsidR="00A52F35" w:rsidRPr="00DE3CF0">
              <w:rPr>
                <w:lang w:val="de-CH"/>
              </w:rPr>
              <w:t>als Ganzes,</w:t>
            </w:r>
            <w:r w:rsidRPr="00DE3CF0">
              <w:rPr>
                <w:lang w:val="de-CH"/>
              </w:rPr>
              <w:t xml:space="preserve"> einschliesslich</w:t>
            </w:r>
            <w:r w:rsidR="00A52F35" w:rsidRPr="00DE3CF0">
              <w:rPr>
                <w:lang w:val="de-CH"/>
              </w:rPr>
              <w:t xml:space="preserve"> </w:t>
            </w:r>
            <w:r w:rsidRPr="00DE3CF0">
              <w:rPr>
                <w:lang w:val="de-CH"/>
              </w:rPr>
              <w:t>Berichtslinien, Inhalt und Periodizität der Berichterstattung.</w:t>
            </w:r>
          </w:p>
        </w:tc>
        <w:tc>
          <w:tcPr>
            <w:tcW w:w="3827" w:type="dxa"/>
            <w:shd w:val="clear" w:color="auto" w:fill="auto"/>
          </w:tcPr>
          <w:p w14:paraId="6D608F19" w14:textId="77777777" w:rsidR="00B128DA" w:rsidRPr="00DE3CF0" w:rsidRDefault="00B128DA" w:rsidP="008D65C6">
            <w:pPr>
              <w:pStyle w:val="Bullet"/>
              <w:numPr>
                <w:ilvl w:val="0"/>
                <w:numId w:val="0"/>
              </w:numPr>
              <w:spacing w:before="0" w:after="0"/>
              <w:ind w:left="34"/>
              <w:rPr>
                <w:lang w:val="de-CH"/>
              </w:rPr>
            </w:pPr>
          </w:p>
        </w:tc>
        <w:tc>
          <w:tcPr>
            <w:tcW w:w="3686" w:type="dxa"/>
            <w:shd w:val="clear" w:color="auto" w:fill="auto"/>
          </w:tcPr>
          <w:p w14:paraId="6D608F1A" w14:textId="77777777" w:rsidR="00B128DA" w:rsidRPr="00885CAE" w:rsidRDefault="00B128DA" w:rsidP="008D65C6">
            <w:pPr>
              <w:spacing w:before="0" w:after="0" w:line="240" w:lineRule="auto"/>
              <w:rPr>
                <w:rFonts w:cs="Arial"/>
                <w:sz w:val="16"/>
                <w:szCs w:val="16"/>
                <w:highlight w:val="cyan"/>
                <w:lang w:val="de-CH"/>
              </w:rPr>
            </w:pPr>
          </w:p>
        </w:tc>
        <w:tc>
          <w:tcPr>
            <w:tcW w:w="992" w:type="dxa"/>
            <w:shd w:val="clear" w:color="auto" w:fill="auto"/>
          </w:tcPr>
          <w:p w14:paraId="6D608F1B" w14:textId="77777777" w:rsidR="00B128DA" w:rsidRPr="00885CAE" w:rsidRDefault="00B128DA" w:rsidP="008D65C6">
            <w:pPr>
              <w:spacing w:before="0" w:after="0" w:line="240" w:lineRule="auto"/>
              <w:rPr>
                <w:rFonts w:cs="Arial"/>
                <w:sz w:val="16"/>
                <w:szCs w:val="16"/>
                <w:lang w:val="de-CH"/>
              </w:rPr>
            </w:pPr>
          </w:p>
        </w:tc>
      </w:tr>
      <w:tr w:rsidR="00B128DA" w:rsidRPr="00885CAE" w14:paraId="6D608F23" w14:textId="77777777" w:rsidTr="008D65C6">
        <w:tc>
          <w:tcPr>
            <w:tcW w:w="531" w:type="dxa"/>
            <w:vMerge/>
            <w:shd w:val="clear" w:color="auto" w:fill="auto"/>
          </w:tcPr>
          <w:p w14:paraId="6D608F1D" w14:textId="77777777" w:rsidR="00B128DA" w:rsidRPr="00885CAE" w:rsidRDefault="00B128DA" w:rsidP="008D65C6">
            <w:pPr>
              <w:spacing w:before="0" w:after="0" w:line="240" w:lineRule="auto"/>
              <w:rPr>
                <w:rFonts w:cs="Arial"/>
                <w:sz w:val="16"/>
                <w:szCs w:val="16"/>
                <w:lang w:val="de-CH"/>
              </w:rPr>
            </w:pPr>
          </w:p>
        </w:tc>
        <w:tc>
          <w:tcPr>
            <w:tcW w:w="1596" w:type="dxa"/>
            <w:vMerge/>
            <w:shd w:val="clear" w:color="auto" w:fill="auto"/>
          </w:tcPr>
          <w:p w14:paraId="6D608F1E" w14:textId="77777777" w:rsidR="00B128DA" w:rsidRPr="00885CAE" w:rsidRDefault="00B128DA" w:rsidP="008D65C6">
            <w:pPr>
              <w:spacing w:before="0" w:after="0" w:line="240" w:lineRule="auto"/>
              <w:rPr>
                <w:rFonts w:cs="Arial"/>
                <w:b/>
                <w:sz w:val="16"/>
                <w:szCs w:val="16"/>
                <w:lang w:val="de-CH"/>
              </w:rPr>
            </w:pPr>
          </w:p>
        </w:tc>
        <w:tc>
          <w:tcPr>
            <w:tcW w:w="3685" w:type="dxa"/>
            <w:shd w:val="clear" w:color="auto" w:fill="auto"/>
          </w:tcPr>
          <w:p w14:paraId="6D608F1F" w14:textId="54CD949D" w:rsidR="00B128DA" w:rsidRPr="00DE3CF0" w:rsidRDefault="003F5CD3" w:rsidP="00706A1E">
            <w:pPr>
              <w:pStyle w:val="Bullet"/>
              <w:numPr>
                <w:ilvl w:val="0"/>
                <w:numId w:val="0"/>
              </w:numPr>
              <w:spacing w:before="0" w:after="0"/>
              <w:rPr>
                <w:lang w:val="de-CH"/>
              </w:rPr>
            </w:pPr>
            <w:r w:rsidRPr="00DE3CF0">
              <w:rPr>
                <w:lang w:val="de-CH"/>
              </w:rPr>
              <w:t xml:space="preserve">Durchsicht </w:t>
            </w:r>
            <w:r w:rsidR="00B128DA" w:rsidRPr="00DE3CF0">
              <w:rPr>
                <w:lang w:val="de-CH"/>
              </w:rPr>
              <w:t>de</w:t>
            </w:r>
            <w:r w:rsidR="00A52F35" w:rsidRPr="00DE3CF0">
              <w:rPr>
                <w:lang w:val="de-CH"/>
              </w:rPr>
              <w:t>r</w:t>
            </w:r>
            <w:r w:rsidR="00B128DA" w:rsidRPr="00DE3CF0">
              <w:rPr>
                <w:lang w:val="de-CH"/>
              </w:rPr>
              <w:t xml:space="preserve"> Reporting Package</w:t>
            </w:r>
            <w:r w:rsidR="00A52F35" w:rsidRPr="00DE3CF0">
              <w:rPr>
                <w:lang w:val="de-CH"/>
              </w:rPr>
              <w:t>s</w:t>
            </w:r>
            <w:r w:rsidR="00B128DA" w:rsidRPr="00DE3CF0">
              <w:rPr>
                <w:lang w:val="de-CH"/>
              </w:rPr>
              <w:t xml:space="preserve"> an </w:t>
            </w:r>
            <w:r w:rsidR="00706A1E">
              <w:rPr>
                <w:lang w:val="de-CH"/>
              </w:rPr>
              <w:t>das</w:t>
            </w:r>
            <w:r w:rsidR="00706A1E" w:rsidRPr="00DE3CF0">
              <w:rPr>
                <w:lang w:val="de-CH"/>
              </w:rPr>
              <w:t xml:space="preserve"> </w:t>
            </w:r>
            <w:r w:rsidR="00354A23" w:rsidRPr="00DE3CF0">
              <w:rPr>
                <w:lang w:val="de-CH"/>
              </w:rPr>
              <w:t>O</w:t>
            </w:r>
            <w:r w:rsidR="001B128C" w:rsidRPr="00DE3CF0">
              <w:rPr>
                <w:lang w:val="de-CH"/>
              </w:rPr>
              <w:t>berleitungsorgan</w:t>
            </w:r>
            <w:r w:rsidR="00B128DA" w:rsidRPr="00DE3CF0">
              <w:rPr>
                <w:lang w:val="de-CH"/>
              </w:rPr>
              <w:t xml:space="preserve"> und die </w:t>
            </w:r>
            <w:r w:rsidR="00B64C54" w:rsidRPr="00DE3CF0">
              <w:rPr>
                <w:lang w:val="de-CH"/>
              </w:rPr>
              <w:t>Geschäftsleitung</w:t>
            </w:r>
            <w:r w:rsidR="00B128DA" w:rsidRPr="00DE3CF0">
              <w:rPr>
                <w:lang w:val="de-CH"/>
              </w:rPr>
              <w:t xml:space="preserve">. </w:t>
            </w:r>
            <w:r w:rsidR="00A52F35" w:rsidRPr="00DE3CF0">
              <w:rPr>
                <w:lang w:val="de-CH"/>
              </w:rPr>
              <w:t>Beurteilung a</w:t>
            </w:r>
            <w:r w:rsidR="00B128DA" w:rsidRPr="00DE3CF0">
              <w:rPr>
                <w:lang w:val="de-CH"/>
              </w:rPr>
              <w:t xml:space="preserve">nhand einer Stichprobe, ob </w:t>
            </w:r>
            <w:r w:rsidR="00A52F35" w:rsidRPr="00DE3CF0">
              <w:rPr>
                <w:lang w:val="de-CH"/>
              </w:rPr>
              <w:t xml:space="preserve">die </w:t>
            </w:r>
            <w:proofErr w:type="spellStart"/>
            <w:r w:rsidR="00A52F35" w:rsidRPr="00DE3CF0">
              <w:rPr>
                <w:lang w:val="de-CH"/>
              </w:rPr>
              <w:t>Reportings</w:t>
            </w:r>
            <w:proofErr w:type="spellEnd"/>
            <w:r w:rsidR="00A52F35" w:rsidRPr="00DE3CF0">
              <w:rPr>
                <w:lang w:val="de-CH"/>
              </w:rPr>
              <w:t xml:space="preserve"> </w:t>
            </w:r>
            <w:r w:rsidR="00B128DA" w:rsidRPr="00DE3CF0">
              <w:rPr>
                <w:lang w:val="de-CH"/>
              </w:rPr>
              <w:t xml:space="preserve">alle </w:t>
            </w:r>
            <w:r w:rsidR="00A52F35" w:rsidRPr="00DE3CF0">
              <w:rPr>
                <w:lang w:val="de-CH"/>
              </w:rPr>
              <w:t xml:space="preserve">relevanten </w:t>
            </w:r>
            <w:r w:rsidR="00B128DA" w:rsidRPr="00DE3CF0">
              <w:rPr>
                <w:lang w:val="de-CH"/>
              </w:rPr>
              <w:t>Aspekte nach Massgabe der Grösse und der Geschäfts- und Organisationskomplexität des Instituts beinhal</w:t>
            </w:r>
            <w:r w:rsidR="00E37B87" w:rsidRPr="00DE3CF0">
              <w:rPr>
                <w:lang w:val="de-CH"/>
              </w:rPr>
              <w:t>ten</w:t>
            </w:r>
            <w:r w:rsidR="00B128DA" w:rsidRPr="00DE3CF0">
              <w:rPr>
                <w:lang w:val="de-CH"/>
              </w:rPr>
              <w:t>.</w:t>
            </w:r>
          </w:p>
        </w:tc>
        <w:tc>
          <w:tcPr>
            <w:tcW w:w="3827" w:type="dxa"/>
            <w:shd w:val="clear" w:color="auto" w:fill="auto"/>
          </w:tcPr>
          <w:p w14:paraId="6D608F20" w14:textId="162AC090" w:rsidR="00B128DA" w:rsidRPr="00DE3CF0" w:rsidRDefault="009B2B72" w:rsidP="001B128C">
            <w:pPr>
              <w:pStyle w:val="Bullet"/>
              <w:numPr>
                <w:ilvl w:val="0"/>
                <w:numId w:val="0"/>
              </w:numPr>
              <w:spacing w:before="0" w:after="0"/>
              <w:ind w:left="34"/>
              <w:rPr>
                <w:lang w:val="de-CH"/>
              </w:rPr>
            </w:pPr>
            <w:r w:rsidRPr="00DE3CF0">
              <w:rPr>
                <w:lang w:val="de-CH"/>
              </w:rPr>
              <w:t>Untersuchung von Berichten an d</w:t>
            </w:r>
            <w:r w:rsidR="001B128C" w:rsidRPr="00DE3CF0">
              <w:rPr>
                <w:lang w:val="de-CH"/>
              </w:rPr>
              <w:t>as</w:t>
            </w:r>
            <w:r w:rsidRPr="00DE3CF0">
              <w:rPr>
                <w:lang w:val="de-CH"/>
              </w:rPr>
              <w:t xml:space="preserve"> </w:t>
            </w:r>
            <w:r w:rsidR="00354A23" w:rsidRPr="00DE3CF0">
              <w:rPr>
                <w:lang w:val="de-CH"/>
              </w:rPr>
              <w:t>O</w:t>
            </w:r>
            <w:r w:rsidR="001B128C" w:rsidRPr="00DE3CF0">
              <w:rPr>
                <w:lang w:val="de-CH"/>
              </w:rPr>
              <w:t>berleitungsorgan</w:t>
            </w:r>
            <w:r w:rsidRPr="00DE3CF0">
              <w:rPr>
                <w:lang w:val="de-CH"/>
              </w:rPr>
              <w:t xml:space="preserve"> und </w:t>
            </w:r>
            <w:r w:rsidR="00A52F35" w:rsidRPr="00DE3CF0">
              <w:rPr>
                <w:lang w:val="de-CH"/>
              </w:rPr>
              <w:t xml:space="preserve">an </w:t>
            </w:r>
            <w:r w:rsidRPr="00DE3CF0">
              <w:rPr>
                <w:lang w:val="de-CH"/>
              </w:rPr>
              <w:t xml:space="preserve">die </w:t>
            </w:r>
            <w:r w:rsidR="00B64C54" w:rsidRPr="00DE3CF0">
              <w:rPr>
                <w:lang w:val="de-CH"/>
              </w:rPr>
              <w:t>Geschäftsleitung</w:t>
            </w:r>
            <w:r w:rsidRPr="00DE3CF0">
              <w:rPr>
                <w:lang w:val="de-CH"/>
              </w:rPr>
              <w:t xml:space="preserve"> auf Stichprobenbasis und Überprüfung von </w:t>
            </w:r>
            <w:r w:rsidR="00A52F35" w:rsidRPr="00DE3CF0">
              <w:rPr>
                <w:lang w:val="de-CH"/>
              </w:rPr>
              <w:t xml:space="preserve">implementierten </w:t>
            </w:r>
            <w:r w:rsidRPr="00DE3CF0">
              <w:rPr>
                <w:lang w:val="de-CH"/>
              </w:rPr>
              <w:t>Verfahren und Kontrollen</w:t>
            </w:r>
            <w:r w:rsidR="00A52F35" w:rsidRPr="00DE3CF0">
              <w:rPr>
                <w:lang w:val="de-CH"/>
              </w:rPr>
              <w:t xml:space="preserve"> betreffend die Sicherstellung</w:t>
            </w:r>
            <w:r w:rsidRPr="00DE3CF0">
              <w:rPr>
                <w:lang w:val="de-CH"/>
              </w:rPr>
              <w:t xml:space="preserve">, dass die Berichte </w:t>
            </w:r>
            <w:r w:rsidR="00A52F35" w:rsidRPr="00DE3CF0">
              <w:rPr>
                <w:lang w:val="de-CH"/>
              </w:rPr>
              <w:t>korrekt</w:t>
            </w:r>
            <w:r w:rsidRPr="00DE3CF0">
              <w:rPr>
                <w:lang w:val="de-CH"/>
              </w:rPr>
              <w:t>, vollständig und zuverlässig sind.</w:t>
            </w:r>
          </w:p>
        </w:tc>
        <w:tc>
          <w:tcPr>
            <w:tcW w:w="3686" w:type="dxa"/>
            <w:shd w:val="clear" w:color="auto" w:fill="auto"/>
          </w:tcPr>
          <w:p w14:paraId="6D608F21" w14:textId="77777777" w:rsidR="00B128DA" w:rsidRPr="00885CAE" w:rsidRDefault="00B128DA" w:rsidP="008D65C6">
            <w:pPr>
              <w:spacing w:before="0" w:after="0" w:line="240" w:lineRule="auto"/>
              <w:rPr>
                <w:rFonts w:cs="Arial"/>
                <w:sz w:val="16"/>
                <w:szCs w:val="16"/>
                <w:highlight w:val="cyan"/>
                <w:lang w:val="de-CH"/>
              </w:rPr>
            </w:pPr>
          </w:p>
        </w:tc>
        <w:tc>
          <w:tcPr>
            <w:tcW w:w="992" w:type="dxa"/>
            <w:shd w:val="clear" w:color="auto" w:fill="auto"/>
          </w:tcPr>
          <w:p w14:paraId="6D608F22" w14:textId="77777777" w:rsidR="00B128DA" w:rsidRPr="00885CAE" w:rsidRDefault="00B128DA" w:rsidP="008D65C6">
            <w:pPr>
              <w:spacing w:before="0" w:after="0" w:line="240" w:lineRule="auto"/>
              <w:rPr>
                <w:rFonts w:cs="Arial"/>
                <w:sz w:val="16"/>
                <w:szCs w:val="16"/>
                <w:lang w:val="de-CH"/>
              </w:rPr>
            </w:pPr>
          </w:p>
        </w:tc>
      </w:tr>
      <w:tr w:rsidR="00B128DA" w:rsidRPr="00885CAE" w14:paraId="6D608F2D" w14:textId="77777777" w:rsidTr="008D65C6">
        <w:tc>
          <w:tcPr>
            <w:tcW w:w="531" w:type="dxa"/>
            <w:vMerge w:val="restart"/>
            <w:shd w:val="clear" w:color="auto" w:fill="auto"/>
          </w:tcPr>
          <w:p w14:paraId="6D608F24" w14:textId="77777777" w:rsidR="00B128DA" w:rsidRPr="00885CAE" w:rsidRDefault="00B128DA" w:rsidP="008D65C6">
            <w:pPr>
              <w:spacing w:before="0" w:after="0" w:line="240" w:lineRule="auto"/>
              <w:rPr>
                <w:rFonts w:cs="Arial"/>
                <w:sz w:val="16"/>
                <w:szCs w:val="16"/>
                <w:lang w:val="de-CH"/>
              </w:rPr>
            </w:pPr>
          </w:p>
        </w:tc>
        <w:tc>
          <w:tcPr>
            <w:tcW w:w="1596" w:type="dxa"/>
            <w:vMerge w:val="restart"/>
            <w:shd w:val="clear" w:color="auto" w:fill="auto"/>
          </w:tcPr>
          <w:p w14:paraId="6D608F25" w14:textId="77777777" w:rsidR="00B128DA" w:rsidRPr="00885CAE" w:rsidRDefault="00B128DA" w:rsidP="008D65C6">
            <w:pPr>
              <w:spacing w:before="0" w:after="0" w:line="240" w:lineRule="auto"/>
              <w:rPr>
                <w:rFonts w:cs="Arial"/>
                <w:b/>
                <w:sz w:val="16"/>
                <w:szCs w:val="16"/>
                <w:lang w:val="de-CH"/>
              </w:rPr>
            </w:pPr>
            <w:r w:rsidRPr="00885CAE">
              <w:rPr>
                <w:b/>
                <w:sz w:val="16"/>
                <w:lang w:val="de-CH"/>
              </w:rPr>
              <w:t xml:space="preserve">Interne Berichterstattung </w:t>
            </w:r>
          </w:p>
          <w:p w14:paraId="6D608F26" w14:textId="77777777" w:rsidR="00B128DA" w:rsidRPr="00885CAE" w:rsidRDefault="00B128DA" w:rsidP="008D65C6">
            <w:pPr>
              <w:spacing w:before="0" w:after="0" w:line="240" w:lineRule="auto"/>
              <w:rPr>
                <w:rFonts w:cs="Arial"/>
                <w:b/>
                <w:sz w:val="16"/>
                <w:szCs w:val="16"/>
                <w:lang w:val="de-CH"/>
              </w:rPr>
            </w:pPr>
          </w:p>
          <w:p w14:paraId="6D608F27" w14:textId="77777777" w:rsidR="00B128DA" w:rsidRPr="00885CAE" w:rsidRDefault="00B128DA" w:rsidP="008D65C6">
            <w:pPr>
              <w:spacing w:before="0" w:after="0" w:line="240" w:lineRule="auto"/>
              <w:rPr>
                <w:rFonts w:cs="Arial"/>
                <w:b/>
                <w:sz w:val="16"/>
                <w:szCs w:val="16"/>
                <w:lang w:val="de-CH"/>
              </w:rPr>
            </w:pPr>
            <w:r w:rsidRPr="00885CAE">
              <w:rPr>
                <w:b/>
                <w:sz w:val="16"/>
                <w:lang w:val="de-CH"/>
              </w:rPr>
              <w:t>Empfänger und Periodizität</w:t>
            </w:r>
          </w:p>
          <w:p w14:paraId="6D608F28" w14:textId="77777777" w:rsidR="00B128DA" w:rsidRPr="00885CAE" w:rsidRDefault="00B128DA" w:rsidP="008D65C6">
            <w:pPr>
              <w:spacing w:before="0" w:after="0" w:line="240" w:lineRule="auto"/>
              <w:rPr>
                <w:rFonts w:cs="Arial"/>
                <w:b/>
                <w:sz w:val="16"/>
                <w:szCs w:val="16"/>
                <w:lang w:val="de-CH"/>
              </w:rPr>
            </w:pPr>
          </w:p>
        </w:tc>
        <w:tc>
          <w:tcPr>
            <w:tcW w:w="3685" w:type="dxa"/>
            <w:shd w:val="clear" w:color="auto" w:fill="auto"/>
          </w:tcPr>
          <w:p w14:paraId="6D608F29" w14:textId="77777777" w:rsidR="00B128DA" w:rsidRPr="00DE3CF0" w:rsidRDefault="00B128DA">
            <w:pPr>
              <w:pStyle w:val="Bullet"/>
              <w:numPr>
                <w:ilvl w:val="0"/>
                <w:numId w:val="0"/>
              </w:numPr>
              <w:spacing w:before="0" w:after="0"/>
              <w:rPr>
                <w:i/>
                <w:lang w:val="de-CH"/>
              </w:rPr>
            </w:pPr>
            <w:r w:rsidRPr="00DE3CF0">
              <w:rPr>
                <w:i/>
                <w:lang w:val="de-CH"/>
              </w:rPr>
              <w:t>Beurteilung, ob die Empfänger und die Periodizität der internen Berichterstattung über die interne Organisation und das IKS nach Massgabe der Grösse und der Geschäfts- und Organisationskomplexität des Instituts angemessen ausgestaltet waren, namentlich</w:t>
            </w:r>
          </w:p>
        </w:tc>
        <w:tc>
          <w:tcPr>
            <w:tcW w:w="3827" w:type="dxa"/>
            <w:shd w:val="clear" w:color="auto" w:fill="auto"/>
          </w:tcPr>
          <w:p w14:paraId="6D608F2A" w14:textId="77777777" w:rsidR="00B128DA" w:rsidRPr="00DE3CF0" w:rsidRDefault="00B128DA" w:rsidP="008D65C6">
            <w:pPr>
              <w:pStyle w:val="Bullet"/>
              <w:numPr>
                <w:ilvl w:val="0"/>
                <w:numId w:val="0"/>
              </w:numPr>
              <w:spacing w:before="0" w:after="0"/>
              <w:ind w:left="34"/>
              <w:rPr>
                <w:lang w:val="de-CH"/>
              </w:rPr>
            </w:pPr>
          </w:p>
        </w:tc>
        <w:tc>
          <w:tcPr>
            <w:tcW w:w="3686" w:type="dxa"/>
            <w:shd w:val="clear" w:color="auto" w:fill="auto"/>
          </w:tcPr>
          <w:p w14:paraId="6D608F2B" w14:textId="77777777" w:rsidR="00B128DA" w:rsidRPr="00885CAE" w:rsidRDefault="00B128DA" w:rsidP="008D65C6">
            <w:pPr>
              <w:spacing w:before="0" w:after="0" w:line="240" w:lineRule="auto"/>
              <w:rPr>
                <w:rFonts w:cs="Arial"/>
                <w:sz w:val="16"/>
                <w:szCs w:val="16"/>
                <w:highlight w:val="cyan"/>
                <w:lang w:val="de-CH"/>
              </w:rPr>
            </w:pPr>
          </w:p>
        </w:tc>
        <w:tc>
          <w:tcPr>
            <w:tcW w:w="992" w:type="dxa"/>
            <w:shd w:val="clear" w:color="auto" w:fill="auto"/>
          </w:tcPr>
          <w:p w14:paraId="6D608F2C" w14:textId="77777777" w:rsidR="00B128DA" w:rsidRPr="00885CAE" w:rsidRDefault="00B128DA" w:rsidP="008D65C6">
            <w:pPr>
              <w:spacing w:before="0" w:after="0" w:line="240" w:lineRule="auto"/>
              <w:rPr>
                <w:rFonts w:cs="Arial"/>
                <w:sz w:val="16"/>
                <w:szCs w:val="16"/>
                <w:lang w:val="de-CH"/>
              </w:rPr>
            </w:pPr>
          </w:p>
        </w:tc>
      </w:tr>
      <w:tr w:rsidR="00B128DA" w:rsidRPr="00885CAE" w14:paraId="6D608F34" w14:textId="77777777" w:rsidTr="008D65C6">
        <w:tc>
          <w:tcPr>
            <w:tcW w:w="531" w:type="dxa"/>
            <w:vMerge/>
            <w:shd w:val="clear" w:color="auto" w:fill="auto"/>
          </w:tcPr>
          <w:p w14:paraId="6D608F2E" w14:textId="77777777" w:rsidR="00B128DA" w:rsidRPr="00885CAE" w:rsidRDefault="00B128DA" w:rsidP="008D65C6">
            <w:pPr>
              <w:spacing w:before="0" w:after="0" w:line="240" w:lineRule="auto"/>
              <w:rPr>
                <w:rFonts w:cs="Arial"/>
                <w:sz w:val="16"/>
                <w:szCs w:val="16"/>
                <w:lang w:val="de-CH"/>
              </w:rPr>
            </w:pPr>
          </w:p>
        </w:tc>
        <w:tc>
          <w:tcPr>
            <w:tcW w:w="1596" w:type="dxa"/>
            <w:vMerge/>
            <w:shd w:val="clear" w:color="auto" w:fill="auto"/>
          </w:tcPr>
          <w:p w14:paraId="6D608F2F" w14:textId="77777777" w:rsidR="00B128DA" w:rsidRPr="00885CAE" w:rsidRDefault="00B128DA" w:rsidP="008D65C6">
            <w:pPr>
              <w:spacing w:before="0" w:after="0" w:line="240" w:lineRule="auto"/>
              <w:rPr>
                <w:rFonts w:cs="Arial"/>
                <w:b/>
                <w:sz w:val="16"/>
                <w:szCs w:val="16"/>
                <w:lang w:val="de-CH"/>
              </w:rPr>
            </w:pPr>
          </w:p>
        </w:tc>
        <w:tc>
          <w:tcPr>
            <w:tcW w:w="3685" w:type="dxa"/>
            <w:shd w:val="clear" w:color="auto" w:fill="auto"/>
          </w:tcPr>
          <w:p w14:paraId="6D608F30" w14:textId="0F745403" w:rsidR="00B128DA" w:rsidRPr="00DE3CF0" w:rsidRDefault="00B128DA" w:rsidP="00A52F35">
            <w:pPr>
              <w:pStyle w:val="Bullet"/>
              <w:numPr>
                <w:ilvl w:val="0"/>
                <w:numId w:val="0"/>
              </w:numPr>
              <w:spacing w:before="0" w:after="0"/>
              <w:rPr>
                <w:lang w:val="de-CH"/>
              </w:rPr>
            </w:pPr>
            <w:r w:rsidRPr="00DE3CF0">
              <w:rPr>
                <w:lang w:val="de-CH"/>
              </w:rPr>
              <w:t>Beurteilung, ob die interne Berichterstattung betreffend die interne Organisation und das IKS an die richtigen Empfänger</w:t>
            </w:r>
            <w:r w:rsidR="00A52F35" w:rsidRPr="00DE3CF0">
              <w:rPr>
                <w:lang w:val="de-CH"/>
              </w:rPr>
              <w:t>,</w:t>
            </w:r>
            <w:r w:rsidRPr="00DE3CF0">
              <w:rPr>
                <w:lang w:val="de-CH"/>
              </w:rPr>
              <w:t xml:space="preserve"> mit ange</w:t>
            </w:r>
            <w:r w:rsidR="005D62BB" w:rsidRPr="00DE3CF0">
              <w:rPr>
                <w:lang w:val="de-CH"/>
              </w:rPr>
              <w:t>messener</w:t>
            </w:r>
            <w:r w:rsidRPr="00DE3CF0">
              <w:rPr>
                <w:lang w:val="de-CH"/>
              </w:rPr>
              <w:t xml:space="preserve"> Periodizität und nach Massgabe der Grösse und der Geschäfts- und Organisationskomplexität</w:t>
            </w:r>
            <w:r w:rsidR="00A52F35" w:rsidRPr="00DE3CF0">
              <w:rPr>
                <w:lang w:val="de-CH"/>
              </w:rPr>
              <w:t xml:space="preserve"> erfolgt.</w:t>
            </w:r>
          </w:p>
        </w:tc>
        <w:tc>
          <w:tcPr>
            <w:tcW w:w="3827" w:type="dxa"/>
            <w:shd w:val="clear" w:color="auto" w:fill="auto"/>
          </w:tcPr>
          <w:p w14:paraId="6D608F31" w14:textId="1014F815" w:rsidR="00B128DA" w:rsidRPr="00DE3CF0" w:rsidRDefault="00A52F35" w:rsidP="008D65C6">
            <w:pPr>
              <w:pStyle w:val="Bullet"/>
              <w:numPr>
                <w:ilvl w:val="0"/>
                <w:numId w:val="0"/>
              </w:numPr>
              <w:spacing w:before="0" w:after="0"/>
              <w:ind w:left="34"/>
              <w:rPr>
                <w:i/>
                <w:lang w:val="de-CH"/>
              </w:rPr>
            </w:pPr>
            <w:r w:rsidRPr="00DE3CF0">
              <w:rPr>
                <w:lang w:val="de-CH"/>
              </w:rPr>
              <w:t xml:space="preserve">Detaillierte </w:t>
            </w:r>
            <w:r w:rsidR="004C25BE" w:rsidRPr="00DE3CF0">
              <w:rPr>
                <w:lang w:val="de-CH"/>
              </w:rPr>
              <w:t>Beurteilung, ob die Berichtslinien nach Massgabe der Grösse und der Geschäfts- und Organisationskomplexität angemessen sind.</w:t>
            </w:r>
          </w:p>
        </w:tc>
        <w:tc>
          <w:tcPr>
            <w:tcW w:w="3686" w:type="dxa"/>
            <w:shd w:val="clear" w:color="auto" w:fill="auto"/>
          </w:tcPr>
          <w:p w14:paraId="6D608F32" w14:textId="77777777" w:rsidR="00B128DA" w:rsidRPr="00885CAE" w:rsidRDefault="00B128DA" w:rsidP="008D65C6">
            <w:pPr>
              <w:spacing w:before="0" w:after="0" w:line="240" w:lineRule="auto"/>
              <w:rPr>
                <w:rFonts w:cs="Arial"/>
                <w:sz w:val="16"/>
                <w:szCs w:val="16"/>
                <w:highlight w:val="cyan"/>
                <w:lang w:val="de-CH"/>
              </w:rPr>
            </w:pPr>
          </w:p>
        </w:tc>
        <w:tc>
          <w:tcPr>
            <w:tcW w:w="992" w:type="dxa"/>
            <w:shd w:val="clear" w:color="auto" w:fill="auto"/>
          </w:tcPr>
          <w:p w14:paraId="6D608F33" w14:textId="77777777" w:rsidR="00B128DA" w:rsidRPr="00885CAE" w:rsidRDefault="00B128DA" w:rsidP="008D65C6">
            <w:pPr>
              <w:spacing w:before="0" w:after="0" w:line="240" w:lineRule="auto"/>
              <w:rPr>
                <w:rFonts w:cs="Arial"/>
                <w:sz w:val="16"/>
                <w:szCs w:val="16"/>
                <w:lang w:val="de-CH"/>
              </w:rPr>
            </w:pPr>
          </w:p>
        </w:tc>
      </w:tr>
      <w:tr w:rsidR="00B128DA" w:rsidRPr="00885CAE" w14:paraId="6D608F3E" w14:textId="77777777" w:rsidTr="008D65C6">
        <w:tc>
          <w:tcPr>
            <w:tcW w:w="531" w:type="dxa"/>
            <w:vMerge w:val="restart"/>
            <w:shd w:val="clear" w:color="auto" w:fill="auto"/>
          </w:tcPr>
          <w:p w14:paraId="6D608F35" w14:textId="77777777" w:rsidR="00B128DA" w:rsidRPr="00885CAE" w:rsidRDefault="00B128DA" w:rsidP="008D65C6">
            <w:pPr>
              <w:spacing w:before="0" w:after="0" w:line="240" w:lineRule="auto"/>
              <w:rPr>
                <w:rFonts w:cs="Arial"/>
                <w:sz w:val="16"/>
                <w:szCs w:val="16"/>
                <w:lang w:val="de-CH"/>
              </w:rPr>
            </w:pPr>
          </w:p>
        </w:tc>
        <w:tc>
          <w:tcPr>
            <w:tcW w:w="1596" w:type="dxa"/>
            <w:vMerge w:val="restart"/>
            <w:shd w:val="clear" w:color="auto" w:fill="auto"/>
          </w:tcPr>
          <w:p w14:paraId="6D608F36" w14:textId="77777777" w:rsidR="00B128DA" w:rsidRPr="00885CAE" w:rsidRDefault="00B128DA" w:rsidP="008D65C6">
            <w:pPr>
              <w:spacing w:before="0" w:after="0" w:line="240" w:lineRule="auto"/>
              <w:rPr>
                <w:rFonts w:cs="Arial"/>
                <w:b/>
                <w:sz w:val="16"/>
                <w:szCs w:val="16"/>
                <w:lang w:val="de-CH"/>
              </w:rPr>
            </w:pPr>
            <w:r w:rsidRPr="00885CAE">
              <w:rPr>
                <w:b/>
                <w:sz w:val="16"/>
                <w:lang w:val="de-CH"/>
              </w:rPr>
              <w:t xml:space="preserve">Interne Berichterstattung </w:t>
            </w:r>
          </w:p>
          <w:p w14:paraId="6D608F37" w14:textId="77777777" w:rsidR="00B128DA" w:rsidRPr="00885CAE" w:rsidRDefault="00B128DA" w:rsidP="008D65C6">
            <w:pPr>
              <w:spacing w:before="0" w:after="0" w:line="240" w:lineRule="auto"/>
              <w:rPr>
                <w:rFonts w:cs="Arial"/>
                <w:b/>
                <w:sz w:val="16"/>
                <w:szCs w:val="16"/>
                <w:lang w:val="de-CH"/>
              </w:rPr>
            </w:pPr>
          </w:p>
          <w:p w14:paraId="6D608F38" w14:textId="77777777" w:rsidR="00B128DA" w:rsidRPr="00885CAE" w:rsidRDefault="00B128DA" w:rsidP="008D65C6">
            <w:pPr>
              <w:spacing w:before="0" w:after="0" w:line="240" w:lineRule="auto"/>
              <w:rPr>
                <w:rFonts w:cs="Arial"/>
                <w:b/>
                <w:sz w:val="16"/>
                <w:szCs w:val="16"/>
                <w:lang w:val="de-CH"/>
              </w:rPr>
            </w:pPr>
            <w:r w:rsidRPr="00885CAE">
              <w:rPr>
                <w:b/>
                <w:sz w:val="16"/>
                <w:lang w:val="de-CH"/>
              </w:rPr>
              <w:t>Eskalationsprozess</w:t>
            </w:r>
          </w:p>
          <w:p w14:paraId="6D608F39" w14:textId="77777777" w:rsidR="00B128DA" w:rsidRPr="00885CAE" w:rsidRDefault="00B128DA" w:rsidP="008D65C6">
            <w:pPr>
              <w:spacing w:before="0" w:after="0" w:line="240" w:lineRule="auto"/>
              <w:rPr>
                <w:rFonts w:cs="Arial"/>
                <w:b/>
                <w:sz w:val="16"/>
                <w:szCs w:val="16"/>
                <w:lang w:val="de-CH"/>
              </w:rPr>
            </w:pPr>
          </w:p>
        </w:tc>
        <w:tc>
          <w:tcPr>
            <w:tcW w:w="3685" w:type="dxa"/>
            <w:shd w:val="clear" w:color="auto" w:fill="auto"/>
          </w:tcPr>
          <w:p w14:paraId="6D608F3A" w14:textId="77777777" w:rsidR="00B128DA" w:rsidRPr="00DE3CF0" w:rsidRDefault="00B128DA">
            <w:pPr>
              <w:pStyle w:val="Bullet"/>
              <w:numPr>
                <w:ilvl w:val="0"/>
                <w:numId w:val="0"/>
              </w:numPr>
              <w:spacing w:before="0" w:after="0"/>
              <w:rPr>
                <w:i/>
                <w:lang w:val="de-CH"/>
              </w:rPr>
            </w:pPr>
            <w:r w:rsidRPr="00DE3CF0">
              <w:rPr>
                <w:i/>
                <w:lang w:val="de-CH"/>
              </w:rPr>
              <w:t>Beurteilung, ob die internen Eskalationsprozesse nach Massgabe der Grösse und der Geschäfts- und Organisationskomplexität des Instituts angemessen ausgestaltet waren, namentlich</w:t>
            </w:r>
          </w:p>
        </w:tc>
        <w:tc>
          <w:tcPr>
            <w:tcW w:w="3827" w:type="dxa"/>
            <w:shd w:val="clear" w:color="auto" w:fill="auto"/>
          </w:tcPr>
          <w:p w14:paraId="6D608F3B" w14:textId="77777777" w:rsidR="00B128DA" w:rsidRPr="00DE3CF0" w:rsidRDefault="00B128DA" w:rsidP="008D65C6">
            <w:pPr>
              <w:pStyle w:val="Bullet"/>
              <w:numPr>
                <w:ilvl w:val="0"/>
                <w:numId w:val="0"/>
              </w:numPr>
              <w:spacing w:before="0" w:after="0"/>
              <w:ind w:left="34"/>
              <w:rPr>
                <w:lang w:val="de-CH"/>
              </w:rPr>
            </w:pPr>
          </w:p>
        </w:tc>
        <w:tc>
          <w:tcPr>
            <w:tcW w:w="3686" w:type="dxa"/>
            <w:shd w:val="clear" w:color="auto" w:fill="auto"/>
          </w:tcPr>
          <w:p w14:paraId="6D608F3C" w14:textId="77777777" w:rsidR="00B128DA" w:rsidRPr="00885CAE" w:rsidRDefault="00B128DA" w:rsidP="008D65C6">
            <w:pPr>
              <w:spacing w:before="0" w:after="0" w:line="240" w:lineRule="auto"/>
              <w:rPr>
                <w:rFonts w:cs="Arial"/>
                <w:sz w:val="16"/>
                <w:szCs w:val="16"/>
                <w:highlight w:val="cyan"/>
                <w:lang w:val="de-CH"/>
              </w:rPr>
            </w:pPr>
          </w:p>
        </w:tc>
        <w:tc>
          <w:tcPr>
            <w:tcW w:w="992" w:type="dxa"/>
            <w:shd w:val="clear" w:color="auto" w:fill="auto"/>
          </w:tcPr>
          <w:p w14:paraId="6D608F3D" w14:textId="77777777" w:rsidR="00B128DA" w:rsidRPr="00885CAE" w:rsidRDefault="00B128DA" w:rsidP="008D65C6">
            <w:pPr>
              <w:spacing w:before="0" w:after="0" w:line="240" w:lineRule="auto"/>
              <w:rPr>
                <w:rFonts w:cs="Arial"/>
                <w:sz w:val="16"/>
                <w:szCs w:val="16"/>
                <w:lang w:val="de-CH"/>
              </w:rPr>
            </w:pPr>
          </w:p>
        </w:tc>
      </w:tr>
      <w:tr w:rsidR="00B128DA" w:rsidRPr="00885CAE" w14:paraId="6D608F45" w14:textId="77777777" w:rsidTr="008D65C6">
        <w:tc>
          <w:tcPr>
            <w:tcW w:w="531" w:type="dxa"/>
            <w:vMerge/>
            <w:shd w:val="clear" w:color="auto" w:fill="auto"/>
          </w:tcPr>
          <w:p w14:paraId="6D608F3F" w14:textId="77777777" w:rsidR="00B128DA" w:rsidRPr="00885CAE" w:rsidRDefault="00B128DA" w:rsidP="008D65C6">
            <w:pPr>
              <w:spacing w:before="0" w:after="0" w:line="240" w:lineRule="auto"/>
              <w:rPr>
                <w:rFonts w:cs="Arial"/>
                <w:sz w:val="16"/>
                <w:szCs w:val="16"/>
                <w:lang w:val="de-CH"/>
              </w:rPr>
            </w:pPr>
          </w:p>
        </w:tc>
        <w:tc>
          <w:tcPr>
            <w:tcW w:w="1596" w:type="dxa"/>
            <w:vMerge/>
            <w:shd w:val="clear" w:color="auto" w:fill="auto"/>
          </w:tcPr>
          <w:p w14:paraId="6D608F40" w14:textId="77777777" w:rsidR="00B128DA" w:rsidRPr="00885CAE" w:rsidRDefault="00B128DA" w:rsidP="008D65C6">
            <w:pPr>
              <w:spacing w:before="0" w:after="0" w:line="240" w:lineRule="auto"/>
              <w:rPr>
                <w:rFonts w:cs="Arial"/>
                <w:b/>
                <w:sz w:val="16"/>
                <w:szCs w:val="16"/>
                <w:lang w:val="de-CH"/>
              </w:rPr>
            </w:pPr>
          </w:p>
        </w:tc>
        <w:tc>
          <w:tcPr>
            <w:tcW w:w="3685" w:type="dxa"/>
            <w:shd w:val="clear" w:color="auto" w:fill="auto"/>
          </w:tcPr>
          <w:p w14:paraId="6D608F41" w14:textId="519324F7" w:rsidR="00B128DA" w:rsidRPr="00DE3CF0" w:rsidRDefault="00B128DA" w:rsidP="006229CD">
            <w:pPr>
              <w:pStyle w:val="Bullet"/>
              <w:numPr>
                <w:ilvl w:val="0"/>
                <w:numId w:val="0"/>
              </w:numPr>
              <w:spacing w:before="0" w:after="0"/>
              <w:rPr>
                <w:lang w:val="de-CH"/>
              </w:rPr>
            </w:pPr>
            <w:r w:rsidRPr="00DE3CF0">
              <w:rPr>
                <w:lang w:val="de-CH"/>
              </w:rPr>
              <w:t xml:space="preserve">Aneignung von Kenntnissen über die Eskalationsprozesse, die sicherstellen, dass </w:t>
            </w:r>
            <w:r w:rsidR="006229CD" w:rsidRPr="00DE3CF0">
              <w:rPr>
                <w:lang w:val="de-CH"/>
              </w:rPr>
              <w:t xml:space="preserve">Kontrolldefizite </w:t>
            </w:r>
            <w:r w:rsidRPr="00DE3CF0">
              <w:rPr>
                <w:lang w:val="de-CH"/>
              </w:rPr>
              <w:t>und sonstige Probleme im Zusammenhang mit dem internen Kontrollsystem zeitnah und den richtigen Empfängern gemeldet werden.</w:t>
            </w:r>
          </w:p>
        </w:tc>
        <w:tc>
          <w:tcPr>
            <w:tcW w:w="3827" w:type="dxa"/>
            <w:shd w:val="clear" w:color="auto" w:fill="auto"/>
          </w:tcPr>
          <w:p w14:paraId="6D608F42" w14:textId="7849881E" w:rsidR="00B128DA" w:rsidRPr="00DE3CF0" w:rsidRDefault="006229CD" w:rsidP="00E37B87">
            <w:pPr>
              <w:pStyle w:val="Bullet"/>
              <w:numPr>
                <w:ilvl w:val="0"/>
                <w:numId w:val="0"/>
              </w:numPr>
              <w:spacing w:before="0" w:after="0"/>
              <w:ind w:left="34"/>
              <w:rPr>
                <w:lang w:val="de-CH"/>
              </w:rPr>
            </w:pPr>
            <w:r w:rsidRPr="00420151">
              <w:rPr>
                <w:lang w:val="de-CH"/>
              </w:rPr>
              <w:t>Untersuchung</w:t>
            </w:r>
            <w:r w:rsidRPr="00DE3CF0">
              <w:rPr>
                <w:lang w:val="de-CH"/>
              </w:rPr>
              <w:t xml:space="preserve"> </w:t>
            </w:r>
            <w:r w:rsidR="005D62BB" w:rsidRPr="00DE3CF0">
              <w:rPr>
                <w:lang w:val="de-CH"/>
              </w:rPr>
              <w:t xml:space="preserve">auf der Basis </w:t>
            </w:r>
            <w:r w:rsidR="004C25BE" w:rsidRPr="00DE3CF0">
              <w:rPr>
                <w:lang w:val="de-CH"/>
              </w:rPr>
              <w:t>einer Stichprobe</w:t>
            </w:r>
            <w:r w:rsidR="005D62BB" w:rsidRPr="00DE3CF0">
              <w:rPr>
                <w:lang w:val="de-CH"/>
              </w:rPr>
              <w:t xml:space="preserve"> von Kontrolldefiziten</w:t>
            </w:r>
            <w:r w:rsidR="004C25BE" w:rsidRPr="00DE3CF0">
              <w:rPr>
                <w:lang w:val="de-CH"/>
              </w:rPr>
              <w:t xml:space="preserve">, ob </w:t>
            </w:r>
            <w:r w:rsidR="005D62BB" w:rsidRPr="00DE3CF0">
              <w:rPr>
                <w:lang w:val="de-CH"/>
              </w:rPr>
              <w:t>diese</w:t>
            </w:r>
            <w:r w:rsidRPr="00DE3CF0">
              <w:rPr>
                <w:lang w:val="de-CH"/>
              </w:rPr>
              <w:t xml:space="preserve"> </w:t>
            </w:r>
            <w:r w:rsidR="004C25BE" w:rsidRPr="00DE3CF0">
              <w:rPr>
                <w:lang w:val="de-CH"/>
              </w:rPr>
              <w:t>den richtigen Empfängern gemeldet wurden und ob das Institut angemessene Massnahmen ergriffen hat.</w:t>
            </w:r>
          </w:p>
        </w:tc>
        <w:tc>
          <w:tcPr>
            <w:tcW w:w="3686" w:type="dxa"/>
            <w:shd w:val="clear" w:color="auto" w:fill="auto"/>
          </w:tcPr>
          <w:p w14:paraId="6D608F43" w14:textId="77777777" w:rsidR="00B128DA" w:rsidRPr="00885CAE" w:rsidRDefault="00B128DA" w:rsidP="008D65C6">
            <w:pPr>
              <w:spacing w:before="0" w:after="0" w:line="240" w:lineRule="auto"/>
              <w:rPr>
                <w:rFonts w:cs="Arial"/>
                <w:sz w:val="16"/>
                <w:szCs w:val="16"/>
                <w:highlight w:val="cyan"/>
                <w:lang w:val="de-CH"/>
              </w:rPr>
            </w:pPr>
          </w:p>
        </w:tc>
        <w:tc>
          <w:tcPr>
            <w:tcW w:w="992" w:type="dxa"/>
            <w:shd w:val="clear" w:color="auto" w:fill="auto"/>
          </w:tcPr>
          <w:p w14:paraId="6D608F44" w14:textId="77777777" w:rsidR="00B128DA" w:rsidRPr="00885CAE" w:rsidRDefault="00B128DA" w:rsidP="008D65C6">
            <w:pPr>
              <w:spacing w:before="0" w:after="0" w:line="240" w:lineRule="auto"/>
              <w:rPr>
                <w:rFonts w:cs="Arial"/>
                <w:sz w:val="16"/>
                <w:szCs w:val="16"/>
                <w:lang w:val="de-CH"/>
              </w:rPr>
            </w:pPr>
          </w:p>
        </w:tc>
      </w:tr>
      <w:tr w:rsidR="009D74D1" w:rsidRPr="00885CAE" w14:paraId="5442940D" w14:textId="77777777" w:rsidTr="000E6A63">
        <w:tc>
          <w:tcPr>
            <w:tcW w:w="531" w:type="dxa"/>
            <w:vMerge w:val="restart"/>
            <w:shd w:val="clear" w:color="auto" w:fill="auto"/>
          </w:tcPr>
          <w:p w14:paraId="0BCE615A" w14:textId="77777777" w:rsidR="009D74D1" w:rsidRPr="00885CAE" w:rsidRDefault="009D74D1" w:rsidP="000E6A63">
            <w:pPr>
              <w:spacing w:before="0" w:after="0" w:line="240" w:lineRule="auto"/>
              <w:rPr>
                <w:rFonts w:cs="Arial"/>
                <w:sz w:val="16"/>
                <w:szCs w:val="16"/>
                <w:lang w:val="de-CH"/>
              </w:rPr>
            </w:pPr>
          </w:p>
        </w:tc>
        <w:tc>
          <w:tcPr>
            <w:tcW w:w="1596" w:type="dxa"/>
            <w:vMerge w:val="restart"/>
            <w:shd w:val="clear" w:color="auto" w:fill="auto"/>
          </w:tcPr>
          <w:p w14:paraId="07796FCD" w14:textId="79B7A842" w:rsidR="009D74D1" w:rsidRPr="0044708D" w:rsidRDefault="009D74D1" w:rsidP="000E6A63">
            <w:pPr>
              <w:spacing w:before="0" w:after="0" w:line="240" w:lineRule="auto"/>
              <w:rPr>
                <w:rFonts w:cs="Arial"/>
                <w:b/>
                <w:sz w:val="16"/>
                <w:szCs w:val="16"/>
                <w:lang w:val="de-CH"/>
              </w:rPr>
            </w:pPr>
            <w:r w:rsidRPr="0044708D">
              <w:rPr>
                <w:b/>
                <w:sz w:val="16"/>
                <w:lang w:val="de-CH"/>
              </w:rPr>
              <w:t>Offenlegung Corporate Governance</w:t>
            </w:r>
          </w:p>
          <w:p w14:paraId="58C2B51F" w14:textId="0FFF5CDC" w:rsidR="009D74D1" w:rsidRPr="00D12F4A" w:rsidRDefault="009D74D1" w:rsidP="000E6A63">
            <w:pPr>
              <w:spacing w:before="0" w:after="0" w:line="240" w:lineRule="auto"/>
              <w:rPr>
                <w:rFonts w:cs="Arial"/>
                <w:b/>
                <w:sz w:val="16"/>
                <w:szCs w:val="16"/>
                <w:lang w:val="de-CH"/>
              </w:rPr>
            </w:pPr>
          </w:p>
          <w:p w14:paraId="529A0FFB" w14:textId="5D3ABC4F" w:rsidR="00C30EC9" w:rsidRPr="0044708D" w:rsidRDefault="00C30EC9" w:rsidP="000E6A63">
            <w:pPr>
              <w:spacing w:before="0" w:after="0" w:line="240" w:lineRule="auto"/>
              <w:rPr>
                <w:rFonts w:cs="Arial"/>
                <w:b/>
                <w:sz w:val="16"/>
                <w:szCs w:val="16"/>
                <w:lang w:val="de-CH"/>
              </w:rPr>
            </w:pPr>
            <w:r w:rsidRPr="00D12F4A">
              <w:rPr>
                <w:rFonts w:cs="Arial"/>
                <w:b/>
                <w:sz w:val="16"/>
                <w:szCs w:val="16"/>
                <w:lang w:val="de-CH"/>
              </w:rPr>
              <w:lastRenderedPageBreak/>
              <w:t>(</w:t>
            </w:r>
            <w:r w:rsidR="008C4690" w:rsidRPr="00D12F4A">
              <w:rPr>
                <w:rFonts w:cs="Arial"/>
                <w:b/>
                <w:sz w:val="16"/>
                <w:szCs w:val="16"/>
                <w:lang w:val="de-CH"/>
              </w:rPr>
              <w:t xml:space="preserve">Rz 14.1, 20, 41.1, </w:t>
            </w:r>
            <w:r w:rsidRPr="00D12F4A">
              <w:rPr>
                <w:rFonts w:cs="Arial"/>
                <w:b/>
                <w:sz w:val="16"/>
                <w:szCs w:val="16"/>
                <w:lang w:val="de-CH"/>
              </w:rPr>
              <w:t>Anhang</w:t>
            </w:r>
            <w:r w:rsidR="0044708D">
              <w:rPr>
                <w:rFonts w:cs="Arial"/>
                <w:b/>
                <w:sz w:val="16"/>
                <w:szCs w:val="16"/>
                <w:lang w:val="de-CH"/>
              </w:rPr>
              <w:t xml:space="preserve"> 4 </w:t>
            </w:r>
            <w:r w:rsidRPr="00D12F4A">
              <w:rPr>
                <w:rFonts w:cs="Arial"/>
                <w:b/>
                <w:sz w:val="16"/>
                <w:szCs w:val="16"/>
                <w:lang w:val="de-CH"/>
              </w:rPr>
              <w:t>FINMA-RS 16/1)</w:t>
            </w:r>
            <w:r w:rsidR="00333D0B" w:rsidRPr="0044708D">
              <w:rPr>
                <w:rStyle w:val="Funotenzeichen"/>
                <w:rFonts w:cs="Arial"/>
                <w:b/>
                <w:sz w:val="16"/>
                <w:szCs w:val="16"/>
                <w:lang w:val="de-CH"/>
              </w:rPr>
              <w:footnoteReference w:id="4"/>
            </w:r>
          </w:p>
          <w:p w14:paraId="0831E3C4" w14:textId="77777777" w:rsidR="009D74D1" w:rsidRPr="00D12F4A" w:rsidRDefault="009D74D1" w:rsidP="009D74D1">
            <w:pPr>
              <w:spacing w:before="0" w:after="0" w:line="240" w:lineRule="auto"/>
              <w:rPr>
                <w:rFonts w:cs="Arial"/>
                <w:b/>
                <w:sz w:val="16"/>
                <w:szCs w:val="16"/>
                <w:lang w:val="de-CH"/>
              </w:rPr>
            </w:pPr>
          </w:p>
        </w:tc>
        <w:tc>
          <w:tcPr>
            <w:tcW w:w="3685" w:type="dxa"/>
            <w:shd w:val="clear" w:color="auto" w:fill="auto"/>
          </w:tcPr>
          <w:p w14:paraId="7CFB95BD" w14:textId="4AFF3C6E" w:rsidR="009D74D1" w:rsidRPr="00DE3CF0" w:rsidRDefault="00EB27D8" w:rsidP="000E6A63">
            <w:pPr>
              <w:pStyle w:val="Bullet"/>
              <w:numPr>
                <w:ilvl w:val="0"/>
                <w:numId w:val="0"/>
              </w:numPr>
              <w:spacing w:before="0" w:after="0"/>
              <w:rPr>
                <w:i/>
                <w:lang w:val="de-CH"/>
              </w:rPr>
            </w:pPr>
            <w:r>
              <w:rPr>
                <w:i/>
                <w:lang w:val="de-CH"/>
              </w:rPr>
              <w:lastRenderedPageBreak/>
              <w:t>Beurteilung, ob die Publikationspflichten bezüglich Corporate Governance nach Massgabe der Grösse und der Geschäfts- und Organisationskomplexität des Instituts angemessen wahrgenommen wurden.</w:t>
            </w:r>
          </w:p>
        </w:tc>
        <w:tc>
          <w:tcPr>
            <w:tcW w:w="3827" w:type="dxa"/>
            <w:shd w:val="clear" w:color="auto" w:fill="auto"/>
          </w:tcPr>
          <w:p w14:paraId="5AAC750F" w14:textId="77777777" w:rsidR="009D74D1" w:rsidRPr="00DE3CF0" w:rsidRDefault="009D74D1" w:rsidP="000E6A63">
            <w:pPr>
              <w:pStyle w:val="Bullet"/>
              <w:numPr>
                <w:ilvl w:val="0"/>
                <w:numId w:val="0"/>
              </w:numPr>
              <w:spacing w:before="0" w:after="0"/>
              <w:ind w:left="34"/>
              <w:rPr>
                <w:lang w:val="de-CH"/>
              </w:rPr>
            </w:pPr>
          </w:p>
        </w:tc>
        <w:tc>
          <w:tcPr>
            <w:tcW w:w="3686" w:type="dxa"/>
            <w:shd w:val="clear" w:color="auto" w:fill="auto"/>
          </w:tcPr>
          <w:p w14:paraId="2513B4F7" w14:textId="77777777" w:rsidR="009D74D1" w:rsidRPr="00885CAE" w:rsidRDefault="009D74D1" w:rsidP="000E6A63">
            <w:pPr>
              <w:spacing w:before="0" w:after="0" w:line="240" w:lineRule="auto"/>
              <w:rPr>
                <w:rFonts w:cs="Arial"/>
                <w:sz w:val="16"/>
                <w:szCs w:val="16"/>
                <w:highlight w:val="cyan"/>
                <w:lang w:val="de-CH"/>
              </w:rPr>
            </w:pPr>
          </w:p>
        </w:tc>
        <w:tc>
          <w:tcPr>
            <w:tcW w:w="992" w:type="dxa"/>
            <w:shd w:val="clear" w:color="auto" w:fill="auto"/>
          </w:tcPr>
          <w:p w14:paraId="00122C85" w14:textId="77777777" w:rsidR="009D74D1" w:rsidRPr="00885CAE" w:rsidRDefault="009D74D1" w:rsidP="000E6A63">
            <w:pPr>
              <w:spacing w:before="0" w:after="0" w:line="240" w:lineRule="auto"/>
              <w:rPr>
                <w:rFonts w:cs="Arial"/>
                <w:sz w:val="16"/>
                <w:szCs w:val="16"/>
                <w:lang w:val="de-CH"/>
              </w:rPr>
            </w:pPr>
          </w:p>
        </w:tc>
      </w:tr>
      <w:tr w:rsidR="00D976F3" w:rsidRPr="00885CAE" w14:paraId="35AFE330" w14:textId="77777777" w:rsidTr="000E6A63">
        <w:tc>
          <w:tcPr>
            <w:tcW w:w="531" w:type="dxa"/>
            <w:vMerge/>
            <w:shd w:val="clear" w:color="auto" w:fill="auto"/>
          </w:tcPr>
          <w:p w14:paraId="11465A85" w14:textId="77777777" w:rsidR="00D976F3" w:rsidRPr="00885CAE" w:rsidRDefault="00D976F3" w:rsidP="00D976F3">
            <w:pPr>
              <w:spacing w:before="0" w:after="0" w:line="240" w:lineRule="auto"/>
              <w:rPr>
                <w:rFonts w:cs="Arial"/>
                <w:sz w:val="16"/>
                <w:szCs w:val="16"/>
                <w:lang w:val="de-CH"/>
              </w:rPr>
            </w:pPr>
          </w:p>
        </w:tc>
        <w:tc>
          <w:tcPr>
            <w:tcW w:w="1596" w:type="dxa"/>
            <w:vMerge/>
            <w:shd w:val="clear" w:color="auto" w:fill="auto"/>
          </w:tcPr>
          <w:p w14:paraId="530B4C4C" w14:textId="77777777" w:rsidR="00D976F3" w:rsidRPr="00885CAE" w:rsidRDefault="00D976F3" w:rsidP="00D976F3">
            <w:pPr>
              <w:spacing w:before="0" w:after="0" w:line="240" w:lineRule="auto"/>
              <w:rPr>
                <w:rFonts w:cs="Arial"/>
                <w:b/>
                <w:sz w:val="16"/>
                <w:szCs w:val="16"/>
                <w:lang w:val="de-CH"/>
              </w:rPr>
            </w:pPr>
          </w:p>
        </w:tc>
        <w:tc>
          <w:tcPr>
            <w:tcW w:w="3685" w:type="dxa"/>
            <w:shd w:val="clear" w:color="auto" w:fill="auto"/>
          </w:tcPr>
          <w:p w14:paraId="737AF159" w14:textId="1B746AC5" w:rsidR="00D976F3" w:rsidRDefault="00D976F3" w:rsidP="00A23970">
            <w:pPr>
              <w:pStyle w:val="Bullet"/>
              <w:numPr>
                <w:ilvl w:val="0"/>
                <w:numId w:val="0"/>
              </w:numPr>
              <w:spacing w:before="0" w:after="0"/>
              <w:rPr>
                <w:lang w:val="de-CH"/>
              </w:rPr>
            </w:pPr>
            <w:r>
              <w:rPr>
                <w:lang w:val="de-CH"/>
              </w:rPr>
              <w:t>Durchsicht der Offenlegung zur Corporate Governance. Beurteilung, ob die gemäss Rz 1</w:t>
            </w:r>
            <w:r w:rsidR="00A23970">
              <w:rPr>
                <w:lang w:val="de-CH"/>
              </w:rPr>
              <w:t>–</w:t>
            </w:r>
            <w:r>
              <w:rPr>
                <w:lang w:val="de-CH"/>
              </w:rPr>
              <w:t>6 Anhang 4 FINMA-RS 16/1 er</w:t>
            </w:r>
            <w:r w:rsidR="00B11AA6">
              <w:rPr>
                <w:lang w:val="de-CH"/>
              </w:rPr>
              <w:t>f</w:t>
            </w:r>
            <w:r>
              <w:rPr>
                <w:lang w:val="de-CH"/>
              </w:rPr>
              <w:t>orderlichen Informationen offengelegt</w:t>
            </w:r>
            <w:r w:rsidR="00F72BF2">
              <w:rPr>
                <w:lang w:val="de-CH"/>
              </w:rPr>
              <w:t xml:space="preserve">, </w:t>
            </w:r>
            <w:r>
              <w:rPr>
                <w:lang w:val="de-CH"/>
              </w:rPr>
              <w:t>angemessen erläutert</w:t>
            </w:r>
            <w:r w:rsidR="00F72BF2">
              <w:rPr>
                <w:lang w:val="de-CH"/>
              </w:rPr>
              <w:t xml:space="preserve"> und materielle Veränderungen innerhalb von 3 Monaten auf der Internetseite aktualis</w:t>
            </w:r>
            <w:r w:rsidR="00B11AA6">
              <w:rPr>
                <w:lang w:val="de-CH"/>
              </w:rPr>
              <w:t>i</w:t>
            </w:r>
            <w:r w:rsidR="00F72BF2">
              <w:rPr>
                <w:lang w:val="de-CH"/>
              </w:rPr>
              <w:t>ert wurden.</w:t>
            </w:r>
          </w:p>
        </w:tc>
        <w:tc>
          <w:tcPr>
            <w:tcW w:w="3827" w:type="dxa"/>
            <w:shd w:val="clear" w:color="auto" w:fill="auto"/>
          </w:tcPr>
          <w:p w14:paraId="4E89D932" w14:textId="598591FF" w:rsidR="00D976F3" w:rsidRPr="00C06A90" w:rsidRDefault="00D976F3" w:rsidP="00A23970">
            <w:pPr>
              <w:pStyle w:val="Bullet"/>
              <w:numPr>
                <w:ilvl w:val="0"/>
                <w:numId w:val="0"/>
              </w:numPr>
              <w:spacing w:before="0" w:after="0"/>
              <w:ind w:left="34"/>
              <w:rPr>
                <w:lang w:val="de-CH"/>
              </w:rPr>
            </w:pPr>
            <w:r w:rsidRPr="00C06A90">
              <w:rPr>
                <w:lang w:val="de-CH"/>
              </w:rPr>
              <w:t xml:space="preserve">Prüfung ob die gemäss Rz </w:t>
            </w:r>
            <w:r w:rsidRPr="00D976F3">
              <w:rPr>
                <w:lang w:val="de-CH"/>
              </w:rPr>
              <w:t xml:space="preserve"> 1</w:t>
            </w:r>
            <w:r w:rsidR="00A23970">
              <w:rPr>
                <w:lang w:val="de-CH"/>
              </w:rPr>
              <w:t>–</w:t>
            </w:r>
            <w:r w:rsidRPr="00D976F3">
              <w:rPr>
                <w:lang w:val="de-CH"/>
              </w:rPr>
              <w:t xml:space="preserve">6 Anhang 4 FINMA-RS 16/1 </w:t>
            </w:r>
            <w:r w:rsidRPr="00C06A90">
              <w:rPr>
                <w:lang w:val="de-CH"/>
              </w:rPr>
              <w:t>er</w:t>
            </w:r>
            <w:r w:rsidR="00B11AA6">
              <w:rPr>
                <w:lang w:val="de-CH"/>
              </w:rPr>
              <w:t>f</w:t>
            </w:r>
            <w:r w:rsidRPr="00C06A90">
              <w:rPr>
                <w:lang w:val="de-CH"/>
              </w:rPr>
              <w:t>o</w:t>
            </w:r>
            <w:r w:rsidR="00B11AA6">
              <w:rPr>
                <w:lang w:val="de-CH"/>
              </w:rPr>
              <w:t>r</w:t>
            </w:r>
            <w:r w:rsidRPr="00C06A90">
              <w:rPr>
                <w:lang w:val="de-CH"/>
              </w:rPr>
              <w:t>derlichen Informati</w:t>
            </w:r>
            <w:r w:rsidR="00F72BF2">
              <w:rPr>
                <w:lang w:val="de-CH"/>
              </w:rPr>
              <w:t>o</w:t>
            </w:r>
            <w:r w:rsidRPr="00C06A90">
              <w:rPr>
                <w:lang w:val="de-CH"/>
              </w:rPr>
              <w:t>nen vollständig und korrekt offengelegt wurden.</w:t>
            </w:r>
          </w:p>
        </w:tc>
        <w:tc>
          <w:tcPr>
            <w:tcW w:w="3686" w:type="dxa"/>
            <w:shd w:val="clear" w:color="auto" w:fill="auto"/>
          </w:tcPr>
          <w:p w14:paraId="195E225E" w14:textId="77777777" w:rsidR="00D976F3" w:rsidRPr="00885CAE" w:rsidRDefault="00D976F3" w:rsidP="00D976F3">
            <w:pPr>
              <w:spacing w:before="0" w:after="0" w:line="240" w:lineRule="auto"/>
              <w:rPr>
                <w:rFonts w:cs="Arial"/>
                <w:sz w:val="16"/>
                <w:szCs w:val="16"/>
                <w:highlight w:val="cyan"/>
                <w:lang w:val="de-CH"/>
              </w:rPr>
            </w:pPr>
          </w:p>
        </w:tc>
        <w:tc>
          <w:tcPr>
            <w:tcW w:w="992" w:type="dxa"/>
            <w:shd w:val="clear" w:color="auto" w:fill="auto"/>
          </w:tcPr>
          <w:p w14:paraId="4B592366" w14:textId="77777777" w:rsidR="00D976F3" w:rsidRPr="00885CAE" w:rsidRDefault="00D976F3" w:rsidP="00D976F3">
            <w:pPr>
              <w:spacing w:before="0" w:after="0" w:line="240" w:lineRule="auto"/>
              <w:rPr>
                <w:rFonts w:cs="Arial"/>
                <w:sz w:val="16"/>
                <w:szCs w:val="16"/>
                <w:lang w:val="de-CH"/>
              </w:rPr>
            </w:pPr>
          </w:p>
        </w:tc>
      </w:tr>
      <w:tr w:rsidR="00D976F3" w:rsidRPr="00885CAE" w14:paraId="039CEEEC" w14:textId="77777777" w:rsidTr="000E6A63">
        <w:tc>
          <w:tcPr>
            <w:tcW w:w="531" w:type="dxa"/>
            <w:vMerge/>
            <w:shd w:val="clear" w:color="auto" w:fill="auto"/>
          </w:tcPr>
          <w:p w14:paraId="1936973C" w14:textId="77777777" w:rsidR="00D976F3" w:rsidRPr="00885CAE" w:rsidRDefault="00D976F3" w:rsidP="00D976F3">
            <w:pPr>
              <w:spacing w:before="0" w:after="0" w:line="240" w:lineRule="auto"/>
              <w:rPr>
                <w:rFonts w:cs="Arial"/>
                <w:sz w:val="16"/>
                <w:szCs w:val="16"/>
                <w:lang w:val="de-CH"/>
              </w:rPr>
            </w:pPr>
          </w:p>
        </w:tc>
        <w:tc>
          <w:tcPr>
            <w:tcW w:w="1596" w:type="dxa"/>
            <w:vMerge/>
            <w:shd w:val="clear" w:color="auto" w:fill="auto"/>
          </w:tcPr>
          <w:p w14:paraId="5E54981C" w14:textId="77777777" w:rsidR="00D976F3" w:rsidRPr="00885CAE" w:rsidRDefault="00D976F3" w:rsidP="00D976F3">
            <w:pPr>
              <w:spacing w:before="0" w:after="0" w:line="240" w:lineRule="auto"/>
              <w:rPr>
                <w:rFonts w:cs="Arial"/>
                <w:b/>
                <w:sz w:val="16"/>
                <w:szCs w:val="16"/>
                <w:lang w:val="de-CH"/>
              </w:rPr>
            </w:pPr>
          </w:p>
        </w:tc>
        <w:tc>
          <w:tcPr>
            <w:tcW w:w="3685" w:type="dxa"/>
            <w:shd w:val="clear" w:color="auto" w:fill="auto"/>
          </w:tcPr>
          <w:p w14:paraId="6E5C56AA" w14:textId="356CEC80" w:rsidR="00D976F3" w:rsidRPr="00DE3CF0" w:rsidRDefault="00D976F3">
            <w:pPr>
              <w:pStyle w:val="Bullet"/>
              <w:numPr>
                <w:ilvl w:val="0"/>
                <w:numId w:val="0"/>
              </w:numPr>
              <w:spacing w:before="0" w:after="0"/>
              <w:rPr>
                <w:lang w:val="de-CH"/>
              </w:rPr>
            </w:pPr>
            <w:r w:rsidRPr="00C06A90">
              <w:rPr>
                <w:b/>
                <w:sz w:val="28"/>
                <w:lang w:val="de-CH"/>
              </w:rPr>
              <w:t>*</w:t>
            </w:r>
            <w:r>
              <w:rPr>
                <w:lang w:val="de-CH"/>
              </w:rPr>
              <w:t xml:space="preserve"> </w:t>
            </w:r>
            <w:r w:rsidR="00A23970">
              <w:rPr>
                <w:lang w:val="de-CH"/>
              </w:rPr>
              <w:t>Beurteilung, ob die gemäss Rz 7–</w:t>
            </w:r>
            <w:r>
              <w:rPr>
                <w:lang w:val="de-CH"/>
              </w:rPr>
              <w:t>13 Anhang 4 FINMA-RS 16/1 er</w:t>
            </w:r>
            <w:r w:rsidR="00B11AA6">
              <w:rPr>
                <w:lang w:val="de-CH"/>
              </w:rPr>
              <w:t>f</w:t>
            </w:r>
            <w:r>
              <w:rPr>
                <w:lang w:val="de-CH"/>
              </w:rPr>
              <w:t xml:space="preserve">orderlichen Informationen </w:t>
            </w:r>
            <w:r w:rsidR="00F72BF2">
              <w:rPr>
                <w:lang w:val="de-CH"/>
              </w:rPr>
              <w:t>offengelegt, angemessen erläutert und materielle Veränderungen innerhalb von 3 Monaten auf der Internetseite aktualis</w:t>
            </w:r>
            <w:r w:rsidR="007D5E48">
              <w:rPr>
                <w:lang w:val="de-CH"/>
              </w:rPr>
              <w:t>i</w:t>
            </w:r>
            <w:bookmarkStart w:id="0" w:name="_GoBack"/>
            <w:bookmarkEnd w:id="0"/>
            <w:r w:rsidR="00F72BF2">
              <w:rPr>
                <w:lang w:val="de-CH"/>
              </w:rPr>
              <w:t>ert wurden.</w:t>
            </w:r>
          </w:p>
        </w:tc>
        <w:tc>
          <w:tcPr>
            <w:tcW w:w="3827" w:type="dxa"/>
            <w:shd w:val="clear" w:color="auto" w:fill="auto"/>
          </w:tcPr>
          <w:p w14:paraId="6775B88F" w14:textId="143FC71F" w:rsidR="00D976F3" w:rsidRPr="00DE3CF0" w:rsidRDefault="00D976F3" w:rsidP="00A23970">
            <w:pPr>
              <w:pStyle w:val="Bullet"/>
              <w:numPr>
                <w:ilvl w:val="0"/>
                <w:numId w:val="0"/>
              </w:numPr>
              <w:spacing w:before="0" w:after="0"/>
              <w:ind w:left="34"/>
              <w:rPr>
                <w:i/>
                <w:lang w:val="de-CH"/>
              </w:rPr>
            </w:pPr>
            <w:r w:rsidRPr="00C06A90">
              <w:rPr>
                <w:b/>
                <w:sz w:val="28"/>
                <w:lang w:val="de-CH"/>
              </w:rPr>
              <w:t>*</w:t>
            </w:r>
            <w:r>
              <w:rPr>
                <w:lang w:val="de-CH"/>
              </w:rPr>
              <w:t xml:space="preserve"> </w:t>
            </w:r>
            <w:r w:rsidRPr="0001280B">
              <w:rPr>
                <w:lang w:val="de-CH"/>
              </w:rPr>
              <w:t xml:space="preserve">Prüfung ob die gemäss Rz </w:t>
            </w:r>
            <w:r>
              <w:rPr>
                <w:lang w:val="de-CH"/>
              </w:rPr>
              <w:t xml:space="preserve"> 7</w:t>
            </w:r>
            <w:r w:rsidR="00A23970">
              <w:rPr>
                <w:lang w:val="de-CH"/>
              </w:rPr>
              <w:t>–</w:t>
            </w:r>
            <w:r>
              <w:rPr>
                <w:lang w:val="de-CH"/>
              </w:rPr>
              <w:t>13</w:t>
            </w:r>
            <w:r w:rsidRPr="0001280B">
              <w:rPr>
                <w:lang w:val="de-CH"/>
              </w:rPr>
              <w:t xml:space="preserve"> Anhang 4 FINMA-RS 16/1 er</w:t>
            </w:r>
            <w:r w:rsidR="00B11AA6">
              <w:rPr>
                <w:lang w:val="de-CH"/>
              </w:rPr>
              <w:t>f</w:t>
            </w:r>
            <w:r w:rsidRPr="0001280B">
              <w:rPr>
                <w:lang w:val="de-CH"/>
              </w:rPr>
              <w:t>o</w:t>
            </w:r>
            <w:r w:rsidR="00B11AA6">
              <w:rPr>
                <w:lang w:val="de-CH"/>
              </w:rPr>
              <w:t>r</w:t>
            </w:r>
            <w:r w:rsidRPr="0001280B">
              <w:rPr>
                <w:lang w:val="de-CH"/>
              </w:rPr>
              <w:t>derlichen Informati</w:t>
            </w:r>
            <w:r w:rsidR="00F72BF2">
              <w:rPr>
                <w:lang w:val="de-CH"/>
              </w:rPr>
              <w:t>o</w:t>
            </w:r>
            <w:r w:rsidRPr="0001280B">
              <w:rPr>
                <w:lang w:val="de-CH"/>
              </w:rPr>
              <w:t>nen vollständig und korrekt offengelegt wurden.</w:t>
            </w:r>
          </w:p>
        </w:tc>
        <w:tc>
          <w:tcPr>
            <w:tcW w:w="3686" w:type="dxa"/>
            <w:shd w:val="clear" w:color="auto" w:fill="auto"/>
          </w:tcPr>
          <w:p w14:paraId="2A362915" w14:textId="77777777" w:rsidR="00D976F3" w:rsidRPr="00885CAE" w:rsidRDefault="00D976F3" w:rsidP="00D976F3">
            <w:pPr>
              <w:spacing w:before="0" w:after="0" w:line="240" w:lineRule="auto"/>
              <w:rPr>
                <w:rFonts w:cs="Arial"/>
                <w:sz w:val="16"/>
                <w:szCs w:val="16"/>
                <w:highlight w:val="cyan"/>
                <w:lang w:val="de-CH"/>
              </w:rPr>
            </w:pPr>
          </w:p>
        </w:tc>
        <w:tc>
          <w:tcPr>
            <w:tcW w:w="992" w:type="dxa"/>
            <w:shd w:val="clear" w:color="auto" w:fill="auto"/>
          </w:tcPr>
          <w:p w14:paraId="7AD2CA04" w14:textId="77777777" w:rsidR="00D976F3" w:rsidRPr="00885CAE" w:rsidRDefault="00D976F3" w:rsidP="00D976F3">
            <w:pPr>
              <w:spacing w:before="0" w:after="0" w:line="240" w:lineRule="auto"/>
              <w:rPr>
                <w:rFonts w:cs="Arial"/>
                <w:sz w:val="16"/>
                <w:szCs w:val="16"/>
                <w:lang w:val="de-CH"/>
              </w:rPr>
            </w:pPr>
          </w:p>
        </w:tc>
      </w:tr>
    </w:tbl>
    <w:p w14:paraId="7F00DF6A" w14:textId="77777777" w:rsidR="001B128C" w:rsidRDefault="001B128C">
      <w:pPr>
        <w:spacing w:before="0" w:after="200"/>
        <w:rPr>
          <w:rFonts w:cs="Arial"/>
          <w:lang w:val="de-CH"/>
        </w:rPr>
      </w:pPr>
      <w:r>
        <w:rPr>
          <w:rFonts w:cs="Arial"/>
          <w:lang w:val="de-CH"/>
        </w:rPr>
        <w:br w:type="page"/>
      </w:r>
    </w:p>
    <w:p w14:paraId="4855729F" w14:textId="459F58C5" w:rsidR="001B128C" w:rsidRPr="0044708D" w:rsidRDefault="001B128C" w:rsidP="001B128C">
      <w:pPr>
        <w:spacing w:before="0" w:after="0" w:line="240" w:lineRule="auto"/>
        <w:rPr>
          <w:b/>
          <w:u w:val="single"/>
          <w:lang w:val="de-CH"/>
        </w:rPr>
      </w:pPr>
      <w:r w:rsidRPr="001B128C">
        <w:rPr>
          <w:b/>
          <w:lang w:val="de-CH"/>
        </w:rPr>
        <w:lastRenderedPageBreak/>
        <w:t xml:space="preserve">Prüfprogramm – </w:t>
      </w:r>
      <w:r w:rsidRPr="001B128C">
        <w:rPr>
          <w:b/>
          <w:u w:val="single"/>
          <w:lang w:val="de-CH"/>
        </w:rPr>
        <w:t>Interne Organisation und internes Kontrollsystem –</w:t>
      </w:r>
      <w:r w:rsidR="00031355" w:rsidRPr="0044708D">
        <w:rPr>
          <w:b/>
          <w:u w:val="single"/>
          <w:lang w:val="de-CH"/>
        </w:rPr>
        <w:t>Risikopolitik sowie Grun</w:t>
      </w:r>
      <w:r w:rsidR="00031355" w:rsidRPr="00D12F4A">
        <w:rPr>
          <w:b/>
          <w:u w:val="single"/>
          <w:lang w:val="de-CH"/>
        </w:rPr>
        <w:t xml:space="preserve">dzüge </w:t>
      </w:r>
      <w:r w:rsidRPr="00D12F4A">
        <w:rPr>
          <w:b/>
          <w:u w:val="single"/>
          <w:lang w:val="de-CH"/>
        </w:rPr>
        <w:t>für da</w:t>
      </w:r>
      <w:r>
        <w:rPr>
          <w:b/>
          <w:u w:val="single"/>
          <w:lang w:val="de-CH"/>
        </w:rPr>
        <w:t>s institutsweite Risikomanagement</w:t>
      </w:r>
    </w:p>
    <w:p w14:paraId="111B2B3C" w14:textId="77777777" w:rsidR="001B128C" w:rsidRPr="0044708D" w:rsidRDefault="001B128C" w:rsidP="001B128C">
      <w:pPr>
        <w:spacing w:before="0" w:after="0" w:line="240" w:lineRule="auto"/>
        <w:rPr>
          <w:b/>
          <w:u w:val="single"/>
          <w:lang w:val="de-CH"/>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1B128C" w:rsidRPr="001B128C" w14:paraId="667C9CE4" w14:textId="77777777" w:rsidTr="00D43861">
        <w:trPr>
          <w:tblHeader/>
        </w:trPr>
        <w:tc>
          <w:tcPr>
            <w:tcW w:w="531" w:type="dxa"/>
            <w:tcBorders>
              <w:bottom w:val="single" w:sz="4" w:space="0" w:color="auto"/>
            </w:tcBorders>
            <w:shd w:val="pct20" w:color="auto" w:fill="auto"/>
          </w:tcPr>
          <w:p w14:paraId="5A565EBC" w14:textId="77777777" w:rsidR="001B128C" w:rsidRPr="001B128C" w:rsidRDefault="001B128C" w:rsidP="001B128C">
            <w:pPr>
              <w:spacing w:before="0" w:after="0" w:line="240" w:lineRule="auto"/>
              <w:rPr>
                <w:rFonts w:cs="Arial"/>
                <w:b/>
                <w:sz w:val="16"/>
                <w:szCs w:val="16"/>
                <w:lang w:val="de-CH"/>
              </w:rPr>
            </w:pPr>
            <w:r w:rsidRPr="001B128C">
              <w:rPr>
                <w:b/>
                <w:sz w:val="16"/>
                <w:lang w:val="de-CH"/>
              </w:rPr>
              <w:t>Nr.</w:t>
            </w:r>
          </w:p>
        </w:tc>
        <w:tc>
          <w:tcPr>
            <w:tcW w:w="1596" w:type="dxa"/>
            <w:tcBorders>
              <w:bottom w:val="single" w:sz="4" w:space="0" w:color="auto"/>
            </w:tcBorders>
            <w:shd w:val="pct20" w:color="auto" w:fill="auto"/>
          </w:tcPr>
          <w:p w14:paraId="3E7D2624" w14:textId="77777777" w:rsidR="001B128C" w:rsidRPr="001B128C" w:rsidRDefault="001B128C" w:rsidP="001B128C">
            <w:pPr>
              <w:spacing w:before="0" w:after="0" w:line="240" w:lineRule="auto"/>
              <w:rPr>
                <w:rFonts w:cs="Arial"/>
                <w:b/>
                <w:sz w:val="16"/>
                <w:szCs w:val="16"/>
                <w:lang w:val="de-CH"/>
              </w:rPr>
            </w:pPr>
            <w:r w:rsidRPr="001B128C">
              <w:rPr>
                <w:b/>
                <w:sz w:val="16"/>
                <w:lang w:val="de-CH"/>
              </w:rPr>
              <w:t>Thema:</w:t>
            </w:r>
          </w:p>
        </w:tc>
        <w:tc>
          <w:tcPr>
            <w:tcW w:w="3685" w:type="dxa"/>
            <w:tcBorders>
              <w:bottom w:val="single" w:sz="4" w:space="0" w:color="auto"/>
            </w:tcBorders>
            <w:shd w:val="pct20" w:color="auto" w:fill="auto"/>
          </w:tcPr>
          <w:p w14:paraId="622D16BB" w14:textId="0D1D45F3" w:rsidR="001B128C" w:rsidRPr="001B128C" w:rsidRDefault="001B128C" w:rsidP="001B128C">
            <w:pPr>
              <w:spacing w:before="0" w:after="0" w:line="240" w:lineRule="auto"/>
              <w:rPr>
                <w:rFonts w:cs="Arial"/>
                <w:b/>
                <w:sz w:val="16"/>
                <w:szCs w:val="16"/>
                <w:lang w:val="de-CH"/>
              </w:rPr>
            </w:pPr>
            <w:r w:rsidRPr="001B128C">
              <w:rPr>
                <w:b/>
                <w:sz w:val="16"/>
                <w:lang w:val="de-CH"/>
              </w:rPr>
              <w:t>Prüfungshandlungen für Prüftiefe „kritische Beurteilung“:</w:t>
            </w:r>
          </w:p>
        </w:tc>
        <w:tc>
          <w:tcPr>
            <w:tcW w:w="3827" w:type="dxa"/>
            <w:tcBorders>
              <w:bottom w:val="single" w:sz="4" w:space="0" w:color="auto"/>
            </w:tcBorders>
            <w:shd w:val="pct20" w:color="auto" w:fill="auto"/>
          </w:tcPr>
          <w:p w14:paraId="76CDF419" w14:textId="37114096" w:rsidR="001B128C" w:rsidRPr="001B128C" w:rsidRDefault="001B128C" w:rsidP="001B380C">
            <w:pPr>
              <w:spacing w:before="0" w:after="0" w:line="240" w:lineRule="auto"/>
              <w:rPr>
                <w:rFonts w:cs="Arial"/>
                <w:b/>
                <w:sz w:val="16"/>
                <w:szCs w:val="16"/>
                <w:lang w:val="de-CH"/>
              </w:rPr>
            </w:pPr>
            <w:r w:rsidRPr="001B128C">
              <w:rPr>
                <w:b/>
                <w:sz w:val="16"/>
                <w:u w:val="single"/>
                <w:lang w:val="de-CH"/>
              </w:rPr>
              <w:t>Zusätzliche</w:t>
            </w:r>
            <w:r w:rsidRPr="001B128C">
              <w:rPr>
                <w:b/>
                <w:sz w:val="16"/>
                <w:lang w:val="de-CH"/>
              </w:rPr>
              <w:t xml:space="preserve"> Prüfungshandlungen für Prüftiefe „Prüfung“:</w:t>
            </w:r>
          </w:p>
        </w:tc>
        <w:tc>
          <w:tcPr>
            <w:tcW w:w="3686" w:type="dxa"/>
            <w:tcBorders>
              <w:bottom w:val="single" w:sz="4" w:space="0" w:color="auto"/>
            </w:tcBorders>
            <w:shd w:val="pct20" w:color="auto" w:fill="auto"/>
          </w:tcPr>
          <w:p w14:paraId="561A6010" w14:textId="77777777" w:rsidR="001B128C" w:rsidRPr="001B128C" w:rsidRDefault="001B128C" w:rsidP="001B128C">
            <w:pPr>
              <w:spacing w:before="0" w:after="0" w:line="240" w:lineRule="auto"/>
              <w:rPr>
                <w:rFonts w:cs="Arial"/>
                <w:b/>
                <w:sz w:val="16"/>
                <w:szCs w:val="16"/>
                <w:lang w:val="de-CH"/>
              </w:rPr>
            </w:pPr>
            <w:r w:rsidRPr="001B128C">
              <w:rPr>
                <w:b/>
                <w:sz w:val="16"/>
                <w:lang w:val="de-CH"/>
              </w:rPr>
              <w:t>Durchgeführte Prüfungshandlungen / Feststellungen</w:t>
            </w:r>
          </w:p>
        </w:tc>
        <w:tc>
          <w:tcPr>
            <w:tcW w:w="992" w:type="dxa"/>
            <w:tcBorders>
              <w:bottom w:val="single" w:sz="4" w:space="0" w:color="auto"/>
            </w:tcBorders>
            <w:shd w:val="pct20" w:color="auto" w:fill="auto"/>
          </w:tcPr>
          <w:p w14:paraId="4CE41EC0" w14:textId="77777777" w:rsidR="001B128C" w:rsidRPr="001B128C" w:rsidRDefault="001B128C" w:rsidP="001B128C">
            <w:pPr>
              <w:spacing w:before="0" w:after="0" w:line="240" w:lineRule="auto"/>
              <w:rPr>
                <w:rFonts w:cs="Arial"/>
                <w:b/>
                <w:sz w:val="16"/>
                <w:szCs w:val="16"/>
                <w:lang w:val="de-CH"/>
              </w:rPr>
            </w:pPr>
            <w:r w:rsidRPr="001B128C">
              <w:rPr>
                <w:b/>
                <w:sz w:val="16"/>
                <w:lang w:val="de-CH"/>
              </w:rPr>
              <w:t xml:space="preserve">Arbeitspapiere </w:t>
            </w:r>
            <w:proofErr w:type="spellStart"/>
            <w:r w:rsidRPr="001B128C">
              <w:rPr>
                <w:b/>
                <w:sz w:val="16"/>
                <w:lang w:val="de-CH"/>
              </w:rPr>
              <w:t>Ref</w:t>
            </w:r>
            <w:proofErr w:type="spellEnd"/>
            <w:r w:rsidRPr="001B128C">
              <w:rPr>
                <w:b/>
                <w:sz w:val="16"/>
                <w:lang w:val="de-CH"/>
              </w:rPr>
              <w:t>.:</w:t>
            </w:r>
          </w:p>
        </w:tc>
      </w:tr>
      <w:tr w:rsidR="001B128C" w:rsidRPr="00D6498A" w14:paraId="1982C3BC" w14:textId="77777777" w:rsidTr="00D43861">
        <w:tc>
          <w:tcPr>
            <w:tcW w:w="14317" w:type="dxa"/>
            <w:gridSpan w:val="6"/>
            <w:shd w:val="pct10" w:color="auto" w:fill="auto"/>
          </w:tcPr>
          <w:p w14:paraId="50243E9C" w14:textId="3E1946A6" w:rsidR="001B128C" w:rsidRPr="00617203" w:rsidRDefault="001B128C" w:rsidP="001B128C">
            <w:pPr>
              <w:spacing w:before="0" w:after="0" w:line="240" w:lineRule="auto"/>
              <w:rPr>
                <w:rFonts w:cs="Arial"/>
                <w:i/>
                <w:sz w:val="16"/>
                <w:szCs w:val="16"/>
                <w:highlight w:val="cyan"/>
                <w:lang w:val="fr-CH"/>
              </w:rPr>
            </w:pPr>
          </w:p>
        </w:tc>
      </w:tr>
      <w:tr w:rsidR="001B128C" w:rsidRPr="001B128C" w14:paraId="1E1354F5" w14:textId="77777777" w:rsidTr="00D43861">
        <w:tc>
          <w:tcPr>
            <w:tcW w:w="531" w:type="dxa"/>
            <w:vMerge w:val="restart"/>
            <w:shd w:val="clear" w:color="auto" w:fill="auto"/>
          </w:tcPr>
          <w:p w14:paraId="489BCDB3" w14:textId="77777777" w:rsidR="001B128C" w:rsidRPr="00617203" w:rsidRDefault="001B128C" w:rsidP="001B128C">
            <w:pPr>
              <w:spacing w:before="0" w:after="0" w:line="240" w:lineRule="auto"/>
              <w:rPr>
                <w:rFonts w:cs="Arial"/>
                <w:sz w:val="16"/>
                <w:szCs w:val="16"/>
                <w:highlight w:val="cyan"/>
                <w:lang w:val="fr-CH"/>
              </w:rPr>
            </w:pPr>
          </w:p>
        </w:tc>
        <w:tc>
          <w:tcPr>
            <w:tcW w:w="1596" w:type="dxa"/>
            <w:vMerge w:val="restart"/>
            <w:shd w:val="clear" w:color="auto" w:fill="auto"/>
          </w:tcPr>
          <w:p w14:paraId="331A46FA" w14:textId="2BE79502" w:rsidR="001B128C" w:rsidRDefault="00031355" w:rsidP="001B128C">
            <w:pPr>
              <w:spacing w:before="0" w:after="0" w:line="240" w:lineRule="auto"/>
              <w:rPr>
                <w:sz w:val="16"/>
                <w:lang w:val="de-CH"/>
              </w:rPr>
            </w:pPr>
            <w:r w:rsidRPr="00251AE5">
              <w:rPr>
                <w:b/>
                <w:sz w:val="16"/>
                <w:szCs w:val="16"/>
                <w:lang w:val="de-CH"/>
              </w:rPr>
              <w:t>Risikopolitik</w:t>
            </w:r>
            <w:r w:rsidRPr="00251AE5">
              <w:rPr>
                <w:b/>
                <w:lang w:val="de-CH"/>
              </w:rPr>
              <w:t xml:space="preserve"> </w:t>
            </w:r>
            <w:r w:rsidRPr="00251AE5">
              <w:rPr>
                <w:b/>
                <w:sz w:val="16"/>
                <w:szCs w:val="16"/>
                <w:lang w:val="de-CH"/>
              </w:rPr>
              <w:t>sowie die Grundzüge für das institutsweite Risikomanagement</w:t>
            </w:r>
          </w:p>
          <w:p w14:paraId="466C5B84" w14:textId="105BD091" w:rsidR="002F6C79" w:rsidRPr="00251AE5" w:rsidRDefault="002F6C79" w:rsidP="00FF2DF9">
            <w:pPr>
              <w:spacing w:before="0" w:after="0" w:line="240" w:lineRule="auto"/>
              <w:rPr>
                <w:rFonts w:cs="Arial"/>
                <w:sz w:val="16"/>
                <w:szCs w:val="16"/>
                <w:lang w:val="de-CH"/>
              </w:rPr>
            </w:pPr>
            <w:r w:rsidRPr="00C06A90">
              <w:rPr>
                <w:sz w:val="16"/>
                <w:lang w:val="de-CH"/>
              </w:rPr>
              <w:t xml:space="preserve">Art. 12 Abs. 2 BankV und Art. </w:t>
            </w:r>
            <w:r w:rsidR="00FF2DF9">
              <w:rPr>
                <w:sz w:val="16"/>
                <w:lang w:val="de-CH"/>
              </w:rPr>
              <w:t>68 FINIV</w:t>
            </w:r>
          </w:p>
        </w:tc>
        <w:tc>
          <w:tcPr>
            <w:tcW w:w="3685" w:type="dxa"/>
            <w:shd w:val="clear" w:color="auto" w:fill="auto"/>
          </w:tcPr>
          <w:p w14:paraId="45FF9F42" w14:textId="79535B3B" w:rsidR="001B128C" w:rsidRPr="00141559" w:rsidRDefault="001B128C" w:rsidP="00031355">
            <w:pPr>
              <w:spacing w:before="0" w:after="0" w:line="240" w:lineRule="auto"/>
              <w:rPr>
                <w:rFonts w:cs="Arial"/>
                <w:i/>
                <w:sz w:val="16"/>
                <w:szCs w:val="16"/>
                <w:lang w:val="de-CH"/>
              </w:rPr>
            </w:pPr>
            <w:r w:rsidRPr="00141559">
              <w:rPr>
                <w:rFonts w:cs="Arial"/>
                <w:i/>
                <w:sz w:val="16"/>
                <w:szCs w:val="16"/>
                <w:lang w:val="de-CH"/>
              </w:rPr>
              <w:t>Beurteilung, ob</w:t>
            </w:r>
            <w:r w:rsidR="006D2BB7" w:rsidRPr="00141559">
              <w:rPr>
                <w:rFonts w:cs="Arial"/>
                <w:i/>
                <w:sz w:val="16"/>
                <w:szCs w:val="16"/>
                <w:lang w:val="de-CH"/>
              </w:rPr>
              <w:t xml:space="preserve"> eine</w:t>
            </w:r>
            <w:r w:rsidRPr="00141559">
              <w:rPr>
                <w:rFonts w:cs="Arial"/>
                <w:i/>
                <w:sz w:val="16"/>
                <w:szCs w:val="16"/>
                <w:lang w:val="de-CH"/>
              </w:rPr>
              <w:t xml:space="preserve"> adäquate </w:t>
            </w:r>
            <w:r w:rsidR="00031355" w:rsidRPr="00141559">
              <w:rPr>
                <w:i/>
                <w:sz w:val="16"/>
                <w:szCs w:val="16"/>
                <w:lang w:val="de-CH"/>
              </w:rPr>
              <w:t>Risikopolitik und Grundzüge</w:t>
            </w:r>
            <w:r w:rsidR="00031355" w:rsidRPr="00141559">
              <w:rPr>
                <w:lang w:val="de-CH"/>
              </w:rPr>
              <w:t xml:space="preserve"> </w:t>
            </w:r>
            <w:r w:rsidR="003B57F9" w:rsidRPr="00141559">
              <w:rPr>
                <w:rFonts w:cs="Arial"/>
                <w:i/>
                <w:sz w:val="16"/>
                <w:szCs w:val="16"/>
                <w:lang w:val="de-CH"/>
              </w:rPr>
              <w:t xml:space="preserve">für das institutsweite Risikomanagement </w:t>
            </w:r>
            <w:r w:rsidRPr="00141559">
              <w:rPr>
                <w:rFonts w:cs="Arial"/>
                <w:i/>
                <w:sz w:val="16"/>
                <w:szCs w:val="16"/>
                <w:lang w:val="de-CH"/>
              </w:rPr>
              <w:t>nach Massgabe der Grösse und der Geschäfts- und Organisationskomplexität des Instituts entwickelt wurde</w:t>
            </w:r>
            <w:r w:rsidR="00031355" w:rsidRPr="00141559">
              <w:rPr>
                <w:rFonts w:cs="Arial"/>
                <w:i/>
                <w:sz w:val="16"/>
                <w:szCs w:val="16"/>
                <w:lang w:val="de-CH"/>
              </w:rPr>
              <w:t>n</w:t>
            </w:r>
            <w:r w:rsidRPr="00141559">
              <w:rPr>
                <w:rFonts w:cs="Arial"/>
                <w:i/>
                <w:sz w:val="16"/>
                <w:szCs w:val="16"/>
                <w:lang w:val="de-CH"/>
              </w:rPr>
              <w:t>, namentlich</w:t>
            </w:r>
          </w:p>
        </w:tc>
        <w:tc>
          <w:tcPr>
            <w:tcW w:w="3827" w:type="dxa"/>
            <w:shd w:val="clear" w:color="auto" w:fill="auto"/>
          </w:tcPr>
          <w:p w14:paraId="7A8D8BAD" w14:textId="77777777" w:rsidR="001B128C" w:rsidRPr="00141559" w:rsidRDefault="001B128C" w:rsidP="001B128C">
            <w:pPr>
              <w:spacing w:before="0" w:after="0" w:line="240" w:lineRule="auto"/>
              <w:ind w:left="34"/>
              <w:rPr>
                <w:rFonts w:cs="Arial"/>
                <w:i/>
                <w:sz w:val="16"/>
                <w:szCs w:val="16"/>
                <w:lang w:val="de-CH"/>
              </w:rPr>
            </w:pPr>
          </w:p>
        </w:tc>
        <w:tc>
          <w:tcPr>
            <w:tcW w:w="3686" w:type="dxa"/>
            <w:shd w:val="clear" w:color="auto" w:fill="auto"/>
          </w:tcPr>
          <w:p w14:paraId="233470D9" w14:textId="77777777" w:rsidR="001B128C" w:rsidRPr="00DE3CF0" w:rsidRDefault="001B128C" w:rsidP="001B128C">
            <w:pPr>
              <w:spacing w:before="0" w:after="0" w:line="240" w:lineRule="auto"/>
              <w:rPr>
                <w:rFonts w:cs="Arial"/>
                <w:sz w:val="16"/>
                <w:szCs w:val="16"/>
                <w:lang w:val="de-CH"/>
              </w:rPr>
            </w:pPr>
          </w:p>
        </w:tc>
        <w:tc>
          <w:tcPr>
            <w:tcW w:w="992" w:type="dxa"/>
            <w:shd w:val="clear" w:color="auto" w:fill="auto"/>
          </w:tcPr>
          <w:p w14:paraId="2DD9F832" w14:textId="77777777" w:rsidR="001B128C" w:rsidRPr="001B128C" w:rsidRDefault="001B128C" w:rsidP="001B128C">
            <w:pPr>
              <w:spacing w:before="0" w:after="0" w:line="240" w:lineRule="auto"/>
              <w:rPr>
                <w:rFonts w:cs="Arial"/>
                <w:sz w:val="16"/>
                <w:szCs w:val="16"/>
                <w:lang w:val="de-CH"/>
              </w:rPr>
            </w:pPr>
          </w:p>
        </w:tc>
      </w:tr>
      <w:tr w:rsidR="001B128C" w:rsidRPr="001B128C" w14:paraId="217DD340" w14:textId="77777777" w:rsidTr="00D43861">
        <w:tc>
          <w:tcPr>
            <w:tcW w:w="531" w:type="dxa"/>
            <w:vMerge/>
            <w:shd w:val="clear" w:color="auto" w:fill="auto"/>
          </w:tcPr>
          <w:p w14:paraId="66AEF6B8" w14:textId="77777777" w:rsidR="001B128C" w:rsidRPr="00617203" w:rsidRDefault="001B128C" w:rsidP="001B128C">
            <w:pPr>
              <w:spacing w:before="0" w:after="0" w:line="240" w:lineRule="auto"/>
              <w:rPr>
                <w:rFonts w:cs="Arial"/>
                <w:sz w:val="16"/>
                <w:szCs w:val="16"/>
                <w:highlight w:val="cyan"/>
                <w:lang w:val="de-CH"/>
              </w:rPr>
            </w:pPr>
          </w:p>
        </w:tc>
        <w:tc>
          <w:tcPr>
            <w:tcW w:w="1596" w:type="dxa"/>
            <w:vMerge/>
            <w:shd w:val="clear" w:color="auto" w:fill="auto"/>
          </w:tcPr>
          <w:p w14:paraId="613BE821" w14:textId="77777777" w:rsidR="001B128C" w:rsidRPr="00DE3CF0" w:rsidRDefault="001B128C" w:rsidP="001B128C">
            <w:pPr>
              <w:spacing w:before="0" w:after="0" w:line="240" w:lineRule="auto"/>
              <w:rPr>
                <w:rFonts w:cs="Arial"/>
                <w:b/>
                <w:sz w:val="16"/>
                <w:szCs w:val="16"/>
                <w:lang w:val="de-CH"/>
              </w:rPr>
            </w:pPr>
          </w:p>
        </w:tc>
        <w:tc>
          <w:tcPr>
            <w:tcW w:w="3685" w:type="dxa"/>
            <w:shd w:val="clear" w:color="auto" w:fill="auto"/>
          </w:tcPr>
          <w:p w14:paraId="52451A6C" w14:textId="629CC194" w:rsidR="001B128C" w:rsidRPr="00141559" w:rsidRDefault="003B57F9" w:rsidP="00031355">
            <w:pPr>
              <w:spacing w:before="0" w:after="0" w:line="240" w:lineRule="auto"/>
              <w:rPr>
                <w:rFonts w:cs="Arial"/>
                <w:sz w:val="16"/>
                <w:szCs w:val="16"/>
                <w:lang w:val="de-CH"/>
              </w:rPr>
            </w:pPr>
            <w:r w:rsidRPr="00141559">
              <w:rPr>
                <w:rFonts w:cs="Arial"/>
                <w:sz w:val="16"/>
                <w:szCs w:val="16"/>
                <w:lang w:val="de-CH"/>
              </w:rPr>
              <w:t xml:space="preserve">Beurteilung, ob </w:t>
            </w:r>
            <w:r w:rsidR="00031355" w:rsidRPr="00141559">
              <w:rPr>
                <w:sz w:val="16"/>
                <w:szCs w:val="16"/>
                <w:lang w:val="de-CH"/>
              </w:rPr>
              <w:t>die Risikopolitik sowie die Grundzüge</w:t>
            </w:r>
            <w:r w:rsidR="00031355" w:rsidRPr="00141559">
              <w:rPr>
                <w:lang w:val="de-CH"/>
              </w:rPr>
              <w:t xml:space="preserve"> </w:t>
            </w:r>
            <w:r w:rsidR="00031355" w:rsidRPr="00141559">
              <w:rPr>
                <w:rFonts w:cs="Arial"/>
                <w:sz w:val="16"/>
                <w:szCs w:val="16"/>
                <w:lang w:val="de-CH"/>
              </w:rPr>
              <w:t xml:space="preserve">für das institutsweite </w:t>
            </w:r>
            <w:proofErr w:type="spellStart"/>
            <w:r w:rsidR="00031355" w:rsidRPr="00141559">
              <w:rPr>
                <w:rFonts w:cs="Arial"/>
                <w:sz w:val="16"/>
                <w:szCs w:val="16"/>
                <w:lang w:val="de-CH"/>
              </w:rPr>
              <w:t>Risikomanagment</w:t>
            </w:r>
            <w:proofErr w:type="spellEnd"/>
            <w:r w:rsidR="00031355" w:rsidRPr="00141559">
              <w:rPr>
                <w:rFonts w:cs="Arial"/>
                <w:sz w:val="16"/>
                <w:szCs w:val="16"/>
                <w:lang w:val="de-CH"/>
              </w:rPr>
              <w:t xml:space="preserve"> </w:t>
            </w:r>
            <w:r w:rsidRPr="00141559">
              <w:rPr>
                <w:rFonts w:cs="Arial"/>
                <w:sz w:val="16"/>
                <w:szCs w:val="16"/>
                <w:lang w:val="de-CH"/>
              </w:rPr>
              <w:t>durch die Geschäftsleitung ausgearbeitet und durch das Oberleitungsorgan verabschiedet wurde</w:t>
            </w:r>
            <w:r w:rsidR="006D2BB7" w:rsidRPr="00141559">
              <w:rPr>
                <w:rFonts w:cs="Arial"/>
                <w:sz w:val="16"/>
                <w:szCs w:val="16"/>
                <w:lang w:val="de-CH"/>
              </w:rPr>
              <w:t>n</w:t>
            </w:r>
            <w:r w:rsidRPr="00141559">
              <w:rPr>
                <w:rFonts w:cs="Arial"/>
                <w:sz w:val="16"/>
                <w:szCs w:val="16"/>
                <w:lang w:val="de-CH"/>
              </w:rPr>
              <w:t xml:space="preserve"> (</w:t>
            </w:r>
            <w:r w:rsidRPr="00C06A90">
              <w:rPr>
                <w:rFonts w:cs="Arial"/>
                <w:sz w:val="16"/>
                <w:szCs w:val="16"/>
                <w:lang w:val="de-CH"/>
              </w:rPr>
              <w:t>Rz 52 FINMA-RS 17/1)</w:t>
            </w:r>
          </w:p>
        </w:tc>
        <w:tc>
          <w:tcPr>
            <w:tcW w:w="3827" w:type="dxa"/>
            <w:shd w:val="clear" w:color="auto" w:fill="auto"/>
          </w:tcPr>
          <w:p w14:paraId="4013724F" w14:textId="77777777" w:rsidR="001B128C" w:rsidRPr="00141559" w:rsidRDefault="001B128C" w:rsidP="001B128C">
            <w:pPr>
              <w:spacing w:before="0" w:after="0" w:line="240" w:lineRule="auto"/>
              <w:ind w:left="34"/>
              <w:rPr>
                <w:rFonts w:cs="Arial"/>
                <w:sz w:val="16"/>
                <w:szCs w:val="16"/>
                <w:lang w:val="de-CH"/>
              </w:rPr>
            </w:pPr>
          </w:p>
        </w:tc>
        <w:tc>
          <w:tcPr>
            <w:tcW w:w="3686" w:type="dxa"/>
            <w:shd w:val="clear" w:color="auto" w:fill="auto"/>
          </w:tcPr>
          <w:p w14:paraId="451508B5" w14:textId="77777777" w:rsidR="001B128C" w:rsidRPr="00DE3CF0" w:rsidRDefault="001B128C" w:rsidP="001B128C">
            <w:pPr>
              <w:spacing w:before="0" w:after="0" w:line="240" w:lineRule="auto"/>
              <w:rPr>
                <w:rFonts w:cs="Arial"/>
                <w:sz w:val="16"/>
                <w:szCs w:val="16"/>
                <w:lang w:val="de-CH"/>
              </w:rPr>
            </w:pPr>
          </w:p>
        </w:tc>
        <w:tc>
          <w:tcPr>
            <w:tcW w:w="992" w:type="dxa"/>
            <w:shd w:val="clear" w:color="auto" w:fill="auto"/>
          </w:tcPr>
          <w:p w14:paraId="52FBD095" w14:textId="77777777" w:rsidR="001B128C" w:rsidRPr="001B128C" w:rsidRDefault="001B128C" w:rsidP="001B128C">
            <w:pPr>
              <w:spacing w:before="0" w:after="0" w:line="240" w:lineRule="auto"/>
              <w:rPr>
                <w:rFonts w:cs="Arial"/>
                <w:sz w:val="16"/>
                <w:szCs w:val="16"/>
                <w:lang w:val="de-CH"/>
              </w:rPr>
            </w:pPr>
          </w:p>
        </w:tc>
      </w:tr>
      <w:tr w:rsidR="003B57F9" w:rsidRPr="001B128C" w14:paraId="34C47A6A" w14:textId="77777777" w:rsidTr="00D43861">
        <w:tc>
          <w:tcPr>
            <w:tcW w:w="531" w:type="dxa"/>
            <w:shd w:val="clear" w:color="auto" w:fill="auto"/>
          </w:tcPr>
          <w:p w14:paraId="04E53D87" w14:textId="77777777" w:rsidR="003B57F9" w:rsidRPr="00617203" w:rsidRDefault="003B57F9" w:rsidP="001B128C">
            <w:pPr>
              <w:spacing w:before="0" w:after="0" w:line="240" w:lineRule="auto"/>
              <w:rPr>
                <w:rFonts w:cs="Arial"/>
                <w:sz w:val="16"/>
                <w:szCs w:val="16"/>
                <w:highlight w:val="cyan"/>
                <w:lang w:val="de-CH"/>
              </w:rPr>
            </w:pPr>
          </w:p>
        </w:tc>
        <w:tc>
          <w:tcPr>
            <w:tcW w:w="1596" w:type="dxa"/>
            <w:shd w:val="clear" w:color="auto" w:fill="auto"/>
          </w:tcPr>
          <w:p w14:paraId="697604C9" w14:textId="77777777" w:rsidR="003B57F9" w:rsidRPr="00DE3CF0" w:rsidRDefault="003B57F9" w:rsidP="001B128C">
            <w:pPr>
              <w:spacing w:before="0" w:after="0" w:line="240" w:lineRule="auto"/>
              <w:rPr>
                <w:rFonts w:cs="Arial"/>
                <w:b/>
                <w:sz w:val="16"/>
                <w:szCs w:val="16"/>
                <w:lang w:val="de-CH"/>
              </w:rPr>
            </w:pPr>
          </w:p>
        </w:tc>
        <w:tc>
          <w:tcPr>
            <w:tcW w:w="3685" w:type="dxa"/>
            <w:shd w:val="clear" w:color="auto" w:fill="auto"/>
          </w:tcPr>
          <w:p w14:paraId="6FA27B51" w14:textId="4A72972A" w:rsidR="003B57F9" w:rsidRPr="00141559" w:rsidRDefault="003B57F9" w:rsidP="00223408">
            <w:pPr>
              <w:spacing w:before="0" w:after="0" w:line="240" w:lineRule="auto"/>
              <w:rPr>
                <w:rFonts w:cs="Arial"/>
                <w:sz w:val="16"/>
                <w:szCs w:val="16"/>
                <w:lang w:val="de-CH"/>
              </w:rPr>
            </w:pPr>
            <w:r w:rsidRPr="00141559">
              <w:rPr>
                <w:rFonts w:cs="Arial"/>
                <w:sz w:val="16"/>
                <w:szCs w:val="16"/>
                <w:lang w:val="de-CH"/>
              </w:rPr>
              <w:t xml:space="preserve">Beurteilung, ob </w:t>
            </w:r>
            <w:r w:rsidR="00031355" w:rsidRPr="00141559">
              <w:rPr>
                <w:sz w:val="16"/>
                <w:szCs w:val="16"/>
                <w:lang w:val="de-CH"/>
              </w:rPr>
              <w:t>die Risikopolitik sowie die Grundzüge für das institutsweite Risikomanagement</w:t>
            </w:r>
            <w:r w:rsidRPr="00141559">
              <w:rPr>
                <w:rFonts w:cs="Arial"/>
                <w:sz w:val="16"/>
                <w:szCs w:val="16"/>
                <w:lang w:val="de-CH"/>
              </w:rPr>
              <w:t xml:space="preserve"> die Risikotoleranz und darauf basierende </w:t>
            </w:r>
            <w:proofErr w:type="spellStart"/>
            <w:r w:rsidRPr="00141559">
              <w:rPr>
                <w:rFonts w:cs="Arial"/>
                <w:sz w:val="16"/>
                <w:szCs w:val="16"/>
                <w:lang w:val="de-CH"/>
              </w:rPr>
              <w:t>Risikolimiten</w:t>
            </w:r>
            <w:proofErr w:type="spellEnd"/>
            <w:r w:rsidRPr="00141559">
              <w:rPr>
                <w:rFonts w:cs="Arial"/>
                <w:sz w:val="16"/>
                <w:szCs w:val="16"/>
                <w:lang w:val="de-CH"/>
              </w:rPr>
              <w:t xml:space="preserve"> in allen wesentlichen Risikokategorien beinhaltet (Rz 53 FINMA-RS 17/1)</w:t>
            </w:r>
          </w:p>
        </w:tc>
        <w:tc>
          <w:tcPr>
            <w:tcW w:w="3827" w:type="dxa"/>
            <w:shd w:val="clear" w:color="auto" w:fill="auto"/>
          </w:tcPr>
          <w:p w14:paraId="4761CCA2" w14:textId="577B4A1D" w:rsidR="003B57F9" w:rsidRPr="00141559" w:rsidRDefault="00667619" w:rsidP="001B128C">
            <w:pPr>
              <w:spacing w:before="0" w:after="0" w:line="240" w:lineRule="auto"/>
              <w:ind w:left="34"/>
              <w:rPr>
                <w:rFonts w:cs="Arial"/>
                <w:sz w:val="16"/>
                <w:szCs w:val="16"/>
                <w:lang w:val="de-CH"/>
              </w:rPr>
            </w:pPr>
            <w:r>
              <w:rPr>
                <w:rFonts w:cs="Arial"/>
                <w:sz w:val="16"/>
                <w:szCs w:val="16"/>
                <w:lang w:val="de-CH"/>
              </w:rPr>
              <w:t xml:space="preserve">Detaillierte Einsichtnahme in die Risikopolitik sowie die Grundzüge für das institutsweite Risikomanagement und Überprüfung, ob </w:t>
            </w:r>
            <w:r w:rsidRPr="00141559">
              <w:rPr>
                <w:rFonts w:cs="Arial"/>
                <w:sz w:val="16"/>
                <w:szCs w:val="16"/>
                <w:lang w:val="de-CH"/>
              </w:rPr>
              <w:t xml:space="preserve">die Risikotoleranz und darauf basierende </w:t>
            </w:r>
            <w:proofErr w:type="spellStart"/>
            <w:r w:rsidRPr="00141559">
              <w:rPr>
                <w:rFonts w:cs="Arial"/>
                <w:sz w:val="16"/>
                <w:szCs w:val="16"/>
                <w:lang w:val="de-CH"/>
              </w:rPr>
              <w:t>Risikolimiten</w:t>
            </w:r>
            <w:proofErr w:type="spellEnd"/>
            <w:r w:rsidRPr="00141559">
              <w:rPr>
                <w:rFonts w:cs="Arial"/>
                <w:sz w:val="16"/>
                <w:szCs w:val="16"/>
                <w:lang w:val="de-CH"/>
              </w:rPr>
              <w:t xml:space="preserve"> in allen wesentlichen Risikokategorien</w:t>
            </w:r>
            <w:r>
              <w:rPr>
                <w:rFonts w:cs="Arial"/>
                <w:sz w:val="16"/>
                <w:szCs w:val="16"/>
                <w:lang w:val="de-CH"/>
              </w:rPr>
              <w:t xml:space="preserve"> angemessen regeln und in der operativen Risikoüberwachung effektiv angewendet wurden.</w:t>
            </w:r>
          </w:p>
        </w:tc>
        <w:tc>
          <w:tcPr>
            <w:tcW w:w="3686" w:type="dxa"/>
            <w:shd w:val="clear" w:color="auto" w:fill="auto"/>
          </w:tcPr>
          <w:p w14:paraId="0DF44696" w14:textId="77777777" w:rsidR="003B57F9" w:rsidRPr="00DE3CF0" w:rsidRDefault="003B57F9" w:rsidP="001B128C">
            <w:pPr>
              <w:spacing w:before="0" w:after="0" w:line="240" w:lineRule="auto"/>
              <w:rPr>
                <w:rFonts w:cs="Arial"/>
                <w:sz w:val="16"/>
                <w:szCs w:val="16"/>
                <w:lang w:val="de-CH"/>
              </w:rPr>
            </w:pPr>
          </w:p>
        </w:tc>
        <w:tc>
          <w:tcPr>
            <w:tcW w:w="992" w:type="dxa"/>
            <w:shd w:val="clear" w:color="auto" w:fill="auto"/>
          </w:tcPr>
          <w:p w14:paraId="6F4492E6" w14:textId="77777777" w:rsidR="003B57F9" w:rsidRPr="001B128C" w:rsidRDefault="003B57F9" w:rsidP="001B128C">
            <w:pPr>
              <w:spacing w:before="0" w:after="0" w:line="240" w:lineRule="auto"/>
              <w:rPr>
                <w:rFonts w:cs="Arial"/>
                <w:sz w:val="16"/>
                <w:szCs w:val="16"/>
                <w:lang w:val="de-CH"/>
              </w:rPr>
            </w:pPr>
          </w:p>
        </w:tc>
      </w:tr>
      <w:tr w:rsidR="002F6C79" w:rsidRPr="001B128C" w14:paraId="146BE15F" w14:textId="77777777" w:rsidTr="00D43861">
        <w:tc>
          <w:tcPr>
            <w:tcW w:w="531" w:type="dxa"/>
            <w:shd w:val="clear" w:color="auto" w:fill="auto"/>
          </w:tcPr>
          <w:p w14:paraId="0199BD5F" w14:textId="77777777" w:rsidR="002F6C79" w:rsidRPr="00617203" w:rsidRDefault="002F6C79" w:rsidP="001B128C">
            <w:pPr>
              <w:spacing w:before="0" w:after="0" w:line="240" w:lineRule="auto"/>
              <w:rPr>
                <w:rFonts w:cs="Arial"/>
                <w:sz w:val="16"/>
                <w:szCs w:val="16"/>
                <w:highlight w:val="cyan"/>
                <w:lang w:val="de-CH"/>
              </w:rPr>
            </w:pPr>
          </w:p>
        </w:tc>
        <w:tc>
          <w:tcPr>
            <w:tcW w:w="1596" w:type="dxa"/>
            <w:shd w:val="clear" w:color="auto" w:fill="auto"/>
          </w:tcPr>
          <w:p w14:paraId="02029A31" w14:textId="77777777" w:rsidR="002F6C79" w:rsidRPr="00DE3CF0" w:rsidRDefault="002F6C79" w:rsidP="001B128C">
            <w:pPr>
              <w:spacing w:before="0" w:after="0" w:line="240" w:lineRule="auto"/>
              <w:rPr>
                <w:rFonts w:cs="Arial"/>
                <w:b/>
                <w:sz w:val="16"/>
                <w:szCs w:val="16"/>
                <w:lang w:val="de-CH"/>
              </w:rPr>
            </w:pPr>
          </w:p>
        </w:tc>
        <w:tc>
          <w:tcPr>
            <w:tcW w:w="3685" w:type="dxa"/>
            <w:shd w:val="clear" w:color="auto" w:fill="auto"/>
          </w:tcPr>
          <w:p w14:paraId="38E1F184" w14:textId="7F8EE9E5" w:rsidR="002F6C79" w:rsidRPr="00141559" w:rsidRDefault="002F6C79" w:rsidP="00223408">
            <w:pPr>
              <w:spacing w:before="0" w:after="0" w:line="240" w:lineRule="auto"/>
              <w:rPr>
                <w:rFonts w:cs="Arial"/>
                <w:sz w:val="16"/>
                <w:szCs w:val="16"/>
                <w:lang w:val="de-CH"/>
              </w:rPr>
            </w:pPr>
            <w:r w:rsidRPr="00C06A90">
              <w:rPr>
                <w:rFonts w:cs="Arial"/>
                <w:sz w:val="16"/>
                <w:szCs w:val="16"/>
                <w:lang w:val="de-CH"/>
              </w:rPr>
              <w:t>Beurteilung, ob die Zuständigkeit und das Verfahren für die Bewilligung von risikobehafteten Geschäften in einem Reglement oder in internen Richtli</w:t>
            </w:r>
            <w:r w:rsidR="00C333BF">
              <w:rPr>
                <w:rFonts w:cs="Arial"/>
                <w:sz w:val="16"/>
                <w:szCs w:val="16"/>
                <w:lang w:val="de-CH"/>
              </w:rPr>
              <w:t>n</w:t>
            </w:r>
            <w:r w:rsidRPr="00C06A90">
              <w:rPr>
                <w:rFonts w:cs="Arial"/>
                <w:sz w:val="16"/>
                <w:szCs w:val="16"/>
                <w:lang w:val="de-CH"/>
              </w:rPr>
              <w:t>ien festgelegt wurden (Art. 12 BankV</w:t>
            </w:r>
            <w:r w:rsidR="00C333BF">
              <w:rPr>
                <w:rFonts w:cs="Arial"/>
                <w:sz w:val="16"/>
                <w:szCs w:val="16"/>
                <w:lang w:val="de-CH"/>
              </w:rPr>
              <w:t>)</w:t>
            </w:r>
          </w:p>
        </w:tc>
        <w:tc>
          <w:tcPr>
            <w:tcW w:w="3827" w:type="dxa"/>
            <w:shd w:val="clear" w:color="auto" w:fill="auto"/>
          </w:tcPr>
          <w:p w14:paraId="4EFB1E44" w14:textId="77777777" w:rsidR="002F6C79" w:rsidRDefault="002F6C79" w:rsidP="001B128C">
            <w:pPr>
              <w:spacing w:before="0" w:after="0" w:line="240" w:lineRule="auto"/>
              <w:ind w:left="34"/>
              <w:rPr>
                <w:rFonts w:cs="Arial"/>
                <w:sz w:val="16"/>
                <w:szCs w:val="16"/>
                <w:lang w:val="de-CH"/>
              </w:rPr>
            </w:pPr>
          </w:p>
        </w:tc>
        <w:tc>
          <w:tcPr>
            <w:tcW w:w="3686" w:type="dxa"/>
            <w:shd w:val="clear" w:color="auto" w:fill="auto"/>
          </w:tcPr>
          <w:p w14:paraId="12C508F9" w14:textId="77777777" w:rsidR="002F6C79" w:rsidRPr="00DE3CF0" w:rsidRDefault="002F6C79" w:rsidP="001B128C">
            <w:pPr>
              <w:spacing w:before="0" w:after="0" w:line="240" w:lineRule="auto"/>
              <w:rPr>
                <w:rFonts w:cs="Arial"/>
                <w:sz w:val="16"/>
                <w:szCs w:val="16"/>
                <w:lang w:val="de-CH"/>
              </w:rPr>
            </w:pPr>
          </w:p>
        </w:tc>
        <w:tc>
          <w:tcPr>
            <w:tcW w:w="992" w:type="dxa"/>
            <w:shd w:val="clear" w:color="auto" w:fill="auto"/>
          </w:tcPr>
          <w:p w14:paraId="2BF5EC02" w14:textId="77777777" w:rsidR="002F6C79" w:rsidRPr="001B128C" w:rsidRDefault="002F6C79" w:rsidP="001B128C">
            <w:pPr>
              <w:spacing w:before="0" w:after="0" w:line="240" w:lineRule="auto"/>
              <w:rPr>
                <w:rFonts w:cs="Arial"/>
                <w:sz w:val="16"/>
                <w:szCs w:val="16"/>
                <w:lang w:val="de-CH"/>
              </w:rPr>
            </w:pPr>
          </w:p>
        </w:tc>
      </w:tr>
      <w:tr w:rsidR="003B57F9" w:rsidRPr="001B128C" w14:paraId="24F94BAA" w14:textId="77777777" w:rsidTr="00D43861">
        <w:tc>
          <w:tcPr>
            <w:tcW w:w="531" w:type="dxa"/>
            <w:shd w:val="clear" w:color="auto" w:fill="auto"/>
          </w:tcPr>
          <w:p w14:paraId="73F2E5DB" w14:textId="77777777" w:rsidR="003B57F9" w:rsidRPr="00617203" w:rsidRDefault="003B57F9" w:rsidP="001B128C">
            <w:pPr>
              <w:spacing w:before="0" w:after="0" w:line="240" w:lineRule="auto"/>
              <w:rPr>
                <w:rFonts w:cs="Arial"/>
                <w:sz w:val="16"/>
                <w:szCs w:val="16"/>
                <w:highlight w:val="cyan"/>
                <w:lang w:val="de-CH"/>
              </w:rPr>
            </w:pPr>
          </w:p>
        </w:tc>
        <w:tc>
          <w:tcPr>
            <w:tcW w:w="1596" w:type="dxa"/>
            <w:shd w:val="clear" w:color="auto" w:fill="auto"/>
          </w:tcPr>
          <w:p w14:paraId="4868FB91" w14:textId="77777777" w:rsidR="003B57F9" w:rsidRPr="00DE3CF0" w:rsidRDefault="003B57F9" w:rsidP="001B128C">
            <w:pPr>
              <w:spacing w:before="0" w:after="0" w:line="240" w:lineRule="auto"/>
              <w:rPr>
                <w:rFonts w:cs="Arial"/>
                <w:b/>
                <w:sz w:val="16"/>
                <w:szCs w:val="16"/>
                <w:lang w:val="de-CH"/>
              </w:rPr>
            </w:pPr>
          </w:p>
        </w:tc>
        <w:tc>
          <w:tcPr>
            <w:tcW w:w="3685" w:type="dxa"/>
            <w:shd w:val="clear" w:color="auto" w:fill="auto"/>
          </w:tcPr>
          <w:p w14:paraId="0DC1D0A9" w14:textId="23E07E68" w:rsidR="003B57F9" w:rsidRPr="00141559" w:rsidRDefault="00223408" w:rsidP="003B57F9">
            <w:pPr>
              <w:spacing w:before="0" w:after="0" w:line="240" w:lineRule="auto"/>
              <w:rPr>
                <w:rFonts w:cs="Arial"/>
                <w:sz w:val="16"/>
                <w:szCs w:val="16"/>
                <w:lang w:val="de-CH"/>
              </w:rPr>
            </w:pPr>
            <w:r w:rsidRPr="000251A4">
              <w:rPr>
                <w:rFonts w:cs="Arial"/>
                <w:b/>
                <w:sz w:val="28"/>
                <w:szCs w:val="24"/>
                <w:lang w:val="de-CH"/>
              </w:rPr>
              <w:t>*</w:t>
            </w:r>
            <w:r w:rsidRPr="00141559">
              <w:rPr>
                <w:rFonts w:cs="Arial"/>
                <w:sz w:val="24"/>
                <w:szCs w:val="24"/>
                <w:lang w:val="de-CH"/>
              </w:rPr>
              <w:t xml:space="preserve"> </w:t>
            </w:r>
            <w:r w:rsidR="003B57F9" w:rsidRPr="00141559">
              <w:rPr>
                <w:rFonts w:cs="Arial"/>
                <w:sz w:val="16"/>
                <w:szCs w:val="16"/>
                <w:lang w:val="de-CH"/>
              </w:rPr>
              <w:t>Beurteilung, ob den zu berücksichtigenden Aspekte</w:t>
            </w:r>
            <w:r w:rsidR="004333E7" w:rsidRPr="00141559">
              <w:rPr>
                <w:rFonts w:cs="Arial"/>
                <w:sz w:val="16"/>
                <w:szCs w:val="16"/>
                <w:lang w:val="de-CH"/>
              </w:rPr>
              <w:t>n</w:t>
            </w:r>
            <w:r w:rsidR="00110D57" w:rsidRPr="00141559">
              <w:rPr>
                <w:rFonts w:cs="Arial"/>
                <w:sz w:val="16"/>
                <w:szCs w:val="16"/>
                <w:lang w:val="de-CH"/>
              </w:rPr>
              <w:t xml:space="preserve"> </w:t>
            </w:r>
            <w:r w:rsidR="00110D57" w:rsidRPr="00C06A90">
              <w:rPr>
                <w:rFonts w:cs="Arial"/>
                <w:sz w:val="16"/>
                <w:szCs w:val="16"/>
                <w:lang w:val="de-CH"/>
              </w:rPr>
              <w:t>gemäss Rz 54-59 FINMA-RS 17/1</w:t>
            </w:r>
            <w:r w:rsidR="003B57F9" w:rsidRPr="00141559">
              <w:rPr>
                <w:rFonts w:cs="Arial"/>
                <w:sz w:val="16"/>
                <w:szCs w:val="16"/>
                <w:lang w:val="de-CH"/>
              </w:rPr>
              <w:t xml:space="preserve"> </w:t>
            </w:r>
            <w:r w:rsidR="00031355" w:rsidRPr="00141559">
              <w:rPr>
                <w:rFonts w:cs="Arial"/>
                <w:sz w:val="16"/>
                <w:szCs w:val="16"/>
                <w:lang w:val="de-CH"/>
              </w:rPr>
              <w:t xml:space="preserve">in </w:t>
            </w:r>
            <w:r w:rsidR="00031355" w:rsidRPr="00141559">
              <w:rPr>
                <w:sz w:val="16"/>
                <w:szCs w:val="16"/>
                <w:lang w:val="de-CH"/>
              </w:rPr>
              <w:t>d</w:t>
            </w:r>
            <w:r w:rsidR="00251AE5">
              <w:rPr>
                <w:sz w:val="16"/>
                <w:szCs w:val="16"/>
                <w:lang w:val="de-CH"/>
              </w:rPr>
              <w:t>er</w:t>
            </w:r>
            <w:r w:rsidR="00031355" w:rsidRPr="00141559">
              <w:rPr>
                <w:sz w:val="16"/>
                <w:szCs w:val="16"/>
                <w:lang w:val="de-CH"/>
              </w:rPr>
              <w:t xml:space="preserve"> Risikopolitik sowie </w:t>
            </w:r>
            <w:r w:rsidR="00251AE5">
              <w:rPr>
                <w:sz w:val="16"/>
                <w:szCs w:val="16"/>
                <w:lang w:val="de-CH"/>
              </w:rPr>
              <w:t>in den</w:t>
            </w:r>
            <w:r w:rsidR="00031355" w:rsidRPr="00141559">
              <w:rPr>
                <w:sz w:val="16"/>
                <w:szCs w:val="16"/>
                <w:lang w:val="de-CH"/>
              </w:rPr>
              <w:t xml:space="preserve"> Grundzüge</w:t>
            </w:r>
            <w:r w:rsidR="00251AE5">
              <w:rPr>
                <w:sz w:val="16"/>
                <w:szCs w:val="16"/>
                <w:lang w:val="de-CH"/>
              </w:rPr>
              <w:t>n</w:t>
            </w:r>
            <w:r w:rsidR="00031355" w:rsidRPr="00141559">
              <w:rPr>
                <w:sz w:val="16"/>
                <w:szCs w:val="16"/>
                <w:lang w:val="de-CH"/>
              </w:rPr>
              <w:t xml:space="preserve"> für das institutsweite Risikomanagement</w:t>
            </w:r>
            <w:r w:rsidR="00031355" w:rsidRPr="00141559">
              <w:rPr>
                <w:lang w:val="de-CH"/>
              </w:rPr>
              <w:t xml:space="preserve"> </w:t>
            </w:r>
            <w:r w:rsidR="003B57F9" w:rsidRPr="00141559">
              <w:rPr>
                <w:rFonts w:cs="Arial"/>
                <w:sz w:val="16"/>
                <w:szCs w:val="16"/>
                <w:lang w:val="de-CH"/>
              </w:rPr>
              <w:t xml:space="preserve">Rechnung getragen </w:t>
            </w:r>
            <w:proofErr w:type="gramStart"/>
            <w:r w:rsidR="003B57F9" w:rsidRPr="00141559">
              <w:rPr>
                <w:rFonts w:cs="Arial"/>
                <w:sz w:val="16"/>
                <w:szCs w:val="16"/>
                <w:lang w:val="de-CH"/>
              </w:rPr>
              <w:t xml:space="preserve">wurde </w:t>
            </w:r>
            <w:r w:rsidR="00110D57" w:rsidRPr="00141559">
              <w:rPr>
                <w:rFonts w:cs="Arial"/>
                <w:sz w:val="16"/>
                <w:szCs w:val="16"/>
                <w:lang w:val="de-CH"/>
              </w:rPr>
              <w:t>.</w:t>
            </w:r>
            <w:proofErr w:type="gramEnd"/>
            <w:r w:rsidR="003B57F9" w:rsidRPr="00141559">
              <w:rPr>
                <w:rFonts w:cs="Arial"/>
                <w:sz w:val="16"/>
                <w:szCs w:val="16"/>
                <w:lang w:val="de-CH"/>
              </w:rPr>
              <w:t xml:space="preserve"> </w:t>
            </w:r>
          </w:p>
          <w:p w14:paraId="1FFE2293" w14:textId="4903D099" w:rsidR="003B57F9" w:rsidRPr="00251AE5" w:rsidRDefault="003B57F9" w:rsidP="00251AE5">
            <w:pPr>
              <w:spacing w:before="0" w:after="0" w:line="240" w:lineRule="auto"/>
              <w:rPr>
                <w:rFonts w:cs="Arial"/>
                <w:sz w:val="16"/>
                <w:szCs w:val="16"/>
                <w:lang w:val="de-CH"/>
              </w:rPr>
            </w:pPr>
          </w:p>
          <w:p w14:paraId="7E87D100" w14:textId="32666954" w:rsidR="00730516" w:rsidRPr="00251AE5" w:rsidRDefault="00730516" w:rsidP="00251AE5">
            <w:pPr>
              <w:spacing w:before="0" w:after="0" w:line="240" w:lineRule="auto"/>
              <w:rPr>
                <w:rFonts w:cs="Arial"/>
                <w:sz w:val="16"/>
                <w:szCs w:val="16"/>
                <w:lang w:val="de-CH"/>
              </w:rPr>
            </w:pPr>
            <w:r w:rsidRPr="00251AE5">
              <w:rPr>
                <w:rFonts w:cs="Arial"/>
                <w:sz w:val="16"/>
                <w:szCs w:val="16"/>
                <w:lang w:val="de-CH"/>
              </w:rPr>
              <w:t>Zusätzlich für systemrelevante Institute: Berücksichtigung von weiteren Bestimmungen, u.a. zu Datenarchitektur und IT-Infrastruktur</w:t>
            </w:r>
            <w:r w:rsidR="00110D57" w:rsidRPr="00251AE5">
              <w:rPr>
                <w:rFonts w:cs="Arial"/>
                <w:sz w:val="16"/>
                <w:szCs w:val="16"/>
                <w:lang w:val="de-CH"/>
              </w:rPr>
              <w:t xml:space="preserve"> (Rz 59 FINMA-RS 17/1, letzter Satz)</w:t>
            </w:r>
          </w:p>
        </w:tc>
        <w:tc>
          <w:tcPr>
            <w:tcW w:w="3827" w:type="dxa"/>
            <w:shd w:val="clear" w:color="auto" w:fill="auto"/>
          </w:tcPr>
          <w:p w14:paraId="3B69D959" w14:textId="78BC312B" w:rsidR="003B57F9" w:rsidRPr="00141559" w:rsidRDefault="00667619" w:rsidP="00251AE5">
            <w:pPr>
              <w:spacing w:before="0" w:after="0" w:line="240" w:lineRule="auto"/>
              <w:ind w:left="34"/>
              <w:rPr>
                <w:rFonts w:cs="Arial"/>
                <w:sz w:val="16"/>
                <w:szCs w:val="16"/>
                <w:lang w:val="de-CH"/>
              </w:rPr>
            </w:pPr>
            <w:r w:rsidRPr="000251A4">
              <w:rPr>
                <w:rFonts w:cs="Arial"/>
                <w:b/>
                <w:sz w:val="28"/>
                <w:szCs w:val="24"/>
                <w:lang w:val="de-CH"/>
              </w:rPr>
              <w:t>*</w:t>
            </w:r>
            <w:r w:rsidRPr="00141559">
              <w:rPr>
                <w:rFonts w:cs="Arial"/>
                <w:sz w:val="24"/>
                <w:szCs w:val="24"/>
                <w:lang w:val="de-CH"/>
              </w:rPr>
              <w:t xml:space="preserve"> </w:t>
            </w:r>
            <w:r w:rsidR="003B57F9" w:rsidRPr="00141559">
              <w:rPr>
                <w:rFonts w:cs="Arial"/>
                <w:sz w:val="16"/>
                <w:szCs w:val="16"/>
                <w:lang w:val="de-CH"/>
              </w:rPr>
              <w:t>Detaillierte Einsicht</w:t>
            </w:r>
            <w:r w:rsidR="004333E7" w:rsidRPr="00141559">
              <w:rPr>
                <w:rFonts w:cs="Arial"/>
                <w:sz w:val="16"/>
                <w:szCs w:val="16"/>
                <w:lang w:val="de-CH"/>
              </w:rPr>
              <w:t>nahme</w:t>
            </w:r>
            <w:r w:rsidR="003B57F9" w:rsidRPr="00141559">
              <w:rPr>
                <w:rFonts w:cs="Arial"/>
                <w:sz w:val="16"/>
                <w:szCs w:val="16"/>
                <w:lang w:val="de-CH"/>
              </w:rPr>
              <w:t xml:space="preserve"> in </w:t>
            </w:r>
            <w:r w:rsidR="00031355" w:rsidRPr="00141559">
              <w:rPr>
                <w:sz w:val="16"/>
                <w:szCs w:val="16"/>
                <w:lang w:val="de-CH"/>
              </w:rPr>
              <w:t>die Risikopolitik sowie die Grundzüge für das institutsweite Risikomanagement</w:t>
            </w:r>
            <w:r w:rsidR="00031355" w:rsidRPr="00141559">
              <w:rPr>
                <w:lang w:val="de-CH"/>
              </w:rPr>
              <w:t xml:space="preserve"> </w:t>
            </w:r>
            <w:r w:rsidR="003B57F9" w:rsidRPr="00141559">
              <w:rPr>
                <w:rFonts w:cs="Arial"/>
                <w:sz w:val="16"/>
                <w:szCs w:val="16"/>
                <w:lang w:val="de-CH"/>
              </w:rPr>
              <w:t xml:space="preserve">und Überprüfung, ob die zu berücksichtigenden Aspekte nach Massgabe </w:t>
            </w:r>
            <w:r w:rsidR="00251AE5">
              <w:rPr>
                <w:rFonts w:cs="Arial"/>
                <w:sz w:val="16"/>
                <w:szCs w:val="16"/>
                <w:lang w:val="de-CH"/>
              </w:rPr>
              <w:t>der</w:t>
            </w:r>
            <w:r w:rsidR="00251AE5" w:rsidRPr="00141559">
              <w:rPr>
                <w:rFonts w:cs="Arial"/>
                <w:sz w:val="16"/>
                <w:szCs w:val="16"/>
                <w:lang w:val="de-CH"/>
              </w:rPr>
              <w:t xml:space="preserve"> </w:t>
            </w:r>
            <w:r w:rsidR="003B57F9" w:rsidRPr="00141559">
              <w:rPr>
                <w:rFonts w:cs="Arial"/>
                <w:sz w:val="16"/>
                <w:szCs w:val="16"/>
                <w:lang w:val="de-CH"/>
              </w:rPr>
              <w:t xml:space="preserve">Grösse und der Geschäfts- und Organisationskomplexität angemessen abgedeckt sind </w:t>
            </w:r>
            <w:r w:rsidR="00E6222C" w:rsidRPr="00141559">
              <w:rPr>
                <w:rFonts w:cs="Arial"/>
                <w:sz w:val="16"/>
                <w:szCs w:val="16"/>
                <w:lang w:val="de-CH"/>
              </w:rPr>
              <w:t xml:space="preserve">und </w:t>
            </w:r>
            <w:r w:rsidR="003B57F9" w:rsidRPr="00141559">
              <w:rPr>
                <w:rFonts w:cs="Arial"/>
                <w:sz w:val="16"/>
                <w:szCs w:val="16"/>
                <w:lang w:val="de-CH"/>
              </w:rPr>
              <w:t>in der operativen Risikoüberwachung effektiv angewendet werden.</w:t>
            </w:r>
          </w:p>
        </w:tc>
        <w:tc>
          <w:tcPr>
            <w:tcW w:w="3686" w:type="dxa"/>
            <w:shd w:val="clear" w:color="auto" w:fill="auto"/>
          </w:tcPr>
          <w:p w14:paraId="66C3F7FB" w14:textId="77777777" w:rsidR="003B57F9" w:rsidRPr="00DE3CF0" w:rsidRDefault="003B57F9" w:rsidP="001B128C">
            <w:pPr>
              <w:spacing w:before="0" w:after="0" w:line="240" w:lineRule="auto"/>
              <w:rPr>
                <w:rFonts w:cs="Arial"/>
                <w:sz w:val="16"/>
                <w:szCs w:val="16"/>
                <w:lang w:val="de-CH"/>
              </w:rPr>
            </w:pPr>
          </w:p>
        </w:tc>
        <w:tc>
          <w:tcPr>
            <w:tcW w:w="992" w:type="dxa"/>
            <w:shd w:val="clear" w:color="auto" w:fill="auto"/>
          </w:tcPr>
          <w:p w14:paraId="070D516C" w14:textId="77777777" w:rsidR="003B57F9" w:rsidRPr="001B128C" w:rsidRDefault="003B57F9" w:rsidP="001B128C">
            <w:pPr>
              <w:spacing w:before="0" w:after="0" w:line="240" w:lineRule="auto"/>
              <w:rPr>
                <w:rFonts w:cs="Arial"/>
                <w:sz w:val="16"/>
                <w:szCs w:val="16"/>
                <w:lang w:val="de-CH"/>
              </w:rPr>
            </w:pPr>
          </w:p>
        </w:tc>
      </w:tr>
    </w:tbl>
    <w:p w14:paraId="3B9ABB1B" w14:textId="77777777" w:rsidR="00902075" w:rsidRPr="00885CAE" w:rsidRDefault="00902075" w:rsidP="00166DBD">
      <w:pPr>
        <w:spacing w:before="0" w:after="0" w:line="240" w:lineRule="auto"/>
        <w:jc w:val="center"/>
        <w:rPr>
          <w:rFonts w:cs="Arial"/>
          <w:lang w:val="de-CH"/>
        </w:rPr>
      </w:pPr>
    </w:p>
    <w:p w14:paraId="6D608F47" w14:textId="77777777" w:rsidR="009F683E" w:rsidRPr="00885CAE" w:rsidRDefault="00513348" w:rsidP="00166DBD">
      <w:pPr>
        <w:spacing w:before="0" w:after="0" w:line="240" w:lineRule="auto"/>
        <w:jc w:val="center"/>
        <w:rPr>
          <w:rFonts w:cs="Arial"/>
          <w:lang w:val="de-CH"/>
        </w:rPr>
      </w:pPr>
      <w:r w:rsidRPr="00885CAE">
        <w:rPr>
          <w:lang w:val="de-CH"/>
        </w:rPr>
        <w:t>*********************************</w:t>
      </w:r>
    </w:p>
    <w:sectPr w:rsidR="009F683E" w:rsidRPr="00885CAE" w:rsidSect="00267951">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417" w:bottom="1135" w:left="1134" w:header="426"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6ACE" w14:textId="77777777" w:rsidR="00B11AA6" w:rsidRDefault="00B11AA6" w:rsidP="0073176F">
      <w:pPr>
        <w:spacing w:after="0" w:line="240" w:lineRule="auto"/>
      </w:pPr>
      <w:r>
        <w:separator/>
      </w:r>
    </w:p>
  </w:endnote>
  <w:endnote w:type="continuationSeparator" w:id="0">
    <w:p w14:paraId="51B09A8D" w14:textId="77777777" w:rsidR="00B11AA6" w:rsidRDefault="00B11AA6" w:rsidP="0073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YInterstate Light">
    <w:altName w:val="Arial Narrow"/>
    <w:charset w:val="00"/>
    <w:family w:val="auto"/>
    <w:pitch w:val="variable"/>
    <w:sig w:usb0="A00002AF" w:usb1="5000206A" w:usb2="00000000" w:usb3="00000000" w:csb0="0000009F" w:csb1="00000000"/>
  </w:font>
  <w:font w:name="EYInterstate">
    <w:altName w:val="Times New Roman"/>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709A4" w14:textId="77777777" w:rsidR="00B11AA6" w:rsidRDefault="00B11A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8F52" w14:textId="3096520A" w:rsidR="00B11AA6" w:rsidRPr="00617203" w:rsidRDefault="00B11AA6" w:rsidP="00D247FF">
    <w:pPr>
      <w:pStyle w:val="Fuzeile"/>
      <w:tabs>
        <w:tab w:val="clear" w:pos="9072"/>
        <w:tab w:val="right" w:pos="14317"/>
      </w:tabs>
      <w:rPr>
        <w:rFonts w:cs="Arial"/>
        <w:sz w:val="16"/>
        <w:szCs w:val="16"/>
      </w:rPr>
    </w:pPr>
    <w:r w:rsidRPr="00617203">
      <w:rPr>
        <w:sz w:val="16"/>
        <w:szCs w:val="16"/>
      </w:rPr>
      <w:t>Für das Prüfgebiet „Interne Organisati</w:t>
    </w:r>
    <w:r>
      <w:rPr>
        <w:sz w:val="16"/>
        <w:szCs w:val="16"/>
      </w:rPr>
      <w:t>on und internes Kontrollsystem</w:t>
    </w:r>
    <w:r w:rsidRPr="00617203">
      <w:rPr>
        <w:sz w:val="16"/>
        <w:szCs w:val="16"/>
      </w:rPr>
      <w:t xml:space="preserve">“ anwendbare Prüfungshandlungen </w:t>
    </w:r>
  </w:p>
  <w:p w14:paraId="6D608F53" w14:textId="3AC11178" w:rsidR="00B11AA6" w:rsidRPr="00652C6C" w:rsidRDefault="00B11AA6" w:rsidP="00827A59">
    <w:pPr>
      <w:pStyle w:val="Fuzeile"/>
      <w:tabs>
        <w:tab w:val="clear" w:pos="9072"/>
        <w:tab w:val="left" w:pos="1395"/>
        <w:tab w:val="right" w:pos="14317"/>
      </w:tabs>
      <w:rPr>
        <w:rFonts w:cs="Arial"/>
        <w:sz w:val="16"/>
        <w:szCs w:val="16"/>
      </w:rPr>
    </w:pPr>
    <w:r w:rsidRPr="00617203">
      <w:rPr>
        <w:sz w:val="16"/>
        <w:szCs w:val="16"/>
      </w:rPr>
      <w:t xml:space="preserve">Version </w:t>
    </w:r>
    <w:r>
      <w:rPr>
        <w:sz w:val="16"/>
        <w:szCs w:val="16"/>
      </w:rPr>
      <w:t>vom 31. März 2020, anwendbar ab Prüfperiode 2020 (Prüfjahre beginnend am 01.01.2020 oder später)</w:t>
    </w:r>
    <w:r>
      <w:rPr>
        <w:sz w:val="16"/>
        <w:szCs w:val="16"/>
      </w:rPr>
      <w:tab/>
    </w:r>
    <w:r w:rsidRPr="00652C6C">
      <w:rPr>
        <w:sz w:val="16"/>
        <w:szCs w:val="16"/>
      </w:rPr>
      <w:t>Seite </w:t>
    </w:r>
    <w:r w:rsidRPr="00652C6C">
      <w:rPr>
        <w:rFonts w:cs="Arial"/>
        <w:sz w:val="16"/>
        <w:szCs w:val="16"/>
      </w:rPr>
      <w:fldChar w:fldCharType="begin"/>
    </w:r>
    <w:r w:rsidRPr="00960C35">
      <w:rPr>
        <w:rFonts w:cs="Arial"/>
        <w:sz w:val="16"/>
        <w:szCs w:val="16"/>
      </w:rPr>
      <w:instrText xml:space="preserve"> PAGE   \* MERGEFORMAT </w:instrText>
    </w:r>
    <w:r w:rsidRPr="00652C6C">
      <w:rPr>
        <w:rFonts w:cs="Arial"/>
        <w:sz w:val="16"/>
        <w:szCs w:val="16"/>
      </w:rPr>
      <w:fldChar w:fldCharType="separate"/>
    </w:r>
    <w:r w:rsidR="007D5E48">
      <w:rPr>
        <w:rFonts w:cs="Arial"/>
        <w:noProof/>
        <w:sz w:val="16"/>
        <w:szCs w:val="16"/>
      </w:rPr>
      <w:t>11</w:t>
    </w:r>
    <w:r w:rsidRPr="00652C6C">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5498" w14:textId="77777777" w:rsidR="00B11AA6" w:rsidRDefault="00B11A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103F8" w14:textId="77777777" w:rsidR="00B11AA6" w:rsidRDefault="00B11AA6" w:rsidP="0073176F">
      <w:pPr>
        <w:spacing w:after="0" w:line="240" w:lineRule="auto"/>
      </w:pPr>
      <w:r>
        <w:separator/>
      </w:r>
    </w:p>
  </w:footnote>
  <w:footnote w:type="continuationSeparator" w:id="0">
    <w:p w14:paraId="2F7C5CFA" w14:textId="77777777" w:rsidR="00B11AA6" w:rsidRDefault="00B11AA6" w:rsidP="0073176F">
      <w:pPr>
        <w:spacing w:after="0" w:line="240" w:lineRule="auto"/>
      </w:pPr>
      <w:r>
        <w:continuationSeparator/>
      </w:r>
    </w:p>
  </w:footnote>
  <w:footnote w:id="1">
    <w:p w14:paraId="7B18DA6D" w14:textId="3D7C7C86" w:rsidR="00B11AA6" w:rsidRPr="00724D92" w:rsidRDefault="00B11AA6">
      <w:pPr>
        <w:pStyle w:val="Funotentext"/>
        <w:rPr>
          <w:lang w:val="de-CH"/>
        </w:rPr>
      </w:pPr>
      <w:r>
        <w:rPr>
          <w:rStyle w:val="Funotenzeichen"/>
        </w:rPr>
        <w:footnoteRef/>
      </w:r>
      <w:r>
        <w:t xml:space="preserve"> </w:t>
      </w:r>
      <w:r>
        <w:rPr>
          <w:sz w:val="18"/>
          <w:szCs w:val="18"/>
        </w:rPr>
        <w:t>Rz 33 und 34 FINMA-RS 13/3.</w:t>
      </w:r>
    </w:p>
  </w:footnote>
  <w:footnote w:id="2">
    <w:p w14:paraId="6D608F56" w14:textId="4FB54EDF" w:rsidR="00B11AA6" w:rsidRPr="000A16F9" w:rsidRDefault="00B11AA6">
      <w:pPr>
        <w:pStyle w:val="Funotentext"/>
        <w:rPr>
          <w:sz w:val="18"/>
          <w:szCs w:val="18"/>
          <w:lang w:val="de-CH"/>
        </w:rPr>
      </w:pPr>
      <w:r w:rsidRPr="000A16F9">
        <w:rPr>
          <w:rStyle w:val="Funotenzeichen"/>
          <w:sz w:val="18"/>
          <w:szCs w:val="18"/>
        </w:rPr>
        <w:footnoteRef/>
      </w:r>
      <w:r w:rsidRPr="000A16F9">
        <w:rPr>
          <w:sz w:val="18"/>
          <w:szCs w:val="18"/>
        </w:rPr>
        <w:t xml:space="preserve"> Basisprüfung von Instituten der Kategorie 1. </w:t>
      </w:r>
    </w:p>
  </w:footnote>
  <w:footnote w:id="3">
    <w:p w14:paraId="1BF62201" w14:textId="2DD27A87" w:rsidR="00B11AA6" w:rsidRPr="009D74D1" w:rsidRDefault="00B11AA6">
      <w:pPr>
        <w:pStyle w:val="Funotentext"/>
        <w:rPr>
          <w:sz w:val="16"/>
          <w:szCs w:val="16"/>
          <w:lang w:val="de-CH"/>
        </w:rPr>
      </w:pPr>
      <w:r w:rsidRPr="009D74D1">
        <w:rPr>
          <w:rStyle w:val="Funotenzeichen"/>
          <w:sz w:val="16"/>
          <w:szCs w:val="16"/>
        </w:rPr>
        <w:footnoteRef/>
      </w:r>
      <w:r w:rsidRPr="009D74D1">
        <w:rPr>
          <w:sz w:val="16"/>
          <w:szCs w:val="16"/>
        </w:rPr>
        <w:t xml:space="preserve"> </w:t>
      </w:r>
      <w:r w:rsidRPr="009D74D1">
        <w:rPr>
          <w:sz w:val="16"/>
          <w:szCs w:val="16"/>
          <w:lang w:val="de-CH"/>
        </w:rPr>
        <w:t xml:space="preserve">Die Prüfpunkte zu Vergütungssystemen sind nur für Institute gemäss Rz 6 FINMA-RS 10/1 </w:t>
      </w:r>
      <w:r>
        <w:rPr>
          <w:sz w:val="16"/>
          <w:szCs w:val="16"/>
          <w:lang w:val="de-CH"/>
        </w:rPr>
        <w:t>a</w:t>
      </w:r>
      <w:r w:rsidRPr="009D74D1">
        <w:rPr>
          <w:sz w:val="16"/>
          <w:szCs w:val="16"/>
          <w:lang w:val="de-CH"/>
        </w:rPr>
        <w:t>nwendbar.</w:t>
      </w:r>
    </w:p>
  </w:footnote>
  <w:footnote w:id="4">
    <w:p w14:paraId="5F37A816" w14:textId="3A023E38" w:rsidR="00B11AA6" w:rsidRPr="00C06A90" w:rsidRDefault="00B11AA6">
      <w:pPr>
        <w:pStyle w:val="Funotentext"/>
        <w:rPr>
          <w:sz w:val="16"/>
          <w:lang w:val="de-CH"/>
        </w:rPr>
      </w:pPr>
      <w:r w:rsidRPr="00C06A90">
        <w:rPr>
          <w:rStyle w:val="Funotenzeichen"/>
          <w:sz w:val="16"/>
        </w:rPr>
        <w:footnoteRef/>
      </w:r>
      <w:r w:rsidRPr="00C06A90">
        <w:rPr>
          <w:sz w:val="16"/>
        </w:rPr>
        <w:t xml:space="preserve"> </w:t>
      </w:r>
      <w:r w:rsidRPr="00C06A90">
        <w:rPr>
          <w:sz w:val="16"/>
          <w:lang w:val="de-CH"/>
        </w:rPr>
        <w:t xml:space="preserve">Nicht anwendbar für Institute </w:t>
      </w:r>
      <w:r w:rsidRPr="00DA1B7B">
        <w:rPr>
          <w:sz w:val="16"/>
          <w:lang w:val="de-CH"/>
        </w:rPr>
        <w:t>gemäss Art. 47</w:t>
      </w:r>
      <w:r w:rsidRPr="00B11AA6">
        <w:rPr>
          <w:i/>
          <w:sz w:val="16"/>
          <w:lang w:val="de-CH"/>
        </w:rPr>
        <w:t>a</w:t>
      </w:r>
      <w:r w:rsidRPr="00DA1B7B">
        <w:rPr>
          <w:sz w:val="16"/>
          <w:lang w:val="de-CH"/>
        </w:rPr>
        <w:t xml:space="preserve"> bis 47</w:t>
      </w:r>
      <w:r w:rsidRPr="00B11AA6">
        <w:rPr>
          <w:i/>
          <w:sz w:val="16"/>
          <w:lang w:val="de-CH"/>
        </w:rPr>
        <w:t>e</w:t>
      </w:r>
      <w:r w:rsidRPr="00DA1B7B">
        <w:rPr>
          <w:sz w:val="16"/>
          <w:lang w:val="de-CH"/>
        </w:rPr>
        <w:t xml:space="preserve"> ERV</w:t>
      </w:r>
      <w:r w:rsidRPr="00C06A90">
        <w:rPr>
          <w:sz w:val="16"/>
          <w:lang w:val="de-CH"/>
        </w:rPr>
        <w:t xml:space="preserve">. Diese können sich bei der Offenlegung auf die für sie geltenden </w:t>
      </w:r>
      <w:r w:rsidRPr="00B11AA6">
        <w:rPr>
          <w:i/>
          <w:sz w:val="16"/>
          <w:lang w:val="de-CH"/>
        </w:rPr>
        <w:t xml:space="preserve">Key </w:t>
      </w:r>
      <w:proofErr w:type="spellStart"/>
      <w:r w:rsidRPr="00B11AA6">
        <w:rPr>
          <w:i/>
          <w:sz w:val="16"/>
          <w:lang w:val="de-CH"/>
        </w:rPr>
        <w:t>Metrics</w:t>
      </w:r>
      <w:proofErr w:type="spellEnd"/>
      <w:r w:rsidRPr="00C06A90">
        <w:rPr>
          <w:sz w:val="16"/>
          <w:lang w:val="de-CH"/>
        </w:rPr>
        <w:t xml:space="preserve"> beschränken. Vgl. Rz 8.1 FINMA-RS 16/1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53D3" w14:textId="77777777" w:rsidR="00B11AA6" w:rsidRDefault="00B11A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8F4C" w14:textId="222C0AD7" w:rsidR="00B11AA6" w:rsidRPr="00617203" w:rsidRDefault="00B11AA6" w:rsidP="00617203">
    <w:pPr>
      <w:tabs>
        <w:tab w:val="left" w:pos="4253"/>
        <w:tab w:val="right" w:pos="14317"/>
      </w:tabs>
      <w:spacing w:after="0" w:line="240" w:lineRule="auto"/>
      <w:rPr>
        <w:rFonts w:cs="Arial"/>
        <w:sz w:val="16"/>
        <w:szCs w:val="16"/>
      </w:rPr>
    </w:pPr>
    <w:r w:rsidRPr="00617203">
      <w:rPr>
        <w:noProof/>
        <w:sz w:val="16"/>
        <w:szCs w:val="16"/>
        <w:lang w:val="de-CH" w:eastAsia="de-CH" w:bidi="ar-SA"/>
      </w:rPr>
      <w:drawing>
        <wp:anchor distT="0" distB="0" distL="114300" distR="114300" simplePos="0" relativeHeight="251662848" behindDoc="1" locked="0" layoutInCell="1" allowOverlap="1" wp14:anchorId="6D608F54" wp14:editId="2B4D5B31">
          <wp:simplePos x="0" y="0"/>
          <wp:positionH relativeFrom="column">
            <wp:posOffset>7301865</wp:posOffset>
          </wp:positionH>
          <wp:positionV relativeFrom="paragraph">
            <wp:posOffset>-35560</wp:posOffset>
          </wp:positionV>
          <wp:extent cx="1778000" cy="715010"/>
          <wp:effectExtent l="0" t="0" r="0" b="8890"/>
          <wp:wrapTight wrapText="bothSides">
            <wp:wrapPolygon edited="0">
              <wp:start x="0" y="0"/>
              <wp:lineTo x="0" y="21293"/>
              <wp:lineTo x="21291" y="21293"/>
              <wp:lineTo x="21291" y="0"/>
              <wp:lineTo x="0"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FIN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800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C6C">
      <w:rPr>
        <w:b/>
        <w:sz w:val="16"/>
        <w:szCs w:val="16"/>
        <w:highlight w:val="yellow"/>
      </w:rPr>
      <w:t>[Institut XY]</w:t>
    </w:r>
    <w:r w:rsidRPr="00617203">
      <w:rPr>
        <w:sz w:val="16"/>
        <w:szCs w:val="16"/>
      </w:rPr>
      <w:tab/>
    </w:r>
    <w:r w:rsidRPr="00652C6C">
      <w:rPr>
        <w:sz w:val="16"/>
        <w:szCs w:val="16"/>
      </w:rPr>
      <w:t xml:space="preserve">Referenz: </w:t>
    </w:r>
    <w:r w:rsidRPr="00652C6C">
      <w:rPr>
        <w:sz w:val="16"/>
        <w:szCs w:val="16"/>
        <w:highlight w:val="yellow"/>
      </w:rPr>
      <w:t>[Referenz hinzufügen]</w:t>
    </w:r>
  </w:p>
  <w:p w14:paraId="6D608F4D" w14:textId="3977EFCA" w:rsidR="00B11AA6" w:rsidRPr="00652C6C" w:rsidRDefault="00B11AA6" w:rsidP="00617203">
    <w:pPr>
      <w:tabs>
        <w:tab w:val="left" w:pos="4253"/>
        <w:tab w:val="right" w:pos="14317"/>
      </w:tabs>
      <w:spacing w:after="0" w:line="240" w:lineRule="auto"/>
      <w:rPr>
        <w:rFonts w:cs="Arial"/>
        <w:sz w:val="16"/>
        <w:szCs w:val="16"/>
      </w:rPr>
    </w:pPr>
    <w:r w:rsidRPr="00617203">
      <w:rPr>
        <w:sz w:val="16"/>
        <w:szCs w:val="16"/>
      </w:rPr>
      <w:t xml:space="preserve">Prüfperiode </w:t>
    </w:r>
    <w:r w:rsidRPr="00652C6C">
      <w:rPr>
        <w:sz w:val="16"/>
        <w:szCs w:val="16"/>
        <w:highlight w:val="yellow"/>
      </w:rPr>
      <w:t>20XX</w:t>
    </w:r>
    <w:r w:rsidRPr="00617203">
      <w:rPr>
        <w:sz w:val="16"/>
        <w:szCs w:val="16"/>
      </w:rPr>
      <w:tab/>
    </w:r>
    <w:proofErr w:type="spellStart"/>
    <w:r w:rsidRPr="00652C6C">
      <w:rPr>
        <w:b/>
        <w:sz w:val="16"/>
        <w:szCs w:val="16"/>
      </w:rPr>
      <w:t>Interne</w:t>
    </w:r>
    <w:proofErr w:type="spellEnd"/>
    <w:r w:rsidRPr="00652C6C">
      <w:rPr>
        <w:b/>
        <w:sz w:val="16"/>
        <w:szCs w:val="16"/>
      </w:rPr>
      <w:t xml:space="preserve"> Organisation un</w:t>
    </w:r>
    <w:r>
      <w:rPr>
        <w:b/>
        <w:sz w:val="16"/>
        <w:szCs w:val="16"/>
      </w:rPr>
      <w:t>d internes Kontrollsystem</w:t>
    </w:r>
  </w:p>
  <w:p w14:paraId="6D608F4E" w14:textId="768279CF" w:rsidR="00B11AA6" w:rsidRPr="00617203" w:rsidRDefault="00B11AA6" w:rsidP="00617203">
    <w:pPr>
      <w:tabs>
        <w:tab w:val="center" w:pos="4536"/>
        <w:tab w:val="right" w:pos="9072"/>
      </w:tabs>
      <w:spacing w:after="0" w:line="240" w:lineRule="auto"/>
      <w:rPr>
        <w:rFonts w:cs="Arial"/>
        <w:sz w:val="16"/>
        <w:szCs w:val="16"/>
      </w:rPr>
    </w:pPr>
  </w:p>
  <w:p w14:paraId="6D608F51" w14:textId="77777777" w:rsidR="00B11AA6" w:rsidRPr="00617203" w:rsidRDefault="00B11AA6">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AD02" w14:textId="77777777" w:rsidR="00B11AA6" w:rsidRDefault="00B11A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5E570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15:restartNumberingAfterBreak="0">
    <w:nsid w:val="202A2DCF"/>
    <w:multiLevelType w:val="hybridMultilevel"/>
    <w:tmpl w:val="501817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3E20BD"/>
    <w:multiLevelType w:val="multilevel"/>
    <w:tmpl w:val="545A961C"/>
    <w:numStyleLink w:val="ListePP"/>
  </w:abstractNum>
  <w:abstractNum w:abstractNumId="4" w15:restartNumberingAfterBreak="0">
    <w:nsid w:val="2A9972C8"/>
    <w:multiLevelType w:val="hybridMultilevel"/>
    <w:tmpl w:val="75F6DD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F312FE9"/>
    <w:multiLevelType w:val="hybridMultilevel"/>
    <w:tmpl w:val="4F34DC4E"/>
    <w:lvl w:ilvl="0" w:tplc="4AF4E9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C65080"/>
    <w:multiLevelType w:val="hybridMultilevel"/>
    <w:tmpl w:val="B32E78E0"/>
    <w:lvl w:ilvl="0" w:tplc="1AC414F8">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65E23D6"/>
    <w:multiLevelType w:val="hybridMultilevel"/>
    <w:tmpl w:val="23A83744"/>
    <w:lvl w:ilvl="0" w:tplc="77D6C75C">
      <w:start w:val="1"/>
      <w:numFmt w:val="bullet"/>
      <w:lvlText w:val=""/>
      <w:lvlJc w:val="left"/>
      <w:pPr>
        <w:ind w:left="360" w:hanging="360"/>
      </w:pPr>
      <w:rPr>
        <w:rFonts w:ascii="Symbol" w:hAnsi="Symbol" w:hint="default"/>
        <w:b w:val="0"/>
        <w:i w:val="0"/>
        <w:sz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6E6F55BA"/>
    <w:multiLevelType w:val="hybridMultilevel"/>
    <w:tmpl w:val="FD38073C"/>
    <w:lvl w:ilvl="0" w:tplc="F1304CD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65438DF"/>
    <w:multiLevelType w:val="hybridMultilevel"/>
    <w:tmpl w:val="1CF8B3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berschrift3"/>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
    <w:abstractNumId w:val="9"/>
  </w:num>
  <w:num w:numId="4">
    <w:abstractNumId w:val="0"/>
  </w:num>
  <w:num w:numId="5">
    <w:abstractNumId w:val="9"/>
  </w:num>
  <w:num w:numId="6">
    <w:abstractNumId w:val="0"/>
  </w:num>
  <w:num w:numId="7">
    <w:abstractNumId w:val="9"/>
  </w:num>
  <w:num w:numId="8">
    <w:abstractNumId w:val="9"/>
  </w:num>
  <w:num w:numId="9">
    <w:abstractNumId w:val="9"/>
  </w:num>
  <w:num w:numId="10">
    <w:abstractNumId w:val="0"/>
  </w:num>
  <w:num w:numId="11">
    <w:abstractNumId w:val="0"/>
  </w:num>
  <w:num w:numId="12">
    <w:abstractNumId w:val="9"/>
  </w:num>
  <w:num w:numId="13">
    <w:abstractNumId w:val="5"/>
  </w:num>
  <w:num w:numId="14">
    <w:abstractNumId w:val="8"/>
  </w:num>
  <w:num w:numId="15">
    <w:abstractNumId w:val="0"/>
  </w:num>
  <w:num w:numId="16">
    <w:abstractNumId w:val="0"/>
  </w:num>
  <w:num w:numId="17">
    <w:abstractNumId w:val="0"/>
  </w:num>
  <w:num w:numId="18">
    <w:abstractNumId w:val="0"/>
  </w:num>
  <w:num w:numId="19">
    <w:abstractNumId w:val="4"/>
  </w:num>
  <w:num w:numId="20">
    <w:abstractNumId w:val="9"/>
  </w:num>
  <w:num w:numId="21">
    <w:abstractNumId w:val="0"/>
  </w:num>
  <w:num w:numId="22">
    <w:abstractNumId w:val="2"/>
  </w:num>
  <w:num w:numId="23">
    <w:abstractNumId w:val="10"/>
  </w:num>
  <w:num w:numId="24">
    <w:abstractNumId w:val="7"/>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autoHyphenation/>
  <w:hyphenationZone w:val="567"/>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6F"/>
    <w:rsid w:val="000038B7"/>
    <w:rsid w:val="00004411"/>
    <w:rsid w:val="000067CF"/>
    <w:rsid w:val="00006AD7"/>
    <w:rsid w:val="00006BC9"/>
    <w:rsid w:val="00007639"/>
    <w:rsid w:val="00011989"/>
    <w:rsid w:val="00012AEB"/>
    <w:rsid w:val="00012CCD"/>
    <w:rsid w:val="00013CC5"/>
    <w:rsid w:val="00014CAD"/>
    <w:rsid w:val="0001506A"/>
    <w:rsid w:val="00015372"/>
    <w:rsid w:val="00016202"/>
    <w:rsid w:val="00016B0E"/>
    <w:rsid w:val="00016C72"/>
    <w:rsid w:val="00020474"/>
    <w:rsid w:val="000209A9"/>
    <w:rsid w:val="0002133D"/>
    <w:rsid w:val="00022135"/>
    <w:rsid w:val="00022671"/>
    <w:rsid w:val="0002429A"/>
    <w:rsid w:val="000251A4"/>
    <w:rsid w:val="0002624A"/>
    <w:rsid w:val="00030F77"/>
    <w:rsid w:val="000311E0"/>
    <w:rsid w:val="00031355"/>
    <w:rsid w:val="000363B1"/>
    <w:rsid w:val="000366CA"/>
    <w:rsid w:val="00036D65"/>
    <w:rsid w:val="00041BB7"/>
    <w:rsid w:val="000424C9"/>
    <w:rsid w:val="0004253A"/>
    <w:rsid w:val="00042A8B"/>
    <w:rsid w:val="00047096"/>
    <w:rsid w:val="00047792"/>
    <w:rsid w:val="00047C8C"/>
    <w:rsid w:val="00051655"/>
    <w:rsid w:val="00052219"/>
    <w:rsid w:val="00052F74"/>
    <w:rsid w:val="00054FC6"/>
    <w:rsid w:val="00055633"/>
    <w:rsid w:val="00057794"/>
    <w:rsid w:val="000608A8"/>
    <w:rsid w:val="00060C63"/>
    <w:rsid w:val="00061BA4"/>
    <w:rsid w:val="000624A4"/>
    <w:rsid w:val="000634CA"/>
    <w:rsid w:val="000652CA"/>
    <w:rsid w:val="00065D05"/>
    <w:rsid w:val="000661B3"/>
    <w:rsid w:val="00067665"/>
    <w:rsid w:val="00070C3D"/>
    <w:rsid w:val="000735D6"/>
    <w:rsid w:val="00082C26"/>
    <w:rsid w:val="00082D9B"/>
    <w:rsid w:val="00083FB0"/>
    <w:rsid w:val="000843F8"/>
    <w:rsid w:val="00085B58"/>
    <w:rsid w:val="000869BB"/>
    <w:rsid w:val="000877B1"/>
    <w:rsid w:val="00090ADF"/>
    <w:rsid w:val="00090FAF"/>
    <w:rsid w:val="000926CB"/>
    <w:rsid w:val="00093407"/>
    <w:rsid w:val="00093842"/>
    <w:rsid w:val="00095183"/>
    <w:rsid w:val="00095592"/>
    <w:rsid w:val="000A0B0F"/>
    <w:rsid w:val="000A16F9"/>
    <w:rsid w:val="000A1BD5"/>
    <w:rsid w:val="000A3A51"/>
    <w:rsid w:val="000A42AC"/>
    <w:rsid w:val="000A581D"/>
    <w:rsid w:val="000A60E5"/>
    <w:rsid w:val="000A6E44"/>
    <w:rsid w:val="000A6E53"/>
    <w:rsid w:val="000B0AEC"/>
    <w:rsid w:val="000B3D37"/>
    <w:rsid w:val="000B5B37"/>
    <w:rsid w:val="000B6A11"/>
    <w:rsid w:val="000B76EE"/>
    <w:rsid w:val="000B79EE"/>
    <w:rsid w:val="000B7C09"/>
    <w:rsid w:val="000C0BDE"/>
    <w:rsid w:val="000C162D"/>
    <w:rsid w:val="000C4F2D"/>
    <w:rsid w:val="000C7424"/>
    <w:rsid w:val="000C7D90"/>
    <w:rsid w:val="000D12C2"/>
    <w:rsid w:val="000D13B1"/>
    <w:rsid w:val="000D398C"/>
    <w:rsid w:val="000D6113"/>
    <w:rsid w:val="000D6161"/>
    <w:rsid w:val="000E043C"/>
    <w:rsid w:val="000E1C2F"/>
    <w:rsid w:val="000E3618"/>
    <w:rsid w:val="000E37FC"/>
    <w:rsid w:val="000E4272"/>
    <w:rsid w:val="000E50B3"/>
    <w:rsid w:val="000E590A"/>
    <w:rsid w:val="000E677E"/>
    <w:rsid w:val="000E6A63"/>
    <w:rsid w:val="000E6EE6"/>
    <w:rsid w:val="000E7D0B"/>
    <w:rsid w:val="000F233C"/>
    <w:rsid w:val="000F2476"/>
    <w:rsid w:val="000F42F4"/>
    <w:rsid w:val="000F4671"/>
    <w:rsid w:val="000F74EB"/>
    <w:rsid w:val="001008BC"/>
    <w:rsid w:val="00100AB2"/>
    <w:rsid w:val="00100F5B"/>
    <w:rsid w:val="001038EF"/>
    <w:rsid w:val="00107C0F"/>
    <w:rsid w:val="00107E58"/>
    <w:rsid w:val="0011059F"/>
    <w:rsid w:val="00110A2E"/>
    <w:rsid w:val="00110D57"/>
    <w:rsid w:val="001112D4"/>
    <w:rsid w:val="0011142A"/>
    <w:rsid w:val="00111449"/>
    <w:rsid w:val="00111BD5"/>
    <w:rsid w:val="001125B1"/>
    <w:rsid w:val="0012026E"/>
    <w:rsid w:val="00120F66"/>
    <w:rsid w:val="00121478"/>
    <w:rsid w:val="00121E7A"/>
    <w:rsid w:val="00121F9E"/>
    <w:rsid w:val="00123E39"/>
    <w:rsid w:val="00124C11"/>
    <w:rsid w:val="00127B56"/>
    <w:rsid w:val="00130B30"/>
    <w:rsid w:val="00131D47"/>
    <w:rsid w:val="001347FC"/>
    <w:rsid w:val="00136832"/>
    <w:rsid w:val="0014034B"/>
    <w:rsid w:val="00141559"/>
    <w:rsid w:val="00142C84"/>
    <w:rsid w:val="00143645"/>
    <w:rsid w:val="0014398E"/>
    <w:rsid w:val="00146B9B"/>
    <w:rsid w:val="00146BD6"/>
    <w:rsid w:val="0014750E"/>
    <w:rsid w:val="001524A9"/>
    <w:rsid w:val="0015290D"/>
    <w:rsid w:val="00153358"/>
    <w:rsid w:val="00155567"/>
    <w:rsid w:val="00157260"/>
    <w:rsid w:val="00160B64"/>
    <w:rsid w:val="001610BF"/>
    <w:rsid w:val="00166DBD"/>
    <w:rsid w:val="00166E49"/>
    <w:rsid w:val="0016794B"/>
    <w:rsid w:val="0017032A"/>
    <w:rsid w:val="001737DA"/>
    <w:rsid w:val="00173D99"/>
    <w:rsid w:val="00173ED3"/>
    <w:rsid w:val="00174949"/>
    <w:rsid w:val="0017531B"/>
    <w:rsid w:val="00175CF3"/>
    <w:rsid w:val="0018043A"/>
    <w:rsid w:val="0018043C"/>
    <w:rsid w:val="00182272"/>
    <w:rsid w:val="00183846"/>
    <w:rsid w:val="00185722"/>
    <w:rsid w:val="00185758"/>
    <w:rsid w:val="00186C72"/>
    <w:rsid w:val="00190590"/>
    <w:rsid w:val="00191D14"/>
    <w:rsid w:val="0019241A"/>
    <w:rsid w:val="00194422"/>
    <w:rsid w:val="001945E6"/>
    <w:rsid w:val="001954E8"/>
    <w:rsid w:val="0019797A"/>
    <w:rsid w:val="001A105A"/>
    <w:rsid w:val="001A1AC0"/>
    <w:rsid w:val="001A1B32"/>
    <w:rsid w:val="001A39AF"/>
    <w:rsid w:val="001B06BD"/>
    <w:rsid w:val="001B0E19"/>
    <w:rsid w:val="001B128C"/>
    <w:rsid w:val="001B22AD"/>
    <w:rsid w:val="001B2788"/>
    <w:rsid w:val="001B3543"/>
    <w:rsid w:val="001B380C"/>
    <w:rsid w:val="001B3A1A"/>
    <w:rsid w:val="001B416F"/>
    <w:rsid w:val="001B4BC1"/>
    <w:rsid w:val="001B4C64"/>
    <w:rsid w:val="001B763E"/>
    <w:rsid w:val="001C001D"/>
    <w:rsid w:val="001C0CFD"/>
    <w:rsid w:val="001C1216"/>
    <w:rsid w:val="001C22FE"/>
    <w:rsid w:val="001C4063"/>
    <w:rsid w:val="001C474C"/>
    <w:rsid w:val="001C52E1"/>
    <w:rsid w:val="001C7344"/>
    <w:rsid w:val="001C7622"/>
    <w:rsid w:val="001D0059"/>
    <w:rsid w:val="001D023A"/>
    <w:rsid w:val="001D3C51"/>
    <w:rsid w:val="001D3F89"/>
    <w:rsid w:val="001E0C10"/>
    <w:rsid w:val="001E2A56"/>
    <w:rsid w:val="001E49CA"/>
    <w:rsid w:val="001E6CC8"/>
    <w:rsid w:val="001E7E5E"/>
    <w:rsid w:val="001F02CD"/>
    <w:rsid w:val="001F2158"/>
    <w:rsid w:val="001F24B7"/>
    <w:rsid w:val="001F3034"/>
    <w:rsid w:val="001F3507"/>
    <w:rsid w:val="001F39B2"/>
    <w:rsid w:val="001F440D"/>
    <w:rsid w:val="001F599D"/>
    <w:rsid w:val="001F6305"/>
    <w:rsid w:val="001F65D0"/>
    <w:rsid w:val="001F77B1"/>
    <w:rsid w:val="001F782E"/>
    <w:rsid w:val="0020088C"/>
    <w:rsid w:val="00201E2E"/>
    <w:rsid w:val="00202B37"/>
    <w:rsid w:val="00207C18"/>
    <w:rsid w:val="002104F2"/>
    <w:rsid w:val="0021155E"/>
    <w:rsid w:val="00211A49"/>
    <w:rsid w:val="00211D49"/>
    <w:rsid w:val="00211D75"/>
    <w:rsid w:val="00211E93"/>
    <w:rsid w:val="00212645"/>
    <w:rsid w:val="00213428"/>
    <w:rsid w:val="0021403B"/>
    <w:rsid w:val="0021406D"/>
    <w:rsid w:val="002157DE"/>
    <w:rsid w:val="00216358"/>
    <w:rsid w:val="00216E73"/>
    <w:rsid w:val="00220745"/>
    <w:rsid w:val="0022183B"/>
    <w:rsid w:val="002219EF"/>
    <w:rsid w:val="0022227C"/>
    <w:rsid w:val="00222D10"/>
    <w:rsid w:val="00223408"/>
    <w:rsid w:val="00223F6D"/>
    <w:rsid w:val="0022521D"/>
    <w:rsid w:val="0022774D"/>
    <w:rsid w:val="0023086C"/>
    <w:rsid w:val="002311A4"/>
    <w:rsid w:val="002314A8"/>
    <w:rsid w:val="00232D62"/>
    <w:rsid w:val="0023405D"/>
    <w:rsid w:val="00234352"/>
    <w:rsid w:val="002347B9"/>
    <w:rsid w:val="00234CCB"/>
    <w:rsid w:val="00235C97"/>
    <w:rsid w:val="00240C18"/>
    <w:rsid w:val="0024141C"/>
    <w:rsid w:val="00242618"/>
    <w:rsid w:val="0024269F"/>
    <w:rsid w:val="002434AC"/>
    <w:rsid w:val="00244A55"/>
    <w:rsid w:val="0024636B"/>
    <w:rsid w:val="0024768A"/>
    <w:rsid w:val="00247845"/>
    <w:rsid w:val="002500D9"/>
    <w:rsid w:val="00250F35"/>
    <w:rsid w:val="00251456"/>
    <w:rsid w:val="0025192F"/>
    <w:rsid w:val="00251AE5"/>
    <w:rsid w:val="00251FD0"/>
    <w:rsid w:val="00253AE1"/>
    <w:rsid w:val="00253DDB"/>
    <w:rsid w:val="002553A1"/>
    <w:rsid w:val="0025569C"/>
    <w:rsid w:val="0025724C"/>
    <w:rsid w:val="00261820"/>
    <w:rsid w:val="00262ECC"/>
    <w:rsid w:val="002636B8"/>
    <w:rsid w:val="00266F48"/>
    <w:rsid w:val="00267097"/>
    <w:rsid w:val="00267951"/>
    <w:rsid w:val="0027033C"/>
    <w:rsid w:val="0027130B"/>
    <w:rsid w:val="002729E7"/>
    <w:rsid w:val="002743FF"/>
    <w:rsid w:val="002745A3"/>
    <w:rsid w:val="0027643F"/>
    <w:rsid w:val="002767F3"/>
    <w:rsid w:val="00282365"/>
    <w:rsid w:val="00282AF6"/>
    <w:rsid w:val="00283147"/>
    <w:rsid w:val="00284351"/>
    <w:rsid w:val="00284424"/>
    <w:rsid w:val="00284880"/>
    <w:rsid w:val="002856CE"/>
    <w:rsid w:val="00286E06"/>
    <w:rsid w:val="002910B0"/>
    <w:rsid w:val="002933D3"/>
    <w:rsid w:val="002952FE"/>
    <w:rsid w:val="00297485"/>
    <w:rsid w:val="002A0AFC"/>
    <w:rsid w:val="002A1E46"/>
    <w:rsid w:val="002A238B"/>
    <w:rsid w:val="002A2426"/>
    <w:rsid w:val="002A2544"/>
    <w:rsid w:val="002A3D86"/>
    <w:rsid w:val="002A48CB"/>
    <w:rsid w:val="002A579C"/>
    <w:rsid w:val="002B0057"/>
    <w:rsid w:val="002B19F9"/>
    <w:rsid w:val="002B2539"/>
    <w:rsid w:val="002B3029"/>
    <w:rsid w:val="002B3A01"/>
    <w:rsid w:val="002B4896"/>
    <w:rsid w:val="002B4AE7"/>
    <w:rsid w:val="002B79CF"/>
    <w:rsid w:val="002B7ED8"/>
    <w:rsid w:val="002C24C7"/>
    <w:rsid w:val="002C2523"/>
    <w:rsid w:val="002C3A35"/>
    <w:rsid w:val="002C7744"/>
    <w:rsid w:val="002D08A4"/>
    <w:rsid w:val="002D1C55"/>
    <w:rsid w:val="002D2A40"/>
    <w:rsid w:val="002D3883"/>
    <w:rsid w:val="002D4C85"/>
    <w:rsid w:val="002D4D9A"/>
    <w:rsid w:val="002D56A5"/>
    <w:rsid w:val="002D5DB0"/>
    <w:rsid w:val="002D6662"/>
    <w:rsid w:val="002D6DCC"/>
    <w:rsid w:val="002E017C"/>
    <w:rsid w:val="002E033C"/>
    <w:rsid w:val="002E10A8"/>
    <w:rsid w:val="002E545F"/>
    <w:rsid w:val="002F0FC8"/>
    <w:rsid w:val="002F1359"/>
    <w:rsid w:val="002F2940"/>
    <w:rsid w:val="002F2C0F"/>
    <w:rsid w:val="002F6C79"/>
    <w:rsid w:val="002F7710"/>
    <w:rsid w:val="002F78C3"/>
    <w:rsid w:val="002F7CFD"/>
    <w:rsid w:val="002F7E16"/>
    <w:rsid w:val="00300311"/>
    <w:rsid w:val="00301420"/>
    <w:rsid w:val="0030165B"/>
    <w:rsid w:val="003043F6"/>
    <w:rsid w:val="00304472"/>
    <w:rsid w:val="00305F72"/>
    <w:rsid w:val="003072C1"/>
    <w:rsid w:val="00307DC6"/>
    <w:rsid w:val="003105B9"/>
    <w:rsid w:val="00310C41"/>
    <w:rsid w:val="00311C64"/>
    <w:rsid w:val="00312D1B"/>
    <w:rsid w:val="003130A1"/>
    <w:rsid w:val="00313E95"/>
    <w:rsid w:val="00314A15"/>
    <w:rsid w:val="00315D63"/>
    <w:rsid w:val="003164E2"/>
    <w:rsid w:val="00316E7E"/>
    <w:rsid w:val="00317130"/>
    <w:rsid w:val="00317848"/>
    <w:rsid w:val="003179A2"/>
    <w:rsid w:val="0032007C"/>
    <w:rsid w:val="00320CAD"/>
    <w:rsid w:val="00321885"/>
    <w:rsid w:val="00321FD5"/>
    <w:rsid w:val="00322EDE"/>
    <w:rsid w:val="003230EE"/>
    <w:rsid w:val="00325611"/>
    <w:rsid w:val="00327735"/>
    <w:rsid w:val="003324D9"/>
    <w:rsid w:val="003334B7"/>
    <w:rsid w:val="00333D0B"/>
    <w:rsid w:val="00333E26"/>
    <w:rsid w:val="00334C1F"/>
    <w:rsid w:val="003351BB"/>
    <w:rsid w:val="003353FA"/>
    <w:rsid w:val="0033615A"/>
    <w:rsid w:val="003367A0"/>
    <w:rsid w:val="0033737E"/>
    <w:rsid w:val="0034078A"/>
    <w:rsid w:val="00341BA1"/>
    <w:rsid w:val="00346A38"/>
    <w:rsid w:val="00350BD1"/>
    <w:rsid w:val="00350E54"/>
    <w:rsid w:val="0035176B"/>
    <w:rsid w:val="003519F3"/>
    <w:rsid w:val="00351BE1"/>
    <w:rsid w:val="00351EB2"/>
    <w:rsid w:val="00352645"/>
    <w:rsid w:val="00352874"/>
    <w:rsid w:val="003540BD"/>
    <w:rsid w:val="00354A23"/>
    <w:rsid w:val="00354FAD"/>
    <w:rsid w:val="003567BF"/>
    <w:rsid w:val="00357213"/>
    <w:rsid w:val="003579C8"/>
    <w:rsid w:val="00357D7F"/>
    <w:rsid w:val="003610A7"/>
    <w:rsid w:val="003613F7"/>
    <w:rsid w:val="003634E4"/>
    <w:rsid w:val="00364401"/>
    <w:rsid w:val="00366D3A"/>
    <w:rsid w:val="00367CC7"/>
    <w:rsid w:val="00370225"/>
    <w:rsid w:val="00370776"/>
    <w:rsid w:val="0037077C"/>
    <w:rsid w:val="00371281"/>
    <w:rsid w:val="00371620"/>
    <w:rsid w:val="003717DC"/>
    <w:rsid w:val="003725B2"/>
    <w:rsid w:val="0037289F"/>
    <w:rsid w:val="0038190E"/>
    <w:rsid w:val="003827C3"/>
    <w:rsid w:val="00385857"/>
    <w:rsid w:val="0038669F"/>
    <w:rsid w:val="00386725"/>
    <w:rsid w:val="00386A98"/>
    <w:rsid w:val="0039029E"/>
    <w:rsid w:val="00390304"/>
    <w:rsid w:val="00392256"/>
    <w:rsid w:val="0039230C"/>
    <w:rsid w:val="003926DD"/>
    <w:rsid w:val="00392C86"/>
    <w:rsid w:val="00394636"/>
    <w:rsid w:val="00395B22"/>
    <w:rsid w:val="00395C7E"/>
    <w:rsid w:val="003968DD"/>
    <w:rsid w:val="00396930"/>
    <w:rsid w:val="00396CC5"/>
    <w:rsid w:val="00396D67"/>
    <w:rsid w:val="003A1DA5"/>
    <w:rsid w:val="003A41A2"/>
    <w:rsid w:val="003A59C3"/>
    <w:rsid w:val="003A5EE2"/>
    <w:rsid w:val="003A5F61"/>
    <w:rsid w:val="003A63B2"/>
    <w:rsid w:val="003A656C"/>
    <w:rsid w:val="003A74C2"/>
    <w:rsid w:val="003A7D45"/>
    <w:rsid w:val="003B1109"/>
    <w:rsid w:val="003B1D91"/>
    <w:rsid w:val="003B2781"/>
    <w:rsid w:val="003B3F09"/>
    <w:rsid w:val="003B57F9"/>
    <w:rsid w:val="003B60EB"/>
    <w:rsid w:val="003C0030"/>
    <w:rsid w:val="003C0668"/>
    <w:rsid w:val="003C112D"/>
    <w:rsid w:val="003C3657"/>
    <w:rsid w:val="003C3BBB"/>
    <w:rsid w:val="003C4C44"/>
    <w:rsid w:val="003C4F8E"/>
    <w:rsid w:val="003C5B48"/>
    <w:rsid w:val="003C6F80"/>
    <w:rsid w:val="003C79BE"/>
    <w:rsid w:val="003D072E"/>
    <w:rsid w:val="003D1621"/>
    <w:rsid w:val="003D1FBC"/>
    <w:rsid w:val="003D2D4A"/>
    <w:rsid w:val="003D42C9"/>
    <w:rsid w:val="003D5B18"/>
    <w:rsid w:val="003E0B77"/>
    <w:rsid w:val="003E1DA2"/>
    <w:rsid w:val="003E2A5B"/>
    <w:rsid w:val="003E350D"/>
    <w:rsid w:val="003E4685"/>
    <w:rsid w:val="003F1BA6"/>
    <w:rsid w:val="003F1EE5"/>
    <w:rsid w:val="003F2543"/>
    <w:rsid w:val="003F2BCB"/>
    <w:rsid w:val="003F4F30"/>
    <w:rsid w:val="003F50D1"/>
    <w:rsid w:val="003F55D5"/>
    <w:rsid w:val="003F5CD3"/>
    <w:rsid w:val="003F6868"/>
    <w:rsid w:val="003F6D4F"/>
    <w:rsid w:val="003F6ECC"/>
    <w:rsid w:val="003F7AD9"/>
    <w:rsid w:val="0040004E"/>
    <w:rsid w:val="004025B9"/>
    <w:rsid w:val="00402D63"/>
    <w:rsid w:val="0040313A"/>
    <w:rsid w:val="004039EA"/>
    <w:rsid w:val="0040619D"/>
    <w:rsid w:val="004112D6"/>
    <w:rsid w:val="00411CDA"/>
    <w:rsid w:val="0041269F"/>
    <w:rsid w:val="004133F5"/>
    <w:rsid w:val="004148E2"/>
    <w:rsid w:val="004152F9"/>
    <w:rsid w:val="004165FE"/>
    <w:rsid w:val="00416969"/>
    <w:rsid w:val="00416AA6"/>
    <w:rsid w:val="00416B51"/>
    <w:rsid w:val="004178C4"/>
    <w:rsid w:val="00420151"/>
    <w:rsid w:val="00421376"/>
    <w:rsid w:val="00422480"/>
    <w:rsid w:val="00422DC3"/>
    <w:rsid w:val="00423239"/>
    <w:rsid w:val="004240C2"/>
    <w:rsid w:val="00424650"/>
    <w:rsid w:val="00425A72"/>
    <w:rsid w:val="00425BF6"/>
    <w:rsid w:val="004323DC"/>
    <w:rsid w:val="00433134"/>
    <w:rsid w:val="004333E7"/>
    <w:rsid w:val="00433E8D"/>
    <w:rsid w:val="00434174"/>
    <w:rsid w:val="00435420"/>
    <w:rsid w:val="00435848"/>
    <w:rsid w:val="00436011"/>
    <w:rsid w:val="0043721F"/>
    <w:rsid w:val="004377EE"/>
    <w:rsid w:val="004418C3"/>
    <w:rsid w:val="004437B5"/>
    <w:rsid w:val="004439A8"/>
    <w:rsid w:val="00444C32"/>
    <w:rsid w:val="0044517C"/>
    <w:rsid w:val="0044708D"/>
    <w:rsid w:val="00450038"/>
    <w:rsid w:val="004514BB"/>
    <w:rsid w:val="00451A4E"/>
    <w:rsid w:val="00451DBD"/>
    <w:rsid w:val="00452091"/>
    <w:rsid w:val="0045532C"/>
    <w:rsid w:val="00460CF5"/>
    <w:rsid w:val="00461125"/>
    <w:rsid w:val="00461A02"/>
    <w:rsid w:val="00464225"/>
    <w:rsid w:val="004649B5"/>
    <w:rsid w:val="004677B3"/>
    <w:rsid w:val="00470367"/>
    <w:rsid w:val="00470FB6"/>
    <w:rsid w:val="00472727"/>
    <w:rsid w:val="00472883"/>
    <w:rsid w:val="00472994"/>
    <w:rsid w:val="00472A1B"/>
    <w:rsid w:val="004730C0"/>
    <w:rsid w:val="00473567"/>
    <w:rsid w:val="0047486C"/>
    <w:rsid w:val="004749EA"/>
    <w:rsid w:val="004768CD"/>
    <w:rsid w:val="00476DE3"/>
    <w:rsid w:val="004814BC"/>
    <w:rsid w:val="00481D98"/>
    <w:rsid w:val="004823CB"/>
    <w:rsid w:val="00482DA3"/>
    <w:rsid w:val="004850F8"/>
    <w:rsid w:val="0048782D"/>
    <w:rsid w:val="0049056B"/>
    <w:rsid w:val="004907DE"/>
    <w:rsid w:val="004918A4"/>
    <w:rsid w:val="00492BCF"/>
    <w:rsid w:val="00494EE0"/>
    <w:rsid w:val="00495685"/>
    <w:rsid w:val="004956B5"/>
    <w:rsid w:val="00496E5A"/>
    <w:rsid w:val="004A3785"/>
    <w:rsid w:val="004A5DC7"/>
    <w:rsid w:val="004A6991"/>
    <w:rsid w:val="004A782D"/>
    <w:rsid w:val="004A7E20"/>
    <w:rsid w:val="004B01E0"/>
    <w:rsid w:val="004B0334"/>
    <w:rsid w:val="004B0CD9"/>
    <w:rsid w:val="004B2DBB"/>
    <w:rsid w:val="004B3BD5"/>
    <w:rsid w:val="004B3C1A"/>
    <w:rsid w:val="004B3DF7"/>
    <w:rsid w:val="004B5919"/>
    <w:rsid w:val="004B6EB8"/>
    <w:rsid w:val="004B77F7"/>
    <w:rsid w:val="004C201D"/>
    <w:rsid w:val="004C2138"/>
    <w:rsid w:val="004C25BE"/>
    <w:rsid w:val="004C3F57"/>
    <w:rsid w:val="004C43A0"/>
    <w:rsid w:val="004D0626"/>
    <w:rsid w:val="004D24D3"/>
    <w:rsid w:val="004D62C9"/>
    <w:rsid w:val="004D76DE"/>
    <w:rsid w:val="004E1151"/>
    <w:rsid w:val="004E2F84"/>
    <w:rsid w:val="004E4E0D"/>
    <w:rsid w:val="004E51DB"/>
    <w:rsid w:val="004E7E53"/>
    <w:rsid w:val="004F0A90"/>
    <w:rsid w:val="004F0D79"/>
    <w:rsid w:val="004F4848"/>
    <w:rsid w:val="004F5BE3"/>
    <w:rsid w:val="004F6445"/>
    <w:rsid w:val="004F71C7"/>
    <w:rsid w:val="00501816"/>
    <w:rsid w:val="00503BE5"/>
    <w:rsid w:val="00503CAD"/>
    <w:rsid w:val="00505876"/>
    <w:rsid w:val="005105C7"/>
    <w:rsid w:val="00513348"/>
    <w:rsid w:val="00513C97"/>
    <w:rsid w:val="0051428A"/>
    <w:rsid w:val="0051480E"/>
    <w:rsid w:val="00514D2B"/>
    <w:rsid w:val="005172C0"/>
    <w:rsid w:val="005202DE"/>
    <w:rsid w:val="005233D5"/>
    <w:rsid w:val="0052507A"/>
    <w:rsid w:val="00525DF7"/>
    <w:rsid w:val="00526BEC"/>
    <w:rsid w:val="005274D3"/>
    <w:rsid w:val="00531EE2"/>
    <w:rsid w:val="0053279A"/>
    <w:rsid w:val="0053333D"/>
    <w:rsid w:val="0053365C"/>
    <w:rsid w:val="00534ED1"/>
    <w:rsid w:val="00535389"/>
    <w:rsid w:val="00535EE0"/>
    <w:rsid w:val="00537005"/>
    <w:rsid w:val="00537333"/>
    <w:rsid w:val="00537474"/>
    <w:rsid w:val="00537739"/>
    <w:rsid w:val="00540201"/>
    <w:rsid w:val="00540BDF"/>
    <w:rsid w:val="0054178D"/>
    <w:rsid w:val="005417FC"/>
    <w:rsid w:val="00541A5C"/>
    <w:rsid w:val="00543117"/>
    <w:rsid w:val="005441F9"/>
    <w:rsid w:val="005443CE"/>
    <w:rsid w:val="005444E9"/>
    <w:rsid w:val="00544C0F"/>
    <w:rsid w:val="00545091"/>
    <w:rsid w:val="00547381"/>
    <w:rsid w:val="005528FD"/>
    <w:rsid w:val="005530EA"/>
    <w:rsid w:val="00554CE5"/>
    <w:rsid w:val="00554E74"/>
    <w:rsid w:val="00561304"/>
    <w:rsid w:val="0056140A"/>
    <w:rsid w:val="00562942"/>
    <w:rsid w:val="00565238"/>
    <w:rsid w:val="005660D8"/>
    <w:rsid w:val="0056630F"/>
    <w:rsid w:val="005666B9"/>
    <w:rsid w:val="0056750B"/>
    <w:rsid w:val="005727F8"/>
    <w:rsid w:val="0057344E"/>
    <w:rsid w:val="005743E7"/>
    <w:rsid w:val="00577112"/>
    <w:rsid w:val="00577539"/>
    <w:rsid w:val="00577707"/>
    <w:rsid w:val="0058037C"/>
    <w:rsid w:val="00583A54"/>
    <w:rsid w:val="00584EE7"/>
    <w:rsid w:val="00586642"/>
    <w:rsid w:val="00587D91"/>
    <w:rsid w:val="00587DC2"/>
    <w:rsid w:val="00591D54"/>
    <w:rsid w:val="00592388"/>
    <w:rsid w:val="00594CFF"/>
    <w:rsid w:val="0059738E"/>
    <w:rsid w:val="005977A9"/>
    <w:rsid w:val="005A14D1"/>
    <w:rsid w:val="005A1780"/>
    <w:rsid w:val="005A2F74"/>
    <w:rsid w:val="005A3720"/>
    <w:rsid w:val="005A4026"/>
    <w:rsid w:val="005A5AF1"/>
    <w:rsid w:val="005A60BB"/>
    <w:rsid w:val="005A6109"/>
    <w:rsid w:val="005A610B"/>
    <w:rsid w:val="005B0390"/>
    <w:rsid w:val="005B0451"/>
    <w:rsid w:val="005B131C"/>
    <w:rsid w:val="005B2DD6"/>
    <w:rsid w:val="005B401B"/>
    <w:rsid w:val="005B49D5"/>
    <w:rsid w:val="005B5A08"/>
    <w:rsid w:val="005B6365"/>
    <w:rsid w:val="005B7D40"/>
    <w:rsid w:val="005C00F0"/>
    <w:rsid w:val="005C0C64"/>
    <w:rsid w:val="005C1B13"/>
    <w:rsid w:val="005C1C95"/>
    <w:rsid w:val="005C23EF"/>
    <w:rsid w:val="005C2BD4"/>
    <w:rsid w:val="005C33F7"/>
    <w:rsid w:val="005C668B"/>
    <w:rsid w:val="005C71F0"/>
    <w:rsid w:val="005D00E1"/>
    <w:rsid w:val="005D15FC"/>
    <w:rsid w:val="005D2808"/>
    <w:rsid w:val="005D33C8"/>
    <w:rsid w:val="005D33E0"/>
    <w:rsid w:val="005D3665"/>
    <w:rsid w:val="005D386E"/>
    <w:rsid w:val="005D483E"/>
    <w:rsid w:val="005D62BB"/>
    <w:rsid w:val="005D6922"/>
    <w:rsid w:val="005D75D8"/>
    <w:rsid w:val="005E0093"/>
    <w:rsid w:val="005E3D2F"/>
    <w:rsid w:val="005E57A3"/>
    <w:rsid w:val="005E583D"/>
    <w:rsid w:val="005E62A5"/>
    <w:rsid w:val="005E6341"/>
    <w:rsid w:val="005E6F8D"/>
    <w:rsid w:val="005E7298"/>
    <w:rsid w:val="005E7745"/>
    <w:rsid w:val="005F0124"/>
    <w:rsid w:val="005F4021"/>
    <w:rsid w:val="005F5D8D"/>
    <w:rsid w:val="005F5DA8"/>
    <w:rsid w:val="005F6861"/>
    <w:rsid w:val="005F6AC6"/>
    <w:rsid w:val="005F7077"/>
    <w:rsid w:val="006003DA"/>
    <w:rsid w:val="00600C39"/>
    <w:rsid w:val="00601789"/>
    <w:rsid w:val="0060349B"/>
    <w:rsid w:val="00604518"/>
    <w:rsid w:val="0060513D"/>
    <w:rsid w:val="0060535B"/>
    <w:rsid w:val="00605872"/>
    <w:rsid w:val="00606979"/>
    <w:rsid w:val="006071DD"/>
    <w:rsid w:val="006072F5"/>
    <w:rsid w:val="00610197"/>
    <w:rsid w:val="00610268"/>
    <w:rsid w:val="006106AB"/>
    <w:rsid w:val="00610BC3"/>
    <w:rsid w:val="00611FB4"/>
    <w:rsid w:val="006120B0"/>
    <w:rsid w:val="006143D4"/>
    <w:rsid w:val="00614C4B"/>
    <w:rsid w:val="00615279"/>
    <w:rsid w:val="00616026"/>
    <w:rsid w:val="00617203"/>
    <w:rsid w:val="006173B6"/>
    <w:rsid w:val="00617A8C"/>
    <w:rsid w:val="00617D2B"/>
    <w:rsid w:val="0062059E"/>
    <w:rsid w:val="00620C71"/>
    <w:rsid w:val="00621045"/>
    <w:rsid w:val="006213D9"/>
    <w:rsid w:val="00621AE0"/>
    <w:rsid w:val="006229CD"/>
    <w:rsid w:val="00622F58"/>
    <w:rsid w:val="006232B9"/>
    <w:rsid w:val="006232DD"/>
    <w:rsid w:val="006240FC"/>
    <w:rsid w:val="00624FE8"/>
    <w:rsid w:val="00625F1D"/>
    <w:rsid w:val="00627761"/>
    <w:rsid w:val="006311DE"/>
    <w:rsid w:val="00632338"/>
    <w:rsid w:val="00632B97"/>
    <w:rsid w:val="00633000"/>
    <w:rsid w:val="0063346A"/>
    <w:rsid w:val="00633E33"/>
    <w:rsid w:val="00634360"/>
    <w:rsid w:val="00634D6E"/>
    <w:rsid w:val="0063513B"/>
    <w:rsid w:val="00635C2A"/>
    <w:rsid w:val="0063699F"/>
    <w:rsid w:val="00636BDE"/>
    <w:rsid w:val="0063794E"/>
    <w:rsid w:val="00637EDD"/>
    <w:rsid w:val="006402B8"/>
    <w:rsid w:val="006410B0"/>
    <w:rsid w:val="00641D04"/>
    <w:rsid w:val="00642960"/>
    <w:rsid w:val="00642CC4"/>
    <w:rsid w:val="0064391A"/>
    <w:rsid w:val="006447F9"/>
    <w:rsid w:val="00644B0A"/>
    <w:rsid w:val="00646576"/>
    <w:rsid w:val="0064735B"/>
    <w:rsid w:val="00647694"/>
    <w:rsid w:val="00647868"/>
    <w:rsid w:val="00647FA1"/>
    <w:rsid w:val="00650833"/>
    <w:rsid w:val="00651702"/>
    <w:rsid w:val="00652C6C"/>
    <w:rsid w:val="00652D74"/>
    <w:rsid w:val="006532B5"/>
    <w:rsid w:val="006555E4"/>
    <w:rsid w:val="0065579A"/>
    <w:rsid w:val="00655B6A"/>
    <w:rsid w:val="006564D2"/>
    <w:rsid w:val="006622A3"/>
    <w:rsid w:val="006625DA"/>
    <w:rsid w:val="00662CCD"/>
    <w:rsid w:val="00663996"/>
    <w:rsid w:val="00664F5A"/>
    <w:rsid w:val="00664FD9"/>
    <w:rsid w:val="006650F2"/>
    <w:rsid w:val="006660B3"/>
    <w:rsid w:val="00666FB6"/>
    <w:rsid w:val="00667127"/>
    <w:rsid w:val="00667469"/>
    <w:rsid w:val="00667619"/>
    <w:rsid w:val="00672356"/>
    <w:rsid w:val="00672393"/>
    <w:rsid w:val="0067258D"/>
    <w:rsid w:val="00672DBF"/>
    <w:rsid w:val="0067372D"/>
    <w:rsid w:val="00673DB9"/>
    <w:rsid w:val="00674666"/>
    <w:rsid w:val="00674DA9"/>
    <w:rsid w:val="00674F53"/>
    <w:rsid w:val="0067535C"/>
    <w:rsid w:val="0067736F"/>
    <w:rsid w:val="006777AF"/>
    <w:rsid w:val="0068043D"/>
    <w:rsid w:val="00680C0E"/>
    <w:rsid w:val="006844F3"/>
    <w:rsid w:val="006845EA"/>
    <w:rsid w:val="00685072"/>
    <w:rsid w:val="006852BE"/>
    <w:rsid w:val="00685494"/>
    <w:rsid w:val="00685C55"/>
    <w:rsid w:val="00686EAE"/>
    <w:rsid w:val="00687186"/>
    <w:rsid w:val="00687572"/>
    <w:rsid w:val="00691561"/>
    <w:rsid w:val="006923EB"/>
    <w:rsid w:val="0069519F"/>
    <w:rsid w:val="00697EAE"/>
    <w:rsid w:val="006A0252"/>
    <w:rsid w:val="006A0750"/>
    <w:rsid w:val="006A0B96"/>
    <w:rsid w:val="006A16E3"/>
    <w:rsid w:val="006A210D"/>
    <w:rsid w:val="006A2507"/>
    <w:rsid w:val="006A2A23"/>
    <w:rsid w:val="006A2A69"/>
    <w:rsid w:val="006A31F4"/>
    <w:rsid w:val="006A3B7E"/>
    <w:rsid w:val="006A410F"/>
    <w:rsid w:val="006A4405"/>
    <w:rsid w:val="006A443D"/>
    <w:rsid w:val="006A4A4C"/>
    <w:rsid w:val="006A6E2A"/>
    <w:rsid w:val="006B0A0F"/>
    <w:rsid w:val="006B17F5"/>
    <w:rsid w:val="006B3822"/>
    <w:rsid w:val="006B4282"/>
    <w:rsid w:val="006B4438"/>
    <w:rsid w:val="006B46B1"/>
    <w:rsid w:val="006B4AB0"/>
    <w:rsid w:val="006B5ED5"/>
    <w:rsid w:val="006B6C72"/>
    <w:rsid w:val="006B7471"/>
    <w:rsid w:val="006C0521"/>
    <w:rsid w:val="006C2A6A"/>
    <w:rsid w:val="006C364D"/>
    <w:rsid w:val="006C407B"/>
    <w:rsid w:val="006C4177"/>
    <w:rsid w:val="006C596E"/>
    <w:rsid w:val="006C5B8A"/>
    <w:rsid w:val="006C5E3B"/>
    <w:rsid w:val="006C62F6"/>
    <w:rsid w:val="006C68C1"/>
    <w:rsid w:val="006C6EB7"/>
    <w:rsid w:val="006C7BC8"/>
    <w:rsid w:val="006D1679"/>
    <w:rsid w:val="006D2BB7"/>
    <w:rsid w:val="006D3E1C"/>
    <w:rsid w:val="006D420C"/>
    <w:rsid w:val="006D55BE"/>
    <w:rsid w:val="006D5944"/>
    <w:rsid w:val="006D7D5E"/>
    <w:rsid w:val="006E2370"/>
    <w:rsid w:val="006E2F2B"/>
    <w:rsid w:val="006E4F77"/>
    <w:rsid w:val="006E7D31"/>
    <w:rsid w:val="006F073F"/>
    <w:rsid w:val="006F0977"/>
    <w:rsid w:val="006F1F75"/>
    <w:rsid w:val="006F202C"/>
    <w:rsid w:val="006F2B54"/>
    <w:rsid w:val="006F3170"/>
    <w:rsid w:val="006F3763"/>
    <w:rsid w:val="006F4B65"/>
    <w:rsid w:val="006F4C77"/>
    <w:rsid w:val="006F4CF1"/>
    <w:rsid w:val="006F53D3"/>
    <w:rsid w:val="006F65B8"/>
    <w:rsid w:val="006F67A4"/>
    <w:rsid w:val="006F68CE"/>
    <w:rsid w:val="006F736E"/>
    <w:rsid w:val="006F7D24"/>
    <w:rsid w:val="00703489"/>
    <w:rsid w:val="007048A9"/>
    <w:rsid w:val="007056C4"/>
    <w:rsid w:val="00705A73"/>
    <w:rsid w:val="00706A1E"/>
    <w:rsid w:val="0070734C"/>
    <w:rsid w:val="00710865"/>
    <w:rsid w:val="00711A39"/>
    <w:rsid w:val="00711AF6"/>
    <w:rsid w:val="00713903"/>
    <w:rsid w:val="0071435D"/>
    <w:rsid w:val="00720511"/>
    <w:rsid w:val="0072112E"/>
    <w:rsid w:val="00721233"/>
    <w:rsid w:val="00723016"/>
    <w:rsid w:val="0072360D"/>
    <w:rsid w:val="00723B19"/>
    <w:rsid w:val="0072428D"/>
    <w:rsid w:val="0072446C"/>
    <w:rsid w:val="00724D92"/>
    <w:rsid w:val="00725344"/>
    <w:rsid w:val="00725720"/>
    <w:rsid w:val="00727520"/>
    <w:rsid w:val="00730163"/>
    <w:rsid w:val="00730516"/>
    <w:rsid w:val="00730C0B"/>
    <w:rsid w:val="0073176F"/>
    <w:rsid w:val="00732CC2"/>
    <w:rsid w:val="007330F0"/>
    <w:rsid w:val="0073363F"/>
    <w:rsid w:val="00733BB1"/>
    <w:rsid w:val="007348B2"/>
    <w:rsid w:val="00735D24"/>
    <w:rsid w:val="00736BC0"/>
    <w:rsid w:val="00737A31"/>
    <w:rsid w:val="00740B87"/>
    <w:rsid w:val="00741323"/>
    <w:rsid w:val="00741861"/>
    <w:rsid w:val="00741C59"/>
    <w:rsid w:val="0074306D"/>
    <w:rsid w:val="00743861"/>
    <w:rsid w:val="00743BDE"/>
    <w:rsid w:val="007446E9"/>
    <w:rsid w:val="00744EC4"/>
    <w:rsid w:val="007462BF"/>
    <w:rsid w:val="0074691D"/>
    <w:rsid w:val="00747D84"/>
    <w:rsid w:val="00747F09"/>
    <w:rsid w:val="00751459"/>
    <w:rsid w:val="00751E72"/>
    <w:rsid w:val="00753C26"/>
    <w:rsid w:val="007540C8"/>
    <w:rsid w:val="00755512"/>
    <w:rsid w:val="00755BF6"/>
    <w:rsid w:val="00757785"/>
    <w:rsid w:val="00760AC4"/>
    <w:rsid w:val="00763FFE"/>
    <w:rsid w:val="007651C8"/>
    <w:rsid w:val="00765D9C"/>
    <w:rsid w:val="00770837"/>
    <w:rsid w:val="00772090"/>
    <w:rsid w:val="00773F7C"/>
    <w:rsid w:val="007751D1"/>
    <w:rsid w:val="0077588E"/>
    <w:rsid w:val="00777573"/>
    <w:rsid w:val="007775CE"/>
    <w:rsid w:val="0078151B"/>
    <w:rsid w:val="007820CA"/>
    <w:rsid w:val="00782C72"/>
    <w:rsid w:val="00782D78"/>
    <w:rsid w:val="007842CE"/>
    <w:rsid w:val="007844AC"/>
    <w:rsid w:val="007846AC"/>
    <w:rsid w:val="00785654"/>
    <w:rsid w:val="00785745"/>
    <w:rsid w:val="00787729"/>
    <w:rsid w:val="00791D33"/>
    <w:rsid w:val="00792D46"/>
    <w:rsid w:val="00795497"/>
    <w:rsid w:val="00795500"/>
    <w:rsid w:val="00795D3F"/>
    <w:rsid w:val="007A0ADA"/>
    <w:rsid w:val="007A0B73"/>
    <w:rsid w:val="007A23B2"/>
    <w:rsid w:val="007A27C9"/>
    <w:rsid w:val="007A2CAF"/>
    <w:rsid w:val="007A3659"/>
    <w:rsid w:val="007A6D2D"/>
    <w:rsid w:val="007A7B60"/>
    <w:rsid w:val="007B039A"/>
    <w:rsid w:val="007B167E"/>
    <w:rsid w:val="007B2A8A"/>
    <w:rsid w:val="007B2FB1"/>
    <w:rsid w:val="007B388C"/>
    <w:rsid w:val="007B3EAB"/>
    <w:rsid w:val="007B43D7"/>
    <w:rsid w:val="007B6524"/>
    <w:rsid w:val="007B655F"/>
    <w:rsid w:val="007B6DA9"/>
    <w:rsid w:val="007C033B"/>
    <w:rsid w:val="007C14FD"/>
    <w:rsid w:val="007C164D"/>
    <w:rsid w:val="007C2C7A"/>
    <w:rsid w:val="007C2E67"/>
    <w:rsid w:val="007C39E5"/>
    <w:rsid w:val="007C3E94"/>
    <w:rsid w:val="007C3FD3"/>
    <w:rsid w:val="007C5D7F"/>
    <w:rsid w:val="007C5E6C"/>
    <w:rsid w:val="007C5EC0"/>
    <w:rsid w:val="007C6A66"/>
    <w:rsid w:val="007C6F88"/>
    <w:rsid w:val="007D072B"/>
    <w:rsid w:val="007D1A74"/>
    <w:rsid w:val="007D3B36"/>
    <w:rsid w:val="007D489C"/>
    <w:rsid w:val="007D5313"/>
    <w:rsid w:val="007D5E48"/>
    <w:rsid w:val="007D6133"/>
    <w:rsid w:val="007D6523"/>
    <w:rsid w:val="007D7654"/>
    <w:rsid w:val="007D7EAE"/>
    <w:rsid w:val="007E12B3"/>
    <w:rsid w:val="007E1930"/>
    <w:rsid w:val="007E1B7C"/>
    <w:rsid w:val="007E1FAC"/>
    <w:rsid w:val="007E2104"/>
    <w:rsid w:val="007E2639"/>
    <w:rsid w:val="007E2968"/>
    <w:rsid w:val="007E635C"/>
    <w:rsid w:val="007E6776"/>
    <w:rsid w:val="007E7B15"/>
    <w:rsid w:val="007E7BBA"/>
    <w:rsid w:val="007F0721"/>
    <w:rsid w:val="007F0DE7"/>
    <w:rsid w:val="007F13D6"/>
    <w:rsid w:val="007F1AF6"/>
    <w:rsid w:val="007F2357"/>
    <w:rsid w:val="007F3EBC"/>
    <w:rsid w:val="007F4BE2"/>
    <w:rsid w:val="007F504F"/>
    <w:rsid w:val="007F6838"/>
    <w:rsid w:val="007F7ACE"/>
    <w:rsid w:val="008001BE"/>
    <w:rsid w:val="00800CDD"/>
    <w:rsid w:val="00801AEA"/>
    <w:rsid w:val="00801DC5"/>
    <w:rsid w:val="00802974"/>
    <w:rsid w:val="00802F69"/>
    <w:rsid w:val="00804C29"/>
    <w:rsid w:val="008052F6"/>
    <w:rsid w:val="0080735C"/>
    <w:rsid w:val="00810D30"/>
    <w:rsid w:val="00812F43"/>
    <w:rsid w:val="00813584"/>
    <w:rsid w:val="00813C4B"/>
    <w:rsid w:val="00815F95"/>
    <w:rsid w:val="00816A16"/>
    <w:rsid w:val="00816A77"/>
    <w:rsid w:val="00817509"/>
    <w:rsid w:val="00817FCE"/>
    <w:rsid w:val="00820E64"/>
    <w:rsid w:val="008260CF"/>
    <w:rsid w:val="00827A59"/>
    <w:rsid w:val="00832B06"/>
    <w:rsid w:val="008336AA"/>
    <w:rsid w:val="00833D61"/>
    <w:rsid w:val="00835A85"/>
    <w:rsid w:val="00835D16"/>
    <w:rsid w:val="00835DA4"/>
    <w:rsid w:val="00841952"/>
    <w:rsid w:val="008426C1"/>
    <w:rsid w:val="00842F39"/>
    <w:rsid w:val="008437FA"/>
    <w:rsid w:val="00843ABD"/>
    <w:rsid w:val="008442B6"/>
    <w:rsid w:val="0084619B"/>
    <w:rsid w:val="008462CC"/>
    <w:rsid w:val="008510E0"/>
    <w:rsid w:val="008515BF"/>
    <w:rsid w:val="00851CE2"/>
    <w:rsid w:val="008525C3"/>
    <w:rsid w:val="00853855"/>
    <w:rsid w:val="00853A24"/>
    <w:rsid w:val="00854AA8"/>
    <w:rsid w:val="00854EEC"/>
    <w:rsid w:val="00855926"/>
    <w:rsid w:val="00857984"/>
    <w:rsid w:val="00860610"/>
    <w:rsid w:val="00861E14"/>
    <w:rsid w:val="0086437F"/>
    <w:rsid w:val="00864385"/>
    <w:rsid w:val="008645CE"/>
    <w:rsid w:val="0086551C"/>
    <w:rsid w:val="00865DB0"/>
    <w:rsid w:val="0086671D"/>
    <w:rsid w:val="00866EE3"/>
    <w:rsid w:val="00867108"/>
    <w:rsid w:val="008671C3"/>
    <w:rsid w:val="00867E2F"/>
    <w:rsid w:val="00870622"/>
    <w:rsid w:val="00870BB6"/>
    <w:rsid w:val="008714C9"/>
    <w:rsid w:val="00871505"/>
    <w:rsid w:val="008724FF"/>
    <w:rsid w:val="00872752"/>
    <w:rsid w:val="00872FE4"/>
    <w:rsid w:val="0087331A"/>
    <w:rsid w:val="00873AA0"/>
    <w:rsid w:val="008740C8"/>
    <w:rsid w:val="00874F76"/>
    <w:rsid w:val="00875BB8"/>
    <w:rsid w:val="00881735"/>
    <w:rsid w:val="0088469E"/>
    <w:rsid w:val="00885CAE"/>
    <w:rsid w:val="0088758A"/>
    <w:rsid w:val="0088767C"/>
    <w:rsid w:val="0089240E"/>
    <w:rsid w:val="00892923"/>
    <w:rsid w:val="00896375"/>
    <w:rsid w:val="00897884"/>
    <w:rsid w:val="008A0393"/>
    <w:rsid w:val="008A0517"/>
    <w:rsid w:val="008A201B"/>
    <w:rsid w:val="008A2551"/>
    <w:rsid w:val="008A2A17"/>
    <w:rsid w:val="008A43FE"/>
    <w:rsid w:val="008A4F40"/>
    <w:rsid w:val="008B016D"/>
    <w:rsid w:val="008B029D"/>
    <w:rsid w:val="008B1C67"/>
    <w:rsid w:val="008B1F86"/>
    <w:rsid w:val="008B3403"/>
    <w:rsid w:val="008B3C19"/>
    <w:rsid w:val="008B545F"/>
    <w:rsid w:val="008B6005"/>
    <w:rsid w:val="008B62CB"/>
    <w:rsid w:val="008B73D4"/>
    <w:rsid w:val="008B7497"/>
    <w:rsid w:val="008C1151"/>
    <w:rsid w:val="008C37FC"/>
    <w:rsid w:val="008C4690"/>
    <w:rsid w:val="008C59B3"/>
    <w:rsid w:val="008C5A6A"/>
    <w:rsid w:val="008C660F"/>
    <w:rsid w:val="008C6C59"/>
    <w:rsid w:val="008C7B93"/>
    <w:rsid w:val="008D0B97"/>
    <w:rsid w:val="008D1C6F"/>
    <w:rsid w:val="008D2ECA"/>
    <w:rsid w:val="008D51FD"/>
    <w:rsid w:val="008D5613"/>
    <w:rsid w:val="008D5AF1"/>
    <w:rsid w:val="008D65C6"/>
    <w:rsid w:val="008D677E"/>
    <w:rsid w:val="008E0576"/>
    <w:rsid w:val="008E0BCA"/>
    <w:rsid w:val="008E11E4"/>
    <w:rsid w:val="008E1C6A"/>
    <w:rsid w:val="008E4FE0"/>
    <w:rsid w:val="008E5D25"/>
    <w:rsid w:val="008E5FCB"/>
    <w:rsid w:val="008E72AD"/>
    <w:rsid w:val="008F062E"/>
    <w:rsid w:val="008F170D"/>
    <w:rsid w:val="008F1FC1"/>
    <w:rsid w:val="008F361F"/>
    <w:rsid w:val="008F3637"/>
    <w:rsid w:val="008F6D6C"/>
    <w:rsid w:val="008F734A"/>
    <w:rsid w:val="0090080E"/>
    <w:rsid w:val="00902075"/>
    <w:rsid w:val="00902104"/>
    <w:rsid w:val="0090259F"/>
    <w:rsid w:val="00903E3C"/>
    <w:rsid w:val="00904165"/>
    <w:rsid w:val="00904330"/>
    <w:rsid w:val="009048AA"/>
    <w:rsid w:val="00905007"/>
    <w:rsid w:val="0090547A"/>
    <w:rsid w:val="00905A99"/>
    <w:rsid w:val="009063E2"/>
    <w:rsid w:val="00906DA4"/>
    <w:rsid w:val="009078AF"/>
    <w:rsid w:val="00910105"/>
    <w:rsid w:val="009105C3"/>
    <w:rsid w:val="00911078"/>
    <w:rsid w:val="0091300A"/>
    <w:rsid w:val="009139B9"/>
    <w:rsid w:val="009146E0"/>
    <w:rsid w:val="00914FED"/>
    <w:rsid w:val="00915D58"/>
    <w:rsid w:val="00915EE9"/>
    <w:rsid w:val="00916835"/>
    <w:rsid w:val="0092164D"/>
    <w:rsid w:val="00924362"/>
    <w:rsid w:val="00924E20"/>
    <w:rsid w:val="00930A1B"/>
    <w:rsid w:val="0093293C"/>
    <w:rsid w:val="009332BD"/>
    <w:rsid w:val="0093370A"/>
    <w:rsid w:val="009345F5"/>
    <w:rsid w:val="00935897"/>
    <w:rsid w:val="00935D72"/>
    <w:rsid w:val="00941221"/>
    <w:rsid w:val="00941531"/>
    <w:rsid w:val="00943215"/>
    <w:rsid w:val="009437BF"/>
    <w:rsid w:val="009438B7"/>
    <w:rsid w:val="00944B62"/>
    <w:rsid w:val="00944F68"/>
    <w:rsid w:val="00945588"/>
    <w:rsid w:val="0094709A"/>
    <w:rsid w:val="009503C6"/>
    <w:rsid w:val="009514E4"/>
    <w:rsid w:val="00951F62"/>
    <w:rsid w:val="009538CD"/>
    <w:rsid w:val="009541BC"/>
    <w:rsid w:val="009546D2"/>
    <w:rsid w:val="00955109"/>
    <w:rsid w:val="0095569F"/>
    <w:rsid w:val="0095591E"/>
    <w:rsid w:val="00957070"/>
    <w:rsid w:val="009571FE"/>
    <w:rsid w:val="00960C35"/>
    <w:rsid w:val="009618BA"/>
    <w:rsid w:val="00964CB8"/>
    <w:rsid w:val="009659BD"/>
    <w:rsid w:val="009663EC"/>
    <w:rsid w:val="0096730F"/>
    <w:rsid w:val="00967A65"/>
    <w:rsid w:val="0097049C"/>
    <w:rsid w:val="00970AF9"/>
    <w:rsid w:val="00971A13"/>
    <w:rsid w:val="00971D0D"/>
    <w:rsid w:val="009749CA"/>
    <w:rsid w:val="00974EF8"/>
    <w:rsid w:val="009764A7"/>
    <w:rsid w:val="0098214A"/>
    <w:rsid w:val="009829FB"/>
    <w:rsid w:val="00982F4E"/>
    <w:rsid w:val="00984C76"/>
    <w:rsid w:val="00987F29"/>
    <w:rsid w:val="009905D0"/>
    <w:rsid w:val="0099109D"/>
    <w:rsid w:val="0099200A"/>
    <w:rsid w:val="0099241B"/>
    <w:rsid w:val="00992484"/>
    <w:rsid w:val="00992966"/>
    <w:rsid w:val="009930B4"/>
    <w:rsid w:val="00993D01"/>
    <w:rsid w:val="009964B2"/>
    <w:rsid w:val="00997578"/>
    <w:rsid w:val="009A0570"/>
    <w:rsid w:val="009A08C3"/>
    <w:rsid w:val="009A0911"/>
    <w:rsid w:val="009A0D29"/>
    <w:rsid w:val="009A1557"/>
    <w:rsid w:val="009A17B5"/>
    <w:rsid w:val="009A1E20"/>
    <w:rsid w:val="009A2AAC"/>
    <w:rsid w:val="009A3ADE"/>
    <w:rsid w:val="009A42FE"/>
    <w:rsid w:val="009A6473"/>
    <w:rsid w:val="009A7555"/>
    <w:rsid w:val="009B159F"/>
    <w:rsid w:val="009B168E"/>
    <w:rsid w:val="009B1B82"/>
    <w:rsid w:val="009B2B72"/>
    <w:rsid w:val="009B3AF8"/>
    <w:rsid w:val="009B3D8A"/>
    <w:rsid w:val="009C000F"/>
    <w:rsid w:val="009C08DF"/>
    <w:rsid w:val="009C2BAD"/>
    <w:rsid w:val="009C4BCF"/>
    <w:rsid w:val="009C4DC8"/>
    <w:rsid w:val="009C4F77"/>
    <w:rsid w:val="009C5001"/>
    <w:rsid w:val="009C6205"/>
    <w:rsid w:val="009D0B22"/>
    <w:rsid w:val="009D0B4C"/>
    <w:rsid w:val="009D11E7"/>
    <w:rsid w:val="009D2BF7"/>
    <w:rsid w:val="009D3053"/>
    <w:rsid w:val="009D4A0F"/>
    <w:rsid w:val="009D5487"/>
    <w:rsid w:val="009D54B6"/>
    <w:rsid w:val="009D74D1"/>
    <w:rsid w:val="009D75B0"/>
    <w:rsid w:val="009E1729"/>
    <w:rsid w:val="009E1739"/>
    <w:rsid w:val="009E29F4"/>
    <w:rsid w:val="009E3DAF"/>
    <w:rsid w:val="009E49C2"/>
    <w:rsid w:val="009E5C18"/>
    <w:rsid w:val="009E691F"/>
    <w:rsid w:val="009E6AD7"/>
    <w:rsid w:val="009E7390"/>
    <w:rsid w:val="009F02CE"/>
    <w:rsid w:val="009F0A0F"/>
    <w:rsid w:val="009F255D"/>
    <w:rsid w:val="009F3208"/>
    <w:rsid w:val="009F5152"/>
    <w:rsid w:val="009F5748"/>
    <w:rsid w:val="009F5B6D"/>
    <w:rsid w:val="009F5F4E"/>
    <w:rsid w:val="009F683E"/>
    <w:rsid w:val="009F7847"/>
    <w:rsid w:val="009F7E12"/>
    <w:rsid w:val="00A00F3B"/>
    <w:rsid w:val="00A018BA"/>
    <w:rsid w:val="00A054FB"/>
    <w:rsid w:val="00A05E86"/>
    <w:rsid w:val="00A11649"/>
    <w:rsid w:val="00A11BF6"/>
    <w:rsid w:val="00A150EC"/>
    <w:rsid w:val="00A15968"/>
    <w:rsid w:val="00A159EF"/>
    <w:rsid w:val="00A165A5"/>
    <w:rsid w:val="00A170D4"/>
    <w:rsid w:val="00A177D3"/>
    <w:rsid w:val="00A17E64"/>
    <w:rsid w:val="00A20A30"/>
    <w:rsid w:val="00A21C38"/>
    <w:rsid w:val="00A2270D"/>
    <w:rsid w:val="00A23970"/>
    <w:rsid w:val="00A23ED2"/>
    <w:rsid w:val="00A26240"/>
    <w:rsid w:val="00A30057"/>
    <w:rsid w:val="00A30158"/>
    <w:rsid w:val="00A303D7"/>
    <w:rsid w:val="00A315A0"/>
    <w:rsid w:val="00A3171A"/>
    <w:rsid w:val="00A31F79"/>
    <w:rsid w:val="00A32C47"/>
    <w:rsid w:val="00A33F8C"/>
    <w:rsid w:val="00A369F5"/>
    <w:rsid w:val="00A40BF3"/>
    <w:rsid w:val="00A43EA2"/>
    <w:rsid w:val="00A4427F"/>
    <w:rsid w:val="00A44AC1"/>
    <w:rsid w:val="00A46A68"/>
    <w:rsid w:val="00A46BB1"/>
    <w:rsid w:val="00A46EC6"/>
    <w:rsid w:val="00A5195F"/>
    <w:rsid w:val="00A52D52"/>
    <w:rsid w:val="00A52F35"/>
    <w:rsid w:val="00A54370"/>
    <w:rsid w:val="00A56C97"/>
    <w:rsid w:val="00A57B55"/>
    <w:rsid w:val="00A610D8"/>
    <w:rsid w:val="00A648C3"/>
    <w:rsid w:val="00A67C62"/>
    <w:rsid w:val="00A70E9F"/>
    <w:rsid w:val="00A7141D"/>
    <w:rsid w:val="00A72CB4"/>
    <w:rsid w:val="00A7464F"/>
    <w:rsid w:val="00A75969"/>
    <w:rsid w:val="00A77D4A"/>
    <w:rsid w:val="00A811B6"/>
    <w:rsid w:val="00A815FF"/>
    <w:rsid w:val="00A83D45"/>
    <w:rsid w:val="00A860A3"/>
    <w:rsid w:val="00A86A8E"/>
    <w:rsid w:val="00A90385"/>
    <w:rsid w:val="00A9046C"/>
    <w:rsid w:val="00A93E43"/>
    <w:rsid w:val="00A96C89"/>
    <w:rsid w:val="00A97D9A"/>
    <w:rsid w:val="00AA0040"/>
    <w:rsid w:val="00AA2F6A"/>
    <w:rsid w:val="00AA4D7E"/>
    <w:rsid w:val="00AA65B0"/>
    <w:rsid w:val="00AA6EBF"/>
    <w:rsid w:val="00AA77F0"/>
    <w:rsid w:val="00AA7B1A"/>
    <w:rsid w:val="00AB2129"/>
    <w:rsid w:val="00AB30C1"/>
    <w:rsid w:val="00AB4887"/>
    <w:rsid w:val="00AB7696"/>
    <w:rsid w:val="00AB7889"/>
    <w:rsid w:val="00AB78FE"/>
    <w:rsid w:val="00AB7BC1"/>
    <w:rsid w:val="00AC085A"/>
    <w:rsid w:val="00AC0E34"/>
    <w:rsid w:val="00AC0F47"/>
    <w:rsid w:val="00AC42B2"/>
    <w:rsid w:val="00AC7104"/>
    <w:rsid w:val="00AC71AE"/>
    <w:rsid w:val="00AC7D6E"/>
    <w:rsid w:val="00AC7FE7"/>
    <w:rsid w:val="00AD068E"/>
    <w:rsid w:val="00AD0C08"/>
    <w:rsid w:val="00AD1390"/>
    <w:rsid w:val="00AD279F"/>
    <w:rsid w:val="00AD2DED"/>
    <w:rsid w:val="00AD3689"/>
    <w:rsid w:val="00AD4A71"/>
    <w:rsid w:val="00AD4D10"/>
    <w:rsid w:val="00AE0C58"/>
    <w:rsid w:val="00AE49DE"/>
    <w:rsid w:val="00AE4B86"/>
    <w:rsid w:val="00AE4C58"/>
    <w:rsid w:val="00AE5123"/>
    <w:rsid w:val="00AE5361"/>
    <w:rsid w:val="00AE63EC"/>
    <w:rsid w:val="00AE7E8A"/>
    <w:rsid w:val="00AF02C4"/>
    <w:rsid w:val="00AF237A"/>
    <w:rsid w:val="00AF3C32"/>
    <w:rsid w:val="00AF4782"/>
    <w:rsid w:val="00AF5CB7"/>
    <w:rsid w:val="00AF6F62"/>
    <w:rsid w:val="00AF737A"/>
    <w:rsid w:val="00B0157B"/>
    <w:rsid w:val="00B01B1D"/>
    <w:rsid w:val="00B02764"/>
    <w:rsid w:val="00B04D78"/>
    <w:rsid w:val="00B05EA5"/>
    <w:rsid w:val="00B06178"/>
    <w:rsid w:val="00B07119"/>
    <w:rsid w:val="00B1120C"/>
    <w:rsid w:val="00B117EC"/>
    <w:rsid w:val="00B11AA6"/>
    <w:rsid w:val="00B128DA"/>
    <w:rsid w:val="00B12A6A"/>
    <w:rsid w:val="00B130C3"/>
    <w:rsid w:val="00B1332F"/>
    <w:rsid w:val="00B1359C"/>
    <w:rsid w:val="00B13B8B"/>
    <w:rsid w:val="00B15BFC"/>
    <w:rsid w:val="00B15D1B"/>
    <w:rsid w:val="00B17E87"/>
    <w:rsid w:val="00B21930"/>
    <w:rsid w:val="00B240DD"/>
    <w:rsid w:val="00B252F1"/>
    <w:rsid w:val="00B259DE"/>
    <w:rsid w:val="00B25C78"/>
    <w:rsid w:val="00B2782B"/>
    <w:rsid w:val="00B27900"/>
    <w:rsid w:val="00B27B16"/>
    <w:rsid w:val="00B300AE"/>
    <w:rsid w:val="00B3203C"/>
    <w:rsid w:val="00B35699"/>
    <w:rsid w:val="00B36169"/>
    <w:rsid w:val="00B36FB0"/>
    <w:rsid w:val="00B4177C"/>
    <w:rsid w:val="00B41C7A"/>
    <w:rsid w:val="00B46F97"/>
    <w:rsid w:val="00B472A4"/>
    <w:rsid w:val="00B50544"/>
    <w:rsid w:val="00B50D97"/>
    <w:rsid w:val="00B50E8F"/>
    <w:rsid w:val="00B5201C"/>
    <w:rsid w:val="00B52344"/>
    <w:rsid w:val="00B52CE6"/>
    <w:rsid w:val="00B52F19"/>
    <w:rsid w:val="00B545A3"/>
    <w:rsid w:val="00B54948"/>
    <w:rsid w:val="00B564D9"/>
    <w:rsid w:val="00B56636"/>
    <w:rsid w:val="00B5706D"/>
    <w:rsid w:val="00B5712B"/>
    <w:rsid w:val="00B57F8E"/>
    <w:rsid w:val="00B60071"/>
    <w:rsid w:val="00B60EBE"/>
    <w:rsid w:val="00B635B7"/>
    <w:rsid w:val="00B6471A"/>
    <w:rsid w:val="00B6495B"/>
    <w:rsid w:val="00B64C54"/>
    <w:rsid w:val="00B652F2"/>
    <w:rsid w:val="00B711CD"/>
    <w:rsid w:val="00B71AC9"/>
    <w:rsid w:val="00B72271"/>
    <w:rsid w:val="00B7300C"/>
    <w:rsid w:val="00B74505"/>
    <w:rsid w:val="00B756FF"/>
    <w:rsid w:val="00B76454"/>
    <w:rsid w:val="00B7671A"/>
    <w:rsid w:val="00B80F9B"/>
    <w:rsid w:val="00B811E6"/>
    <w:rsid w:val="00B83672"/>
    <w:rsid w:val="00B83C3B"/>
    <w:rsid w:val="00B83E28"/>
    <w:rsid w:val="00B85B3F"/>
    <w:rsid w:val="00B870B8"/>
    <w:rsid w:val="00B90330"/>
    <w:rsid w:val="00B91747"/>
    <w:rsid w:val="00B92108"/>
    <w:rsid w:val="00B92E76"/>
    <w:rsid w:val="00B936AF"/>
    <w:rsid w:val="00B938EE"/>
    <w:rsid w:val="00B94633"/>
    <w:rsid w:val="00B94F64"/>
    <w:rsid w:val="00B956C9"/>
    <w:rsid w:val="00B96842"/>
    <w:rsid w:val="00B9756F"/>
    <w:rsid w:val="00BA0CB9"/>
    <w:rsid w:val="00BA1208"/>
    <w:rsid w:val="00BA1EEE"/>
    <w:rsid w:val="00BA3128"/>
    <w:rsid w:val="00BA3D56"/>
    <w:rsid w:val="00BA403A"/>
    <w:rsid w:val="00BA4B50"/>
    <w:rsid w:val="00BA68AA"/>
    <w:rsid w:val="00BA6CD6"/>
    <w:rsid w:val="00BA7F3B"/>
    <w:rsid w:val="00BB0EDA"/>
    <w:rsid w:val="00BB1380"/>
    <w:rsid w:val="00BB1550"/>
    <w:rsid w:val="00BB1813"/>
    <w:rsid w:val="00BB4858"/>
    <w:rsid w:val="00BB560A"/>
    <w:rsid w:val="00BB589E"/>
    <w:rsid w:val="00BB7592"/>
    <w:rsid w:val="00BB76C4"/>
    <w:rsid w:val="00BC015C"/>
    <w:rsid w:val="00BC1B2E"/>
    <w:rsid w:val="00BC1D02"/>
    <w:rsid w:val="00BC1D67"/>
    <w:rsid w:val="00BC40EA"/>
    <w:rsid w:val="00BC4400"/>
    <w:rsid w:val="00BC5D66"/>
    <w:rsid w:val="00BC6EB2"/>
    <w:rsid w:val="00BC7106"/>
    <w:rsid w:val="00BC7FFB"/>
    <w:rsid w:val="00BD0068"/>
    <w:rsid w:val="00BD0B1A"/>
    <w:rsid w:val="00BD1597"/>
    <w:rsid w:val="00BD2877"/>
    <w:rsid w:val="00BD2E40"/>
    <w:rsid w:val="00BD2FE2"/>
    <w:rsid w:val="00BD5560"/>
    <w:rsid w:val="00BD59D8"/>
    <w:rsid w:val="00BD67D6"/>
    <w:rsid w:val="00BD6EA8"/>
    <w:rsid w:val="00BD6EF8"/>
    <w:rsid w:val="00BD74EC"/>
    <w:rsid w:val="00BE3AB8"/>
    <w:rsid w:val="00BE4597"/>
    <w:rsid w:val="00BF0201"/>
    <w:rsid w:val="00BF06AB"/>
    <w:rsid w:val="00BF6303"/>
    <w:rsid w:val="00BF68A1"/>
    <w:rsid w:val="00BF6E6B"/>
    <w:rsid w:val="00BF72D4"/>
    <w:rsid w:val="00BF7724"/>
    <w:rsid w:val="00C0247B"/>
    <w:rsid w:val="00C02BA0"/>
    <w:rsid w:val="00C05820"/>
    <w:rsid w:val="00C06A90"/>
    <w:rsid w:val="00C11AA9"/>
    <w:rsid w:val="00C14304"/>
    <w:rsid w:val="00C212F6"/>
    <w:rsid w:val="00C22D71"/>
    <w:rsid w:val="00C24083"/>
    <w:rsid w:val="00C24619"/>
    <w:rsid w:val="00C259FA"/>
    <w:rsid w:val="00C25E00"/>
    <w:rsid w:val="00C2639A"/>
    <w:rsid w:val="00C267A9"/>
    <w:rsid w:val="00C26CDE"/>
    <w:rsid w:val="00C26EDB"/>
    <w:rsid w:val="00C30EC9"/>
    <w:rsid w:val="00C333BF"/>
    <w:rsid w:val="00C364B8"/>
    <w:rsid w:val="00C37580"/>
    <w:rsid w:val="00C376FE"/>
    <w:rsid w:val="00C37BD0"/>
    <w:rsid w:val="00C37C4B"/>
    <w:rsid w:val="00C37D42"/>
    <w:rsid w:val="00C4361E"/>
    <w:rsid w:val="00C43AF1"/>
    <w:rsid w:val="00C4499B"/>
    <w:rsid w:val="00C45B15"/>
    <w:rsid w:val="00C4678A"/>
    <w:rsid w:val="00C46E23"/>
    <w:rsid w:val="00C515D2"/>
    <w:rsid w:val="00C52403"/>
    <w:rsid w:val="00C5307E"/>
    <w:rsid w:val="00C534E3"/>
    <w:rsid w:val="00C55FAA"/>
    <w:rsid w:val="00C56EEF"/>
    <w:rsid w:val="00C576B7"/>
    <w:rsid w:val="00C5779B"/>
    <w:rsid w:val="00C616EF"/>
    <w:rsid w:val="00C62EE5"/>
    <w:rsid w:val="00C66FFA"/>
    <w:rsid w:val="00C67EC1"/>
    <w:rsid w:val="00C720C6"/>
    <w:rsid w:val="00C72BEB"/>
    <w:rsid w:val="00C7651C"/>
    <w:rsid w:val="00C77672"/>
    <w:rsid w:val="00C80905"/>
    <w:rsid w:val="00C827F9"/>
    <w:rsid w:val="00C82C5B"/>
    <w:rsid w:val="00C8541A"/>
    <w:rsid w:val="00C8649D"/>
    <w:rsid w:val="00C874D3"/>
    <w:rsid w:val="00C87DFE"/>
    <w:rsid w:val="00C905B2"/>
    <w:rsid w:val="00CA0F36"/>
    <w:rsid w:val="00CA14E3"/>
    <w:rsid w:val="00CA1DFA"/>
    <w:rsid w:val="00CA2213"/>
    <w:rsid w:val="00CA2292"/>
    <w:rsid w:val="00CA5EBD"/>
    <w:rsid w:val="00CA6ABF"/>
    <w:rsid w:val="00CA70C8"/>
    <w:rsid w:val="00CA7A58"/>
    <w:rsid w:val="00CB0165"/>
    <w:rsid w:val="00CB06AB"/>
    <w:rsid w:val="00CB43CB"/>
    <w:rsid w:val="00CB4CD5"/>
    <w:rsid w:val="00CB7FB1"/>
    <w:rsid w:val="00CC053E"/>
    <w:rsid w:val="00CC36A6"/>
    <w:rsid w:val="00CC4782"/>
    <w:rsid w:val="00CC6901"/>
    <w:rsid w:val="00CD1A9F"/>
    <w:rsid w:val="00CD1CE2"/>
    <w:rsid w:val="00CD28F1"/>
    <w:rsid w:val="00CD5432"/>
    <w:rsid w:val="00CD578A"/>
    <w:rsid w:val="00CD62DC"/>
    <w:rsid w:val="00CD77E4"/>
    <w:rsid w:val="00CE01B2"/>
    <w:rsid w:val="00CE1956"/>
    <w:rsid w:val="00CE1D6B"/>
    <w:rsid w:val="00CE38CF"/>
    <w:rsid w:val="00CE46D7"/>
    <w:rsid w:val="00CE5389"/>
    <w:rsid w:val="00CE7305"/>
    <w:rsid w:val="00CE7EF2"/>
    <w:rsid w:val="00CF1379"/>
    <w:rsid w:val="00CF3B22"/>
    <w:rsid w:val="00CF481D"/>
    <w:rsid w:val="00CF71D0"/>
    <w:rsid w:val="00D02505"/>
    <w:rsid w:val="00D0281F"/>
    <w:rsid w:val="00D04088"/>
    <w:rsid w:val="00D06161"/>
    <w:rsid w:val="00D0744F"/>
    <w:rsid w:val="00D07C5F"/>
    <w:rsid w:val="00D10098"/>
    <w:rsid w:val="00D111A9"/>
    <w:rsid w:val="00D12008"/>
    <w:rsid w:val="00D12871"/>
    <w:rsid w:val="00D12F4A"/>
    <w:rsid w:val="00D133D6"/>
    <w:rsid w:val="00D13989"/>
    <w:rsid w:val="00D13DC2"/>
    <w:rsid w:val="00D155D6"/>
    <w:rsid w:val="00D16E92"/>
    <w:rsid w:val="00D20790"/>
    <w:rsid w:val="00D20C40"/>
    <w:rsid w:val="00D20E55"/>
    <w:rsid w:val="00D21209"/>
    <w:rsid w:val="00D2144C"/>
    <w:rsid w:val="00D22A0F"/>
    <w:rsid w:val="00D2301D"/>
    <w:rsid w:val="00D23792"/>
    <w:rsid w:val="00D247FF"/>
    <w:rsid w:val="00D24D8D"/>
    <w:rsid w:val="00D265AD"/>
    <w:rsid w:val="00D27DC9"/>
    <w:rsid w:val="00D30774"/>
    <w:rsid w:val="00D30EE8"/>
    <w:rsid w:val="00D32881"/>
    <w:rsid w:val="00D3298F"/>
    <w:rsid w:val="00D330BF"/>
    <w:rsid w:val="00D34E6D"/>
    <w:rsid w:val="00D42202"/>
    <w:rsid w:val="00D430C1"/>
    <w:rsid w:val="00D434F9"/>
    <w:rsid w:val="00D43861"/>
    <w:rsid w:val="00D44253"/>
    <w:rsid w:val="00D44281"/>
    <w:rsid w:val="00D46D1F"/>
    <w:rsid w:val="00D504D5"/>
    <w:rsid w:val="00D5202D"/>
    <w:rsid w:val="00D5323F"/>
    <w:rsid w:val="00D5729F"/>
    <w:rsid w:val="00D573E0"/>
    <w:rsid w:val="00D57B0A"/>
    <w:rsid w:val="00D61D30"/>
    <w:rsid w:val="00D62A31"/>
    <w:rsid w:val="00D62FC8"/>
    <w:rsid w:val="00D6498A"/>
    <w:rsid w:val="00D65938"/>
    <w:rsid w:val="00D70471"/>
    <w:rsid w:val="00D72D77"/>
    <w:rsid w:val="00D736AA"/>
    <w:rsid w:val="00D73DAC"/>
    <w:rsid w:val="00D73E91"/>
    <w:rsid w:val="00D768BF"/>
    <w:rsid w:val="00D80BEC"/>
    <w:rsid w:val="00D81F1C"/>
    <w:rsid w:val="00D85543"/>
    <w:rsid w:val="00D870D4"/>
    <w:rsid w:val="00D87CB2"/>
    <w:rsid w:val="00D908E5"/>
    <w:rsid w:val="00D91350"/>
    <w:rsid w:val="00D9162B"/>
    <w:rsid w:val="00D92508"/>
    <w:rsid w:val="00D927ED"/>
    <w:rsid w:val="00D944EC"/>
    <w:rsid w:val="00D95A7E"/>
    <w:rsid w:val="00D967D6"/>
    <w:rsid w:val="00D976F3"/>
    <w:rsid w:val="00D97CF2"/>
    <w:rsid w:val="00D97ED5"/>
    <w:rsid w:val="00DA1B7B"/>
    <w:rsid w:val="00DA1DC5"/>
    <w:rsid w:val="00DA20CA"/>
    <w:rsid w:val="00DA2392"/>
    <w:rsid w:val="00DA2AC6"/>
    <w:rsid w:val="00DA3F1D"/>
    <w:rsid w:val="00DA4652"/>
    <w:rsid w:val="00DA4844"/>
    <w:rsid w:val="00DA6E0D"/>
    <w:rsid w:val="00DA7AE6"/>
    <w:rsid w:val="00DB0731"/>
    <w:rsid w:val="00DB0891"/>
    <w:rsid w:val="00DB1941"/>
    <w:rsid w:val="00DB215E"/>
    <w:rsid w:val="00DB35CC"/>
    <w:rsid w:val="00DB4513"/>
    <w:rsid w:val="00DB4622"/>
    <w:rsid w:val="00DB538B"/>
    <w:rsid w:val="00DB5A80"/>
    <w:rsid w:val="00DB6F1C"/>
    <w:rsid w:val="00DB7517"/>
    <w:rsid w:val="00DB79C2"/>
    <w:rsid w:val="00DB7CF3"/>
    <w:rsid w:val="00DC2905"/>
    <w:rsid w:val="00DC322C"/>
    <w:rsid w:val="00DC3716"/>
    <w:rsid w:val="00DC468F"/>
    <w:rsid w:val="00DC6295"/>
    <w:rsid w:val="00DC7893"/>
    <w:rsid w:val="00DD05FD"/>
    <w:rsid w:val="00DD0693"/>
    <w:rsid w:val="00DD0F0C"/>
    <w:rsid w:val="00DD2966"/>
    <w:rsid w:val="00DD2A32"/>
    <w:rsid w:val="00DD3156"/>
    <w:rsid w:val="00DD3F1D"/>
    <w:rsid w:val="00DD7536"/>
    <w:rsid w:val="00DE004E"/>
    <w:rsid w:val="00DE0D95"/>
    <w:rsid w:val="00DE1B3F"/>
    <w:rsid w:val="00DE25CA"/>
    <w:rsid w:val="00DE35D5"/>
    <w:rsid w:val="00DE3CF0"/>
    <w:rsid w:val="00DE3F21"/>
    <w:rsid w:val="00DE54B0"/>
    <w:rsid w:val="00DE60B3"/>
    <w:rsid w:val="00DE71AE"/>
    <w:rsid w:val="00DE7953"/>
    <w:rsid w:val="00DE7F68"/>
    <w:rsid w:val="00DF0685"/>
    <w:rsid w:val="00DF40E8"/>
    <w:rsid w:val="00DF41FF"/>
    <w:rsid w:val="00DF4C14"/>
    <w:rsid w:val="00DF7D2A"/>
    <w:rsid w:val="00E00475"/>
    <w:rsid w:val="00E01017"/>
    <w:rsid w:val="00E01B87"/>
    <w:rsid w:val="00E01CDF"/>
    <w:rsid w:val="00E04004"/>
    <w:rsid w:val="00E04889"/>
    <w:rsid w:val="00E04C53"/>
    <w:rsid w:val="00E04DE1"/>
    <w:rsid w:val="00E064B7"/>
    <w:rsid w:val="00E07BBB"/>
    <w:rsid w:val="00E107C7"/>
    <w:rsid w:val="00E111F7"/>
    <w:rsid w:val="00E1179B"/>
    <w:rsid w:val="00E1226C"/>
    <w:rsid w:val="00E13F07"/>
    <w:rsid w:val="00E14C8A"/>
    <w:rsid w:val="00E14F52"/>
    <w:rsid w:val="00E15268"/>
    <w:rsid w:val="00E15591"/>
    <w:rsid w:val="00E155B8"/>
    <w:rsid w:val="00E16A4B"/>
    <w:rsid w:val="00E17906"/>
    <w:rsid w:val="00E2065F"/>
    <w:rsid w:val="00E21D83"/>
    <w:rsid w:val="00E23370"/>
    <w:rsid w:val="00E242E0"/>
    <w:rsid w:val="00E25181"/>
    <w:rsid w:val="00E27794"/>
    <w:rsid w:val="00E279C7"/>
    <w:rsid w:val="00E3220F"/>
    <w:rsid w:val="00E329C7"/>
    <w:rsid w:val="00E335CE"/>
    <w:rsid w:val="00E34293"/>
    <w:rsid w:val="00E35284"/>
    <w:rsid w:val="00E3606A"/>
    <w:rsid w:val="00E36B30"/>
    <w:rsid w:val="00E36E17"/>
    <w:rsid w:val="00E37B87"/>
    <w:rsid w:val="00E407E9"/>
    <w:rsid w:val="00E40F37"/>
    <w:rsid w:val="00E415F4"/>
    <w:rsid w:val="00E42DDB"/>
    <w:rsid w:val="00E44148"/>
    <w:rsid w:val="00E44901"/>
    <w:rsid w:val="00E4618F"/>
    <w:rsid w:val="00E46214"/>
    <w:rsid w:val="00E46CD4"/>
    <w:rsid w:val="00E50106"/>
    <w:rsid w:val="00E5034D"/>
    <w:rsid w:val="00E531AE"/>
    <w:rsid w:val="00E55867"/>
    <w:rsid w:val="00E56B89"/>
    <w:rsid w:val="00E57557"/>
    <w:rsid w:val="00E57A48"/>
    <w:rsid w:val="00E60521"/>
    <w:rsid w:val="00E6222C"/>
    <w:rsid w:val="00E622B2"/>
    <w:rsid w:val="00E629A6"/>
    <w:rsid w:val="00E63586"/>
    <w:rsid w:val="00E6368D"/>
    <w:rsid w:val="00E64AB1"/>
    <w:rsid w:val="00E665D8"/>
    <w:rsid w:val="00E6732A"/>
    <w:rsid w:val="00E7025B"/>
    <w:rsid w:val="00E7192A"/>
    <w:rsid w:val="00E72C82"/>
    <w:rsid w:val="00E72E52"/>
    <w:rsid w:val="00E73A3B"/>
    <w:rsid w:val="00E75C34"/>
    <w:rsid w:val="00E80477"/>
    <w:rsid w:val="00E81D22"/>
    <w:rsid w:val="00E82209"/>
    <w:rsid w:val="00E82801"/>
    <w:rsid w:val="00E82A73"/>
    <w:rsid w:val="00E83A0C"/>
    <w:rsid w:val="00E84C16"/>
    <w:rsid w:val="00E862AA"/>
    <w:rsid w:val="00E86541"/>
    <w:rsid w:val="00E86DDB"/>
    <w:rsid w:val="00E87C75"/>
    <w:rsid w:val="00E9016F"/>
    <w:rsid w:val="00E91B1D"/>
    <w:rsid w:val="00E92457"/>
    <w:rsid w:val="00E925A1"/>
    <w:rsid w:val="00E931F1"/>
    <w:rsid w:val="00E93764"/>
    <w:rsid w:val="00E94A8F"/>
    <w:rsid w:val="00E94DCC"/>
    <w:rsid w:val="00E9518F"/>
    <w:rsid w:val="00E9589C"/>
    <w:rsid w:val="00E95E69"/>
    <w:rsid w:val="00E95EFA"/>
    <w:rsid w:val="00E9623B"/>
    <w:rsid w:val="00E97487"/>
    <w:rsid w:val="00EA067E"/>
    <w:rsid w:val="00EA0AAA"/>
    <w:rsid w:val="00EA209F"/>
    <w:rsid w:val="00EA20C4"/>
    <w:rsid w:val="00EA34D5"/>
    <w:rsid w:val="00EA62B8"/>
    <w:rsid w:val="00EA6B4C"/>
    <w:rsid w:val="00EA7206"/>
    <w:rsid w:val="00EA78DD"/>
    <w:rsid w:val="00EA7C89"/>
    <w:rsid w:val="00EB072A"/>
    <w:rsid w:val="00EB1D57"/>
    <w:rsid w:val="00EB2309"/>
    <w:rsid w:val="00EB2505"/>
    <w:rsid w:val="00EB27D8"/>
    <w:rsid w:val="00EB33EE"/>
    <w:rsid w:val="00EB36A7"/>
    <w:rsid w:val="00EB61E8"/>
    <w:rsid w:val="00EC114C"/>
    <w:rsid w:val="00EC1A91"/>
    <w:rsid w:val="00EC2304"/>
    <w:rsid w:val="00EC3078"/>
    <w:rsid w:val="00EC4365"/>
    <w:rsid w:val="00EC4B82"/>
    <w:rsid w:val="00EC50EC"/>
    <w:rsid w:val="00EC6ECD"/>
    <w:rsid w:val="00EC7DBD"/>
    <w:rsid w:val="00EC7F9A"/>
    <w:rsid w:val="00ED11CC"/>
    <w:rsid w:val="00ED3F9A"/>
    <w:rsid w:val="00ED5F1B"/>
    <w:rsid w:val="00EE09FE"/>
    <w:rsid w:val="00EE1142"/>
    <w:rsid w:val="00EE1C94"/>
    <w:rsid w:val="00EE2286"/>
    <w:rsid w:val="00EE277D"/>
    <w:rsid w:val="00EE334C"/>
    <w:rsid w:val="00EE5142"/>
    <w:rsid w:val="00EF0A23"/>
    <w:rsid w:val="00EF1A2F"/>
    <w:rsid w:val="00EF20C8"/>
    <w:rsid w:val="00EF25FA"/>
    <w:rsid w:val="00EF359C"/>
    <w:rsid w:val="00EF5567"/>
    <w:rsid w:val="00EF5861"/>
    <w:rsid w:val="00EF5CF9"/>
    <w:rsid w:val="00EF68B8"/>
    <w:rsid w:val="00F0182C"/>
    <w:rsid w:val="00F034FE"/>
    <w:rsid w:val="00F04C20"/>
    <w:rsid w:val="00F05CF1"/>
    <w:rsid w:val="00F077F3"/>
    <w:rsid w:val="00F07E59"/>
    <w:rsid w:val="00F1072D"/>
    <w:rsid w:val="00F1099F"/>
    <w:rsid w:val="00F109FC"/>
    <w:rsid w:val="00F12093"/>
    <w:rsid w:val="00F123A0"/>
    <w:rsid w:val="00F134CD"/>
    <w:rsid w:val="00F1371F"/>
    <w:rsid w:val="00F13B5E"/>
    <w:rsid w:val="00F148CC"/>
    <w:rsid w:val="00F14AAD"/>
    <w:rsid w:val="00F158FD"/>
    <w:rsid w:val="00F15D31"/>
    <w:rsid w:val="00F16703"/>
    <w:rsid w:val="00F16CFE"/>
    <w:rsid w:val="00F17626"/>
    <w:rsid w:val="00F221DE"/>
    <w:rsid w:val="00F22556"/>
    <w:rsid w:val="00F23C7A"/>
    <w:rsid w:val="00F23E74"/>
    <w:rsid w:val="00F24182"/>
    <w:rsid w:val="00F241AB"/>
    <w:rsid w:val="00F24CBC"/>
    <w:rsid w:val="00F25117"/>
    <w:rsid w:val="00F25558"/>
    <w:rsid w:val="00F2649E"/>
    <w:rsid w:val="00F2735C"/>
    <w:rsid w:val="00F3089D"/>
    <w:rsid w:val="00F30A5C"/>
    <w:rsid w:val="00F3238D"/>
    <w:rsid w:val="00F338D9"/>
    <w:rsid w:val="00F37281"/>
    <w:rsid w:val="00F37CB4"/>
    <w:rsid w:val="00F408B4"/>
    <w:rsid w:val="00F40C28"/>
    <w:rsid w:val="00F41F93"/>
    <w:rsid w:val="00F43432"/>
    <w:rsid w:val="00F445A1"/>
    <w:rsid w:val="00F45C67"/>
    <w:rsid w:val="00F462AF"/>
    <w:rsid w:val="00F52375"/>
    <w:rsid w:val="00F52F96"/>
    <w:rsid w:val="00F53511"/>
    <w:rsid w:val="00F54ABB"/>
    <w:rsid w:val="00F54BCF"/>
    <w:rsid w:val="00F55B11"/>
    <w:rsid w:val="00F56FAE"/>
    <w:rsid w:val="00F57ADC"/>
    <w:rsid w:val="00F57C65"/>
    <w:rsid w:val="00F60972"/>
    <w:rsid w:val="00F60983"/>
    <w:rsid w:val="00F6107F"/>
    <w:rsid w:val="00F637D6"/>
    <w:rsid w:val="00F63D49"/>
    <w:rsid w:val="00F652C2"/>
    <w:rsid w:val="00F6760D"/>
    <w:rsid w:val="00F67B68"/>
    <w:rsid w:val="00F7155B"/>
    <w:rsid w:val="00F72B44"/>
    <w:rsid w:val="00F72BF2"/>
    <w:rsid w:val="00F73E81"/>
    <w:rsid w:val="00F74C0C"/>
    <w:rsid w:val="00F75EEA"/>
    <w:rsid w:val="00F76418"/>
    <w:rsid w:val="00F817C8"/>
    <w:rsid w:val="00F82410"/>
    <w:rsid w:val="00F82EF7"/>
    <w:rsid w:val="00F838B3"/>
    <w:rsid w:val="00F863F3"/>
    <w:rsid w:val="00F86925"/>
    <w:rsid w:val="00F87783"/>
    <w:rsid w:val="00F913CA"/>
    <w:rsid w:val="00F916BD"/>
    <w:rsid w:val="00F93E9A"/>
    <w:rsid w:val="00F94B40"/>
    <w:rsid w:val="00F9541C"/>
    <w:rsid w:val="00F96103"/>
    <w:rsid w:val="00F968DA"/>
    <w:rsid w:val="00F970F3"/>
    <w:rsid w:val="00F97619"/>
    <w:rsid w:val="00FA041D"/>
    <w:rsid w:val="00FA1683"/>
    <w:rsid w:val="00FA172B"/>
    <w:rsid w:val="00FA1B87"/>
    <w:rsid w:val="00FA2F71"/>
    <w:rsid w:val="00FA40A1"/>
    <w:rsid w:val="00FA4391"/>
    <w:rsid w:val="00FA4574"/>
    <w:rsid w:val="00FA70DC"/>
    <w:rsid w:val="00FA7437"/>
    <w:rsid w:val="00FA7D0F"/>
    <w:rsid w:val="00FA7F03"/>
    <w:rsid w:val="00FB03EF"/>
    <w:rsid w:val="00FB1055"/>
    <w:rsid w:val="00FB11C3"/>
    <w:rsid w:val="00FB1477"/>
    <w:rsid w:val="00FB166F"/>
    <w:rsid w:val="00FB204C"/>
    <w:rsid w:val="00FB3A1E"/>
    <w:rsid w:val="00FB5DDB"/>
    <w:rsid w:val="00FB67F9"/>
    <w:rsid w:val="00FC0C5F"/>
    <w:rsid w:val="00FC29A5"/>
    <w:rsid w:val="00FC2B9E"/>
    <w:rsid w:val="00FC2CB9"/>
    <w:rsid w:val="00FC400E"/>
    <w:rsid w:val="00FC40A7"/>
    <w:rsid w:val="00FC4DB8"/>
    <w:rsid w:val="00FC5CBA"/>
    <w:rsid w:val="00FC61F7"/>
    <w:rsid w:val="00FC6E90"/>
    <w:rsid w:val="00FC7557"/>
    <w:rsid w:val="00FD05A4"/>
    <w:rsid w:val="00FD3225"/>
    <w:rsid w:val="00FD3C9B"/>
    <w:rsid w:val="00FD4023"/>
    <w:rsid w:val="00FD4F29"/>
    <w:rsid w:val="00FD5115"/>
    <w:rsid w:val="00FD52B9"/>
    <w:rsid w:val="00FD5E3E"/>
    <w:rsid w:val="00FD7497"/>
    <w:rsid w:val="00FD7D1F"/>
    <w:rsid w:val="00FD7ED8"/>
    <w:rsid w:val="00FE0385"/>
    <w:rsid w:val="00FE0439"/>
    <w:rsid w:val="00FE04AC"/>
    <w:rsid w:val="00FE0A7F"/>
    <w:rsid w:val="00FE120C"/>
    <w:rsid w:val="00FE1468"/>
    <w:rsid w:val="00FE2E6A"/>
    <w:rsid w:val="00FE46A7"/>
    <w:rsid w:val="00FE5E4D"/>
    <w:rsid w:val="00FE6B66"/>
    <w:rsid w:val="00FE6F59"/>
    <w:rsid w:val="00FE7225"/>
    <w:rsid w:val="00FF021E"/>
    <w:rsid w:val="00FF1024"/>
    <w:rsid w:val="00FF105B"/>
    <w:rsid w:val="00FF124A"/>
    <w:rsid w:val="00FF1C80"/>
    <w:rsid w:val="00FF2DF9"/>
    <w:rsid w:val="00FF4AED"/>
    <w:rsid w:val="00FF4CAA"/>
    <w:rsid w:val="00FF60F7"/>
    <w:rsid w:val="00FF6C7C"/>
    <w:rsid w:val="00FF6D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D60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128C"/>
    <w:pPr>
      <w:spacing w:before="60" w:after="60"/>
    </w:pPr>
    <w:rPr>
      <w:rFonts w:ascii="Arial" w:hAnsi="Arial"/>
      <w:sz w:val="20"/>
    </w:rPr>
  </w:style>
  <w:style w:type="paragraph" w:styleId="berschrift1">
    <w:name w:val="heading 1"/>
    <w:basedOn w:val="Standard"/>
    <w:next w:val="Standard"/>
    <w:link w:val="berschrift1Zchn"/>
    <w:uiPriority w:val="9"/>
    <w:qFormat/>
    <w:rsid w:val="007C5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8F1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uiPriority w:val="9"/>
    <w:unhideWhenUsed/>
    <w:qFormat/>
    <w:rsid w:val="008F1FC1"/>
    <w:pPr>
      <w:keepNext w:val="0"/>
      <w:keepLines w:val="0"/>
      <w:numPr>
        <w:ilvl w:val="2"/>
        <w:numId w:val="2"/>
      </w:numPr>
      <w:spacing w:before="60" w:after="60" w:line="240" w:lineRule="auto"/>
      <w:outlineLvl w:val="2"/>
    </w:pPr>
    <w:rPr>
      <w:rFonts w:ascii="EYInterstate Light" w:eastAsiaTheme="minorHAnsi" w:hAnsi="EYInterstate Light" w:cstheme="minorBidi"/>
      <w:b w:val="0"/>
      <w:bCs w:val="0"/>
      <w:color w:val="auto"/>
      <w:sz w:val="16"/>
      <w:szCs w:val="16"/>
    </w:rPr>
  </w:style>
  <w:style w:type="paragraph" w:styleId="berschrift5">
    <w:name w:val="heading 5"/>
    <w:basedOn w:val="Standard"/>
    <w:next w:val="Standard"/>
    <w:link w:val="berschrift5Zchn"/>
    <w:uiPriority w:val="9"/>
    <w:semiHidden/>
    <w:unhideWhenUsed/>
    <w:qFormat/>
    <w:rsid w:val="00F41F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3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17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176F"/>
  </w:style>
  <w:style w:type="paragraph" w:styleId="Fuzeile">
    <w:name w:val="footer"/>
    <w:basedOn w:val="Standard"/>
    <w:link w:val="FuzeileZchn"/>
    <w:uiPriority w:val="99"/>
    <w:unhideWhenUsed/>
    <w:rsid w:val="007317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76F"/>
  </w:style>
  <w:style w:type="paragraph" w:styleId="Listenabsatz">
    <w:name w:val="List Paragraph"/>
    <w:basedOn w:val="Standard"/>
    <w:uiPriority w:val="34"/>
    <w:qFormat/>
    <w:rsid w:val="00E23370"/>
    <w:pPr>
      <w:ind w:left="720"/>
      <w:contextualSpacing/>
    </w:pPr>
  </w:style>
  <w:style w:type="paragraph" w:customStyle="1" w:styleId="Default">
    <w:name w:val="Default"/>
    <w:rsid w:val="00B36FB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37739"/>
    <w:rPr>
      <w:sz w:val="16"/>
      <w:szCs w:val="16"/>
    </w:rPr>
  </w:style>
  <w:style w:type="paragraph" w:styleId="Kommentartext">
    <w:name w:val="annotation text"/>
    <w:basedOn w:val="Standard"/>
    <w:link w:val="KommentartextZchn"/>
    <w:uiPriority w:val="99"/>
    <w:semiHidden/>
    <w:unhideWhenUsed/>
    <w:rsid w:val="00537739"/>
    <w:pPr>
      <w:spacing w:line="240" w:lineRule="auto"/>
    </w:pPr>
    <w:rPr>
      <w:szCs w:val="20"/>
    </w:rPr>
  </w:style>
  <w:style w:type="character" w:customStyle="1" w:styleId="KommentartextZchn">
    <w:name w:val="Kommentartext Zchn"/>
    <w:basedOn w:val="Absatz-Standardschriftart"/>
    <w:link w:val="Kommentartext"/>
    <w:uiPriority w:val="99"/>
    <w:semiHidden/>
    <w:rsid w:val="00537739"/>
    <w:rPr>
      <w:sz w:val="20"/>
      <w:szCs w:val="20"/>
    </w:rPr>
  </w:style>
  <w:style w:type="paragraph" w:styleId="Kommentarthema">
    <w:name w:val="annotation subject"/>
    <w:basedOn w:val="Kommentartext"/>
    <w:next w:val="Kommentartext"/>
    <w:link w:val="KommentarthemaZchn"/>
    <w:uiPriority w:val="99"/>
    <w:semiHidden/>
    <w:unhideWhenUsed/>
    <w:rsid w:val="00537739"/>
    <w:rPr>
      <w:b/>
      <w:bCs/>
    </w:rPr>
  </w:style>
  <w:style w:type="character" w:customStyle="1" w:styleId="KommentarthemaZchn">
    <w:name w:val="Kommentarthema Zchn"/>
    <w:basedOn w:val="KommentartextZchn"/>
    <w:link w:val="Kommentarthema"/>
    <w:uiPriority w:val="99"/>
    <w:semiHidden/>
    <w:rsid w:val="00537739"/>
    <w:rPr>
      <w:b/>
      <w:bCs/>
      <w:sz w:val="20"/>
      <w:szCs w:val="20"/>
    </w:rPr>
  </w:style>
  <w:style w:type="paragraph" w:styleId="Sprechblasentext">
    <w:name w:val="Balloon Text"/>
    <w:basedOn w:val="Standard"/>
    <w:link w:val="SprechblasentextZchn"/>
    <w:uiPriority w:val="99"/>
    <w:semiHidden/>
    <w:unhideWhenUsed/>
    <w:rsid w:val="005377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739"/>
    <w:rPr>
      <w:rFonts w:ascii="Tahoma" w:hAnsi="Tahoma" w:cs="Tahoma"/>
      <w:sz w:val="16"/>
      <w:szCs w:val="16"/>
    </w:rPr>
  </w:style>
  <w:style w:type="character" w:customStyle="1" w:styleId="berschrift3Zchn">
    <w:name w:val="Überschrift 3 Zchn"/>
    <w:basedOn w:val="Absatz-Standardschriftart"/>
    <w:link w:val="berschrift3"/>
    <w:uiPriority w:val="9"/>
    <w:rsid w:val="008F1FC1"/>
    <w:rPr>
      <w:rFonts w:ascii="EYInterstate Light" w:hAnsi="EYInterstate Light"/>
      <w:sz w:val="16"/>
      <w:szCs w:val="16"/>
      <w:lang w:val="de-DE"/>
    </w:rPr>
  </w:style>
  <w:style w:type="numbering" w:customStyle="1" w:styleId="ListePP">
    <w:name w:val="Liste PP"/>
    <w:uiPriority w:val="99"/>
    <w:rsid w:val="008F1FC1"/>
    <w:pPr>
      <w:numPr>
        <w:numId w:val="1"/>
      </w:numPr>
    </w:pPr>
  </w:style>
  <w:style w:type="character" w:customStyle="1" w:styleId="berschrift2Zchn">
    <w:name w:val="Überschrift 2 Zchn"/>
    <w:basedOn w:val="Absatz-Standardschriftart"/>
    <w:link w:val="berschrift2"/>
    <w:uiPriority w:val="9"/>
    <w:semiHidden/>
    <w:rsid w:val="008F1FC1"/>
    <w:rPr>
      <w:rFonts w:asciiTheme="majorHAnsi" w:eastAsiaTheme="majorEastAsia" w:hAnsiTheme="majorHAnsi" w:cstheme="majorBidi"/>
      <w:b/>
      <w:bCs/>
      <w:color w:val="4F81BD" w:themeColor="accent1"/>
      <w:sz w:val="26"/>
      <w:szCs w:val="26"/>
    </w:rPr>
  </w:style>
  <w:style w:type="paragraph" w:customStyle="1" w:styleId="Bullet">
    <w:name w:val="Bullet"/>
    <w:basedOn w:val="Listenabsatz"/>
    <w:qFormat/>
    <w:rsid w:val="00FF105B"/>
    <w:pPr>
      <w:numPr>
        <w:numId w:val="3"/>
      </w:numPr>
      <w:spacing w:line="240" w:lineRule="auto"/>
      <w:contextualSpacing w:val="0"/>
    </w:pPr>
    <w:rPr>
      <w:rFonts w:cs="Arial"/>
      <w:sz w:val="16"/>
      <w:szCs w:val="16"/>
    </w:rPr>
  </w:style>
  <w:style w:type="paragraph" w:customStyle="1" w:styleId="FINMAStandardAbsatz">
    <w:name w:val="FINMA Standard Absatz"/>
    <w:basedOn w:val="Standard"/>
    <w:qFormat/>
    <w:rsid w:val="0034078A"/>
    <w:pPr>
      <w:spacing w:before="260" w:after="260" w:line="260" w:lineRule="atLeast"/>
      <w:jc w:val="both"/>
    </w:pPr>
    <w:rPr>
      <w:rFonts w:eastAsia="Times New Roman" w:cs="Times New Roman"/>
      <w:szCs w:val="20"/>
    </w:rPr>
  </w:style>
  <w:style w:type="character" w:customStyle="1" w:styleId="berschrift5Zchn">
    <w:name w:val="Überschrift 5 Zchn"/>
    <w:basedOn w:val="Absatz-Standardschriftart"/>
    <w:link w:val="berschrift5"/>
    <w:uiPriority w:val="9"/>
    <w:semiHidden/>
    <w:rsid w:val="00F41F93"/>
    <w:rPr>
      <w:rFonts w:asciiTheme="majorHAnsi" w:eastAsiaTheme="majorEastAsia" w:hAnsiTheme="majorHAnsi" w:cstheme="majorBidi"/>
      <w:color w:val="243F60" w:themeColor="accent1" w:themeShade="7F"/>
      <w:sz w:val="20"/>
    </w:rPr>
  </w:style>
  <w:style w:type="character" w:styleId="Fett">
    <w:name w:val="Strong"/>
    <w:basedOn w:val="Absatz-Standardschriftart"/>
    <w:uiPriority w:val="22"/>
    <w:qFormat/>
    <w:rsid w:val="00F41F93"/>
    <w:rPr>
      <w:b/>
      <w:bCs/>
    </w:rPr>
  </w:style>
  <w:style w:type="paragraph" w:styleId="StandardWeb">
    <w:name w:val="Normal (Web)"/>
    <w:basedOn w:val="Standard"/>
    <w:uiPriority w:val="99"/>
    <w:semiHidden/>
    <w:unhideWhenUsed/>
    <w:rsid w:val="00F41F93"/>
    <w:pPr>
      <w:spacing w:before="0" w:after="165" w:line="240" w:lineRule="auto"/>
    </w:pPr>
    <w:rPr>
      <w:rFonts w:ascii="Times New Roman" w:eastAsia="Times New Roman" w:hAnsi="Times New Roman" w:cs="Times New Roman"/>
      <w:sz w:val="26"/>
      <w:szCs w:val="26"/>
    </w:rPr>
  </w:style>
  <w:style w:type="paragraph" w:styleId="berarbeitung">
    <w:name w:val="Revision"/>
    <w:hidden/>
    <w:uiPriority w:val="99"/>
    <w:semiHidden/>
    <w:rsid w:val="00120F66"/>
    <w:pPr>
      <w:spacing w:after="0" w:line="240" w:lineRule="auto"/>
    </w:pPr>
    <w:rPr>
      <w:rFonts w:ascii="Arial" w:hAnsi="Arial"/>
      <w:sz w:val="20"/>
    </w:rPr>
  </w:style>
  <w:style w:type="paragraph" w:styleId="Aufzhlungszeichen">
    <w:name w:val="List Bullet"/>
    <w:basedOn w:val="Standard"/>
    <w:uiPriority w:val="99"/>
    <w:unhideWhenUsed/>
    <w:rsid w:val="00A3171A"/>
    <w:pPr>
      <w:numPr>
        <w:numId w:val="4"/>
      </w:numPr>
      <w:contextualSpacing/>
    </w:pPr>
  </w:style>
  <w:style w:type="character" w:customStyle="1" w:styleId="hps">
    <w:name w:val="hps"/>
    <w:basedOn w:val="Absatz-Standardschriftart"/>
    <w:rsid w:val="001F440D"/>
  </w:style>
  <w:style w:type="paragraph" w:styleId="Textkrper">
    <w:name w:val="Body Text"/>
    <w:basedOn w:val="Standard"/>
    <w:link w:val="TextkrperZchn"/>
    <w:uiPriority w:val="99"/>
    <w:unhideWhenUsed/>
    <w:rsid w:val="00DA1DC5"/>
    <w:pPr>
      <w:spacing w:after="120"/>
    </w:pPr>
  </w:style>
  <w:style w:type="character" w:customStyle="1" w:styleId="TextkrperZchn">
    <w:name w:val="Textkörper Zchn"/>
    <w:basedOn w:val="Absatz-Standardschriftart"/>
    <w:link w:val="Textkrper"/>
    <w:uiPriority w:val="99"/>
    <w:rsid w:val="00DA1DC5"/>
    <w:rPr>
      <w:rFonts w:ascii="Arial" w:hAnsi="Arial"/>
      <w:sz w:val="20"/>
      <w:lang w:val="de-DE"/>
    </w:rPr>
  </w:style>
  <w:style w:type="paragraph" w:styleId="Funotentext">
    <w:name w:val="footnote text"/>
    <w:basedOn w:val="Standard"/>
    <w:link w:val="FunotentextZchn"/>
    <w:uiPriority w:val="99"/>
    <w:semiHidden/>
    <w:unhideWhenUsed/>
    <w:rsid w:val="00EC4365"/>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EC4365"/>
    <w:rPr>
      <w:rFonts w:ascii="Arial" w:hAnsi="Arial"/>
      <w:sz w:val="20"/>
      <w:szCs w:val="20"/>
      <w:lang w:val="de-DE"/>
    </w:rPr>
  </w:style>
  <w:style w:type="character" w:styleId="Funotenzeichen">
    <w:name w:val="footnote reference"/>
    <w:basedOn w:val="Absatz-Standardschriftart"/>
    <w:uiPriority w:val="99"/>
    <w:semiHidden/>
    <w:unhideWhenUsed/>
    <w:rsid w:val="00EC4365"/>
    <w:rPr>
      <w:vertAlign w:val="superscript"/>
    </w:rPr>
  </w:style>
  <w:style w:type="character" w:customStyle="1" w:styleId="berschrift1Zchn">
    <w:name w:val="Überschrift 1 Zchn"/>
    <w:basedOn w:val="Absatz-Standardschriftart"/>
    <w:link w:val="berschrift1"/>
    <w:uiPriority w:val="9"/>
    <w:rsid w:val="007C5E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880">
      <w:bodyDiv w:val="1"/>
      <w:marLeft w:val="0"/>
      <w:marRight w:val="0"/>
      <w:marTop w:val="0"/>
      <w:marBottom w:val="0"/>
      <w:divBdr>
        <w:top w:val="none" w:sz="0" w:space="0" w:color="auto"/>
        <w:left w:val="none" w:sz="0" w:space="0" w:color="auto"/>
        <w:bottom w:val="none" w:sz="0" w:space="0" w:color="auto"/>
        <w:right w:val="none" w:sz="0" w:space="0" w:color="auto"/>
      </w:divBdr>
    </w:div>
    <w:div w:id="30737841">
      <w:bodyDiv w:val="1"/>
      <w:marLeft w:val="0"/>
      <w:marRight w:val="0"/>
      <w:marTop w:val="0"/>
      <w:marBottom w:val="0"/>
      <w:divBdr>
        <w:top w:val="none" w:sz="0" w:space="0" w:color="auto"/>
        <w:left w:val="none" w:sz="0" w:space="0" w:color="auto"/>
        <w:bottom w:val="none" w:sz="0" w:space="0" w:color="auto"/>
        <w:right w:val="none" w:sz="0" w:space="0" w:color="auto"/>
      </w:divBdr>
      <w:divsChild>
        <w:div w:id="2057925266">
          <w:marLeft w:val="418"/>
          <w:marRight w:val="0"/>
          <w:marTop w:val="58"/>
          <w:marBottom w:val="0"/>
          <w:divBdr>
            <w:top w:val="none" w:sz="0" w:space="0" w:color="auto"/>
            <w:left w:val="none" w:sz="0" w:space="0" w:color="auto"/>
            <w:bottom w:val="none" w:sz="0" w:space="0" w:color="auto"/>
            <w:right w:val="none" w:sz="0" w:space="0" w:color="auto"/>
          </w:divBdr>
        </w:div>
      </w:divsChild>
    </w:div>
    <w:div w:id="42294243">
      <w:bodyDiv w:val="1"/>
      <w:marLeft w:val="0"/>
      <w:marRight w:val="0"/>
      <w:marTop w:val="0"/>
      <w:marBottom w:val="0"/>
      <w:divBdr>
        <w:top w:val="none" w:sz="0" w:space="0" w:color="auto"/>
        <w:left w:val="none" w:sz="0" w:space="0" w:color="auto"/>
        <w:bottom w:val="none" w:sz="0" w:space="0" w:color="auto"/>
        <w:right w:val="none" w:sz="0" w:space="0" w:color="auto"/>
      </w:divBdr>
      <w:divsChild>
        <w:div w:id="739642744">
          <w:marLeft w:val="432"/>
          <w:marRight w:val="0"/>
          <w:marTop w:val="58"/>
          <w:marBottom w:val="0"/>
          <w:divBdr>
            <w:top w:val="none" w:sz="0" w:space="0" w:color="auto"/>
            <w:left w:val="none" w:sz="0" w:space="0" w:color="auto"/>
            <w:bottom w:val="none" w:sz="0" w:space="0" w:color="auto"/>
            <w:right w:val="none" w:sz="0" w:space="0" w:color="auto"/>
          </w:divBdr>
        </w:div>
        <w:div w:id="1338078846">
          <w:marLeft w:val="432"/>
          <w:marRight w:val="0"/>
          <w:marTop w:val="58"/>
          <w:marBottom w:val="0"/>
          <w:divBdr>
            <w:top w:val="none" w:sz="0" w:space="0" w:color="auto"/>
            <w:left w:val="none" w:sz="0" w:space="0" w:color="auto"/>
            <w:bottom w:val="none" w:sz="0" w:space="0" w:color="auto"/>
            <w:right w:val="none" w:sz="0" w:space="0" w:color="auto"/>
          </w:divBdr>
        </w:div>
        <w:div w:id="1649675989">
          <w:marLeft w:val="432"/>
          <w:marRight w:val="0"/>
          <w:marTop w:val="58"/>
          <w:marBottom w:val="0"/>
          <w:divBdr>
            <w:top w:val="none" w:sz="0" w:space="0" w:color="auto"/>
            <w:left w:val="none" w:sz="0" w:space="0" w:color="auto"/>
            <w:bottom w:val="none" w:sz="0" w:space="0" w:color="auto"/>
            <w:right w:val="none" w:sz="0" w:space="0" w:color="auto"/>
          </w:divBdr>
        </w:div>
      </w:divsChild>
    </w:div>
    <w:div w:id="68619808">
      <w:bodyDiv w:val="1"/>
      <w:marLeft w:val="0"/>
      <w:marRight w:val="0"/>
      <w:marTop w:val="0"/>
      <w:marBottom w:val="0"/>
      <w:divBdr>
        <w:top w:val="none" w:sz="0" w:space="0" w:color="auto"/>
        <w:left w:val="none" w:sz="0" w:space="0" w:color="auto"/>
        <w:bottom w:val="none" w:sz="0" w:space="0" w:color="auto"/>
        <w:right w:val="none" w:sz="0" w:space="0" w:color="auto"/>
      </w:divBdr>
    </w:div>
    <w:div w:id="71702435">
      <w:bodyDiv w:val="1"/>
      <w:marLeft w:val="0"/>
      <w:marRight w:val="0"/>
      <w:marTop w:val="0"/>
      <w:marBottom w:val="0"/>
      <w:divBdr>
        <w:top w:val="none" w:sz="0" w:space="0" w:color="auto"/>
        <w:left w:val="none" w:sz="0" w:space="0" w:color="auto"/>
        <w:bottom w:val="none" w:sz="0" w:space="0" w:color="auto"/>
        <w:right w:val="none" w:sz="0" w:space="0" w:color="auto"/>
      </w:divBdr>
      <w:divsChild>
        <w:div w:id="471140222">
          <w:marLeft w:val="432"/>
          <w:marRight w:val="0"/>
          <w:marTop w:val="58"/>
          <w:marBottom w:val="0"/>
          <w:divBdr>
            <w:top w:val="none" w:sz="0" w:space="0" w:color="auto"/>
            <w:left w:val="none" w:sz="0" w:space="0" w:color="auto"/>
            <w:bottom w:val="none" w:sz="0" w:space="0" w:color="auto"/>
            <w:right w:val="none" w:sz="0" w:space="0" w:color="auto"/>
          </w:divBdr>
        </w:div>
        <w:div w:id="1281036527">
          <w:marLeft w:val="432"/>
          <w:marRight w:val="0"/>
          <w:marTop w:val="58"/>
          <w:marBottom w:val="0"/>
          <w:divBdr>
            <w:top w:val="none" w:sz="0" w:space="0" w:color="auto"/>
            <w:left w:val="none" w:sz="0" w:space="0" w:color="auto"/>
            <w:bottom w:val="none" w:sz="0" w:space="0" w:color="auto"/>
            <w:right w:val="none" w:sz="0" w:space="0" w:color="auto"/>
          </w:divBdr>
        </w:div>
      </w:divsChild>
    </w:div>
    <w:div w:id="90663847">
      <w:bodyDiv w:val="1"/>
      <w:marLeft w:val="0"/>
      <w:marRight w:val="0"/>
      <w:marTop w:val="0"/>
      <w:marBottom w:val="0"/>
      <w:divBdr>
        <w:top w:val="none" w:sz="0" w:space="0" w:color="auto"/>
        <w:left w:val="none" w:sz="0" w:space="0" w:color="auto"/>
        <w:bottom w:val="none" w:sz="0" w:space="0" w:color="auto"/>
        <w:right w:val="none" w:sz="0" w:space="0" w:color="auto"/>
      </w:divBdr>
    </w:div>
    <w:div w:id="123082288">
      <w:bodyDiv w:val="1"/>
      <w:marLeft w:val="0"/>
      <w:marRight w:val="0"/>
      <w:marTop w:val="0"/>
      <w:marBottom w:val="0"/>
      <w:divBdr>
        <w:top w:val="none" w:sz="0" w:space="0" w:color="auto"/>
        <w:left w:val="none" w:sz="0" w:space="0" w:color="auto"/>
        <w:bottom w:val="none" w:sz="0" w:space="0" w:color="auto"/>
        <w:right w:val="none" w:sz="0" w:space="0" w:color="auto"/>
      </w:divBdr>
    </w:div>
    <w:div w:id="125586073">
      <w:bodyDiv w:val="1"/>
      <w:marLeft w:val="0"/>
      <w:marRight w:val="0"/>
      <w:marTop w:val="0"/>
      <w:marBottom w:val="0"/>
      <w:divBdr>
        <w:top w:val="none" w:sz="0" w:space="0" w:color="auto"/>
        <w:left w:val="none" w:sz="0" w:space="0" w:color="auto"/>
        <w:bottom w:val="none" w:sz="0" w:space="0" w:color="auto"/>
        <w:right w:val="none" w:sz="0" w:space="0" w:color="auto"/>
      </w:divBdr>
    </w:div>
    <w:div w:id="177931490">
      <w:bodyDiv w:val="1"/>
      <w:marLeft w:val="0"/>
      <w:marRight w:val="0"/>
      <w:marTop w:val="0"/>
      <w:marBottom w:val="0"/>
      <w:divBdr>
        <w:top w:val="none" w:sz="0" w:space="0" w:color="auto"/>
        <w:left w:val="none" w:sz="0" w:space="0" w:color="auto"/>
        <w:bottom w:val="none" w:sz="0" w:space="0" w:color="auto"/>
        <w:right w:val="none" w:sz="0" w:space="0" w:color="auto"/>
      </w:divBdr>
    </w:div>
    <w:div w:id="231241210">
      <w:bodyDiv w:val="1"/>
      <w:marLeft w:val="0"/>
      <w:marRight w:val="0"/>
      <w:marTop w:val="0"/>
      <w:marBottom w:val="0"/>
      <w:divBdr>
        <w:top w:val="none" w:sz="0" w:space="0" w:color="auto"/>
        <w:left w:val="none" w:sz="0" w:space="0" w:color="auto"/>
        <w:bottom w:val="none" w:sz="0" w:space="0" w:color="auto"/>
        <w:right w:val="none" w:sz="0" w:space="0" w:color="auto"/>
      </w:divBdr>
    </w:div>
    <w:div w:id="280956940">
      <w:bodyDiv w:val="1"/>
      <w:marLeft w:val="0"/>
      <w:marRight w:val="0"/>
      <w:marTop w:val="0"/>
      <w:marBottom w:val="0"/>
      <w:divBdr>
        <w:top w:val="none" w:sz="0" w:space="0" w:color="auto"/>
        <w:left w:val="none" w:sz="0" w:space="0" w:color="auto"/>
        <w:bottom w:val="none" w:sz="0" w:space="0" w:color="auto"/>
        <w:right w:val="none" w:sz="0" w:space="0" w:color="auto"/>
      </w:divBdr>
    </w:div>
    <w:div w:id="293491175">
      <w:bodyDiv w:val="1"/>
      <w:marLeft w:val="0"/>
      <w:marRight w:val="0"/>
      <w:marTop w:val="0"/>
      <w:marBottom w:val="0"/>
      <w:divBdr>
        <w:top w:val="none" w:sz="0" w:space="0" w:color="auto"/>
        <w:left w:val="none" w:sz="0" w:space="0" w:color="auto"/>
        <w:bottom w:val="none" w:sz="0" w:space="0" w:color="auto"/>
        <w:right w:val="none" w:sz="0" w:space="0" w:color="auto"/>
      </w:divBdr>
    </w:div>
    <w:div w:id="297489780">
      <w:bodyDiv w:val="1"/>
      <w:marLeft w:val="0"/>
      <w:marRight w:val="0"/>
      <w:marTop w:val="0"/>
      <w:marBottom w:val="0"/>
      <w:divBdr>
        <w:top w:val="none" w:sz="0" w:space="0" w:color="auto"/>
        <w:left w:val="none" w:sz="0" w:space="0" w:color="auto"/>
        <w:bottom w:val="none" w:sz="0" w:space="0" w:color="auto"/>
        <w:right w:val="none" w:sz="0" w:space="0" w:color="auto"/>
      </w:divBdr>
      <w:divsChild>
        <w:div w:id="359933130">
          <w:marLeft w:val="432"/>
          <w:marRight w:val="0"/>
          <w:marTop w:val="58"/>
          <w:marBottom w:val="0"/>
          <w:divBdr>
            <w:top w:val="none" w:sz="0" w:space="0" w:color="auto"/>
            <w:left w:val="none" w:sz="0" w:space="0" w:color="auto"/>
            <w:bottom w:val="none" w:sz="0" w:space="0" w:color="auto"/>
            <w:right w:val="none" w:sz="0" w:space="0" w:color="auto"/>
          </w:divBdr>
        </w:div>
        <w:div w:id="815493573">
          <w:marLeft w:val="432"/>
          <w:marRight w:val="0"/>
          <w:marTop w:val="58"/>
          <w:marBottom w:val="0"/>
          <w:divBdr>
            <w:top w:val="none" w:sz="0" w:space="0" w:color="auto"/>
            <w:left w:val="none" w:sz="0" w:space="0" w:color="auto"/>
            <w:bottom w:val="none" w:sz="0" w:space="0" w:color="auto"/>
            <w:right w:val="none" w:sz="0" w:space="0" w:color="auto"/>
          </w:divBdr>
        </w:div>
        <w:div w:id="1498570818">
          <w:marLeft w:val="432"/>
          <w:marRight w:val="0"/>
          <w:marTop w:val="58"/>
          <w:marBottom w:val="0"/>
          <w:divBdr>
            <w:top w:val="none" w:sz="0" w:space="0" w:color="auto"/>
            <w:left w:val="none" w:sz="0" w:space="0" w:color="auto"/>
            <w:bottom w:val="none" w:sz="0" w:space="0" w:color="auto"/>
            <w:right w:val="none" w:sz="0" w:space="0" w:color="auto"/>
          </w:divBdr>
        </w:div>
        <w:div w:id="1889225660">
          <w:marLeft w:val="432"/>
          <w:marRight w:val="0"/>
          <w:marTop w:val="58"/>
          <w:marBottom w:val="0"/>
          <w:divBdr>
            <w:top w:val="none" w:sz="0" w:space="0" w:color="auto"/>
            <w:left w:val="none" w:sz="0" w:space="0" w:color="auto"/>
            <w:bottom w:val="none" w:sz="0" w:space="0" w:color="auto"/>
            <w:right w:val="none" w:sz="0" w:space="0" w:color="auto"/>
          </w:divBdr>
        </w:div>
        <w:div w:id="1927498233">
          <w:marLeft w:val="432"/>
          <w:marRight w:val="0"/>
          <w:marTop w:val="58"/>
          <w:marBottom w:val="0"/>
          <w:divBdr>
            <w:top w:val="none" w:sz="0" w:space="0" w:color="auto"/>
            <w:left w:val="none" w:sz="0" w:space="0" w:color="auto"/>
            <w:bottom w:val="none" w:sz="0" w:space="0" w:color="auto"/>
            <w:right w:val="none" w:sz="0" w:space="0" w:color="auto"/>
          </w:divBdr>
        </w:div>
      </w:divsChild>
    </w:div>
    <w:div w:id="314726497">
      <w:bodyDiv w:val="1"/>
      <w:marLeft w:val="0"/>
      <w:marRight w:val="0"/>
      <w:marTop w:val="0"/>
      <w:marBottom w:val="0"/>
      <w:divBdr>
        <w:top w:val="none" w:sz="0" w:space="0" w:color="auto"/>
        <w:left w:val="none" w:sz="0" w:space="0" w:color="auto"/>
        <w:bottom w:val="none" w:sz="0" w:space="0" w:color="auto"/>
        <w:right w:val="none" w:sz="0" w:space="0" w:color="auto"/>
      </w:divBdr>
      <w:divsChild>
        <w:div w:id="869027482">
          <w:marLeft w:val="0"/>
          <w:marRight w:val="0"/>
          <w:marTop w:val="0"/>
          <w:marBottom w:val="0"/>
          <w:divBdr>
            <w:top w:val="none" w:sz="0" w:space="0" w:color="auto"/>
            <w:left w:val="none" w:sz="0" w:space="0" w:color="auto"/>
            <w:bottom w:val="none" w:sz="0" w:space="0" w:color="auto"/>
            <w:right w:val="none" w:sz="0" w:space="0" w:color="auto"/>
          </w:divBdr>
        </w:div>
      </w:divsChild>
    </w:div>
    <w:div w:id="3280940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234">
          <w:marLeft w:val="418"/>
          <w:marRight w:val="0"/>
          <w:marTop w:val="58"/>
          <w:marBottom w:val="0"/>
          <w:divBdr>
            <w:top w:val="none" w:sz="0" w:space="0" w:color="auto"/>
            <w:left w:val="none" w:sz="0" w:space="0" w:color="auto"/>
            <w:bottom w:val="none" w:sz="0" w:space="0" w:color="auto"/>
            <w:right w:val="none" w:sz="0" w:space="0" w:color="auto"/>
          </w:divBdr>
        </w:div>
      </w:divsChild>
    </w:div>
    <w:div w:id="345640656">
      <w:bodyDiv w:val="1"/>
      <w:marLeft w:val="0"/>
      <w:marRight w:val="0"/>
      <w:marTop w:val="0"/>
      <w:marBottom w:val="0"/>
      <w:divBdr>
        <w:top w:val="none" w:sz="0" w:space="0" w:color="auto"/>
        <w:left w:val="none" w:sz="0" w:space="0" w:color="auto"/>
        <w:bottom w:val="none" w:sz="0" w:space="0" w:color="auto"/>
        <w:right w:val="none" w:sz="0" w:space="0" w:color="auto"/>
      </w:divBdr>
      <w:divsChild>
        <w:div w:id="463931764">
          <w:marLeft w:val="432"/>
          <w:marRight w:val="0"/>
          <w:marTop w:val="58"/>
          <w:marBottom w:val="0"/>
          <w:divBdr>
            <w:top w:val="none" w:sz="0" w:space="0" w:color="auto"/>
            <w:left w:val="none" w:sz="0" w:space="0" w:color="auto"/>
            <w:bottom w:val="none" w:sz="0" w:space="0" w:color="auto"/>
            <w:right w:val="none" w:sz="0" w:space="0" w:color="auto"/>
          </w:divBdr>
        </w:div>
        <w:div w:id="735738843">
          <w:marLeft w:val="432"/>
          <w:marRight w:val="0"/>
          <w:marTop w:val="58"/>
          <w:marBottom w:val="0"/>
          <w:divBdr>
            <w:top w:val="none" w:sz="0" w:space="0" w:color="auto"/>
            <w:left w:val="none" w:sz="0" w:space="0" w:color="auto"/>
            <w:bottom w:val="none" w:sz="0" w:space="0" w:color="auto"/>
            <w:right w:val="none" w:sz="0" w:space="0" w:color="auto"/>
          </w:divBdr>
        </w:div>
        <w:div w:id="1301033582">
          <w:marLeft w:val="432"/>
          <w:marRight w:val="0"/>
          <w:marTop w:val="58"/>
          <w:marBottom w:val="0"/>
          <w:divBdr>
            <w:top w:val="none" w:sz="0" w:space="0" w:color="auto"/>
            <w:left w:val="none" w:sz="0" w:space="0" w:color="auto"/>
            <w:bottom w:val="none" w:sz="0" w:space="0" w:color="auto"/>
            <w:right w:val="none" w:sz="0" w:space="0" w:color="auto"/>
          </w:divBdr>
        </w:div>
        <w:div w:id="1648779535">
          <w:marLeft w:val="432"/>
          <w:marRight w:val="0"/>
          <w:marTop w:val="58"/>
          <w:marBottom w:val="0"/>
          <w:divBdr>
            <w:top w:val="none" w:sz="0" w:space="0" w:color="auto"/>
            <w:left w:val="none" w:sz="0" w:space="0" w:color="auto"/>
            <w:bottom w:val="none" w:sz="0" w:space="0" w:color="auto"/>
            <w:right w:val="none" w:sz="0" w:space="0" w:color="auto"/>
          </w:divBdr>
        </w:div>
      </w:divsChild>
    </w:div>
    <w:div w:id="366836034">
      <w:bodyDiv w:val="1"/>
      <w:marLeft w:val="0"/>
      <w:marRight w:val="0"/>
      <w:marTop w:val="0"/>
      <w:marBottom w:val="0"/>
      <w:divBdr>
        <w:top w:val="none" w:sz="0" w:space="0" w:color="auto"/>
        <w:left w:val="none" w:sz="0" w:space="0" w:color="auto"/>
        <w:bottom w:val="none" w:sz="0" w:space="0" w:color="auto"/>
        <w:right w:val="none" w:sz="0" w:space="0" w:color="auto"/>
      </w:divBdr>
      <w:divsChild>
        <w:div w:id="837843807">
          <w:marLeft w:val="418"/>
          <w:marRight w:val="0"/>
          <w:marTop w:val="58"/>
          <w:marBottom w:val="0"/>
          <w:divBdr>
            <w:top w:val="none" w:sz="0" w:space="0" w:color="auto"/>
            <w:left w:val="none" w:sz="0" w:space="0" w:color="auto"/>
            <w:bottom w:val="none" w:sz="0" w:space="0" w:color="auto"/>
            <w:right w:val="none" w:sz="0" w:space="0" w:color="auto"/>
          </w:divBdr>
        </w:div>
        <w:div w:id="965740362">
          <w:marLeft w:val="418"/>
          <w:marRight w:val="0"/>
          <w:marTop w:val="58"/>
          <w:marBottom w:val="0"/>
          <w:divBdr>
            <w:top w:val="none" w:sz="0" w:space="0" w:color="auto"/>
            <w:left w:val="none" w:sz="0" w:space="0" w:color="auto"/>
            <w:bottom w:val="none" w:sz="0" w:space="0" w:color="auto"/>
            <w:right w:val="none" w:sz="0" w:space="0" w:color="auto"/>
          </w:divBdr>
        </w:div>
        <w:div w:id="996422628">
          <w:marLeft w:val="418"/>
          <w:marRight w:val="0"/>
          <w:marTop w:val="58"/>
          <w:marBottom w:val="0"/>
          <w:divBdr>
            <w:top w:val="none" w:sz="0" w:space="0" w:color="auto"/>
            <w:left w:val="none" w:sz="0" w:space="0" w:color="auto"/>
            <w:bottom w:val="none" w:sz="0" w:space="0" w:color="auto"/>
            <w:right w:val="none" w:sz="0" w:space="0" w:color="auto"/>
          </w:divBdr>
        </w:div>
      </w:divsChild>
    </w:div>
    <w:div w:id="368604420">
      <w:bodyDiv w:val="1"/>
      <w:marLeft w:val="0"/>
      <w:marRight w:val="0"/>
      <w:marTop w:val="0"/>
      <w:marBottom w:val="0"/>
      <w:divBdr>
        <w:top w:val="none" w:sz="0" w:space="0" w:color="auto"/>
        <w:left w:val="none" w:sz="0" w:space="0" w:color="auto"/>
        <w:bottom w:val="none" w:sz="0" w:space="0" w:color="auto"/>
        <w:right w:val="none" w:sz="0" w:space="0" w:color="auto"/>
      </w:divBdr>
    </w:div>
    <w:div w:id="382873272">
      <w:bodyDiv w:val="1"/>
      <w:marLeft w:val="0"/>
      <w:marRight w:val="0"/>
      <w:marTop w:val="0"/>
      <w:marBottom w:val="0"/>
      <w:divBdr>
        <w:top w:val="none" w:sz="0" w:space="0" w:color="auto"/>
        <w:left w:val="none" w:sz="0" w:space="0" w:color="auto"/>
        <w:bottom w:val="none" w:sz="0" w:space="0" w:color="auto"/>
        <w:right w:val="none" w:sz="0" w:space="0" w:color="auto"/>
      </w:divBdr>
    </w:div>
    <w:div w:id="387387199">
      <w:bodyDiv w:val="1"/>
      <w:marLeft w:val="0"/>
      <w:marRight w:val="0"/>
      <w:marTop w:val="0"/>
      <w:marBottom w:val="0"/>
      <w:divBdr>
        <w:top w:val="none" w:sz="0" w:space="0" w:color="auto"/>
        <w:left w:val="none" w:sz="0" w:space="0" w:color="auto"/>
        <w:bottom w:val="none" w:sz="0" w:space="0" w:color="auto"/>
        <w:right w:val="none" w:sz="0" w:space="0" w:color="auto"/>
      </w:divBdr>
    </w:div>
    <w:div w:id="427583560">
      <w:bodyDiv w:val="1"/>
      <w:marLeft w:val="0"/>
      <w:marRight w:val="0"/>
      <w:marTop w:val="0"/>
      <w:marBottom w:val="0"/>
      <w:divBdr>
        <w:top w:val="none" w:sz="0" w:space="0" w:color="auto"/>
        <w:left w:val="none" w:sz="0" w:space="0" w:color="auto"/>
        <w:bottom w:val="none" w:sz="0" w:space="0" w:color="auto"/>
        <w:right w:val="none" w:sz="0" w:space="0" w:color="auto"/>
      </w:divBdr>
    </w:div>
    <w:div w:id="450591571">
      <w:bodyDiv w:val="1"/>
      <w:marLeft w:val="0"/>
      <w:marRight w:val="0"/>
      <w:marTop w:val="0"/>
      <w:marBottom w:val="0"/>
      <w:divBdr>
        <w:top w:val="none" w:sz="0" w:space="0" w:color="auto"/>
        <w:left w:val="none" w:sz="0" w:space="0" w:color="auto"/>
        <w:bottom w:val="none" w:sz="0" w:space="0" w:color="auto"/>
        <w:right w:val="none" w:sz="0" w:space="0" w:color="auto"/>
      </w:divBdr>
    </w:div>
    <w:div w:id="472987724">
      <w:bodyDiv w:val="1"/>
      <w:marLeft w:val="0"/>
      <w:marRight w:val="0"/>
      <w:marTop w:val="0"/>
      <w:marBottom w:val="0"/>
      <w:divBdr>
        <w:top w:val="none" w:sz="0" w:space="0" w:color="auto"/>
        <w:left w:val="none" w:sz="0" w:space="0" w:color="auto"/>
        <w:bottom w:val="none" w:sz="0" w:space="0" w:color="auto"/>
        <w:right w:val="none" w:sz="0" w:space="0" w:color="auto"/>
      </w:divBdr>
    </w:div>
    <w:div w:id="530383679">
      <w:bodyDiv w:val="1"/>
      <w:marLeft w:val="0"/>
      <w:marRight w:val="0"/>
      <w:marTop w:val="0"/>
      <w:marBottom w:val="0"/>
      <w:divBdr>
        <w:top w:val="none" w:sz="0" w:space="0" w:color="auto"/>
        <w:left w:val="none" w:sz="0" w:space="0" w:color="auto"/>
        <w:bottom w:val="none" w:sz="0" w:space="0" w:color="auto"/>
        <w:right w:val="none" w:sz="0" w:space="0" w:color="auto"/>
      </w:divBdr>
      <w:divsChild>
        <w:div w:id="619604077">
          <w:marLeft w:val="418"/>
          <w:marRight w:val="0"/>
          <w:marTop w:val="58"/>
          <w:marBottom w:val="0"/>
          <w:divBdr>
            <w:top w:val="none" w:sz="0" w:space="0" w:color="auto"/>
            <w:left w:val="none" w:sz="0" w:space="0" w:color="auto"/>
            <w:bottom w:val="none" w:sz="0" w:space="0" w:color="auto"/>
            <w:right w:val="none" w:sz="0" w:space="0" w:color="auto"/>
          </w:divBdr>
        </w:div>
        <w:div w:id="1060862607">
          <w:marLeft w:val="418"/>
          <w:marRight w:val="0"/>
          <w:marTop w:val="58"/>
          <w:marBottom w:val="0"/>
          <w:divBdr>
            <w:top w:val="none" w:sz="0" w:space="0" w:color="auto"/>
            <w:left w:val="none" w:sz="0" w:space="0" w:color="auto"/>
            <w:bottom w:val="none" w:sz="0" w:space="0" w:color="auto"/>
            <w:right w:val="none" w:sz="0" w:space="0" w:color="auto"/>
          </w:divBdr>
        </w:div>
        <w:div w:id="1573158752">
          <w:marLeft w:val="418"/>
          <w:marRight w:val="0"/>
          <w:marTop w:val="58"/>
          <w:marBottom w:val="0"/>
          <w:divBdr>
            <w:top w:val="none" w:sz="0" w:space="0" w:color="auto"/>
            <w:left w:val="none" w:sz="0" w:space="0" w:color="auto"/>
            <w:bottom w:val="none" w:sz="0" w:space="0" w:color="auto"/>
            <w:right w:val="none" w:sz="0" w:space="0" w:color="auto"/>
          </w:divBdr>
        </w:div>
        <w:div w:id="2020766539">
          <w:marLeft w:val="418"/>
          <w:marRight w:val="0"/>
          <w:marTop w:val="58"/>
          <w:marBottom w:val="0"/>
          <w:divBdr>
            <w:top w:val="none" w:sz="0" w:space="0" w:color="auto"/>
            <w:left w:val="none" w:sz="0" w:space="0" w:color="auto"/>
            <w:bottom w:val="none" w:sz="0" w:space="0" w:color="auto"/>
            <w:right w:val="none" w:sz="0" w:space="0" w:color="auto"/>
          </w:divBdr>
        </w:div>
      </w:divsChild>
    </w:div>
    <w:div w:id="531695403">
      <w:bodyDiv w:val="1"/>
      <w:marLeft w:val="0"/>
      <w:marRight w:val="0"/>
      <w:marTop w:val="0"/>
      <w:marBottom w:val="0"/>
      <w:divBdr>
        <w:top w:val="none" w:sz="0" w:space="0" w:color="auto"/>
        <w:left w:val="none" w:sz="0" w:space="0" w:color="auto"/>
        <w:bottom w:val="none" w:sz="0" w:space="0" w:color="auto"/>
        <w:right w:val="none" w:sz="0" w:space="0" w:color="auto"/>
      </w:divBdr>
    </w:div>
    <w:div w:id="540441930">
      <w:bodyDiv w:val="1"/>
      <w:marLeft w:val="0"/>
      <w:marRight w:val="0"/>
      <w:marTop w:val="0"/>
      <w:marBottom w:val="0"/>
      <w:divBdr>
        <w:top w:val="none" w:sz="0" w:space="0" w:color="auto"/>
        <w:left w:val="none" w:sz="0" w:space="0" w:color="auto"/>
        <w:bottom w:val="none" w:sz="0" w:space="0" w:color="auto"/>
        <w:right w:val="none" w:sz="0" w:space="0" w:color="auto"/>
      </w:divBdr>
      <w:divsChild>
        <w:div w:id="1881168710">
          <w:marLeft w:val="418"/>
          <w:marRight w:val="0"/>
          <w:marTop w:val="58"/>
          <w:marBottom w:val="0"/>
          <w:divBdr>
            <w:top w:val="none" w:sz="0" w:space="0" w:color="auto"/>
            <w:left w:val="none" w:sz="0" w:space="0" w:color="auto"/>
            <w:bottom w:val="none" w:sz="0" w:space="0" w:color="auto"/>
            <w:right w:val="none" w:sz="0" w:space="0" w:color="auto"/>
          </w:divBdr>
        </w:div>
      </w:divsChild>
    </w:div>
    <w:div w:id="590436634">
      <w:bodyDiv w:val="1"/>
      <w:marLeft w:val="0"/>
      <w:marRight w:val="0"/>
      <w:marTop w:val="0"/>
      <w:marBottom w:val="0"/>
      <w:divBdr>
        <w:top w:val="none" w:sz="0" w:space="0" w:color="auto"/>
        <w:left w:val="none" w:sz="0" w:space="0" w:color="auto"/>
        <w:bottom w:val="none" w:sz="0" w:space="0" w:color="auto"/>
        <w:right w:val="none" w:sz="0" w:space="0" w:color="auto"/>
      </w:divBdr>
      <w:divsChild>
        <w:div w:id="281693178">
          <w:marLeft w:val="432"/>
          <w:marRight w:val="0"/>
          <w:marTop w:val="58"/>
          <w:marBottom w:val="0"/>
          <w:divBdr>
            <w:top w:val="none" w:sz="0" w:space="0" w:color="auto"/>
            <w:left w:val="none" w:sz="0" w:space="0" w:color="auto"/>
            <w:bottom w:val="none" w:sz="0" w:space="0" w:color="auto"/>
            <w:right w:val="none" w:sz="0" w:space="0" w:color="auto"/>
          </w:divBdr>
        </w:div>
        <w:div w:id="319384952">
          <w:marLeft w:val="432"/>
          <w:marRight w:val="0"/>
          <w:marTop w:val="58"/>
          <w:marBottom w:val="0"/>
          <w:divBdr>
            <w:top w:val="none" w:sz="0" w:space="0" w:color="auto"/>
            <w:left w:val="none" w:sz="0" w:space="0" w:color="auto"/>
            <w:bottom w:val="none" w:sz="0" w:space="0" w:color="auto"/>
            <w:right w:val="none" w:sz="0" w:space="0" w:color="auto"/>
          </w:divBdr>
        </w:div>
        <w:div w:id="592477209">
          <w:marLeft w:val="432"/>
          <w:marRight w:val="0"/>
          <w:marTop w:val="58"/>
          <w:marBottom w:val="0"/>
          <w:divBdr>
            <w:top w:val="none" w:sz="0" w:space="0" w:color="auto"/>
            <w:left w:val="none" w:sz="0" w:space="0" w:color="auto"/>
            <w:bottom w:val="none" w:sz="0" w:space="0" w:color="auto"/>
            <w:right w:val="none" w:sz="0" w:space="0" w:color="auto"/>
          </w:divBdr>
        </w:div>
        <w:div w:id="618336558">
          <w:marLeft w:val="432"/>
          <w:marRight w:val="0"/>
          <w:marTop w:val="58"/>
          <w:marBottom w:val="0"/>
          <w:divBdr>
            <w:top w:val="none" w:sz="0" w:space="0" w:color="auto"/>
            <w:left w:val="none" w:sz="0" w:space="0" w:color="auto"/>
            <w:bottom w:val="none" w:sz="0" w:space="0" w:color="auto"/>
            <w:right w:val="none" w:sz="0" w:space="0" w:color="auto"/>
          </w:divBdr>
        </w:div>
        <w:div w:id="739055942">
          <w:marLeft w:val="432"/>
          <w:marRight w:val="0"/>
          <w:marTop w:val="58"/>
          <w:marBottom w:val="0"/>
          <w:divBdr>
            <w:top w:val="none" w:sz="0" w:space="0" w:color="auto"/>
            <w:left w:val="none" w:sz="0" w:space="0" w:color="auto"/>
            <w:bottom w:val="none" w:sz="0" w:space="0" w:color="auto"/>
            <w:right w:val="none" w:sz="0" w:space="0" w:color="auto"/>
          </w:divBdr>
        </w:div>
        <w:div w:id="1218471147">
          <w:marLeft w:val="432"/>
          <w:marRight w:val="0"/>
          <w:marTop w:val="58"/>
          <w:marBottom w:val="0"/>
          <w:divBdr>
            <w:top w:val="none" w:sz="0" w:space="0" w:color="auto"/>
            <w:left w:val="none" w:sz="0" w:space="0" w:color="auto"/>
            <w:bottom w:val="none" w:sz="0" w:space="0" w:color="auto"/>
            <w:right w:val="none" w:sz="0" w:space="0" w:color="auto"/>
          </w:divBdr>
        </w:div>
        <w:div w:id="1250702205">
          <w:marLeft w:val="432"/>
          <w:marRight w:val="0"/>
          <w:marTop w:val="58"/>
          <w:marBottom w:val="0"/>
          <w:divBdr>
            <w:top w:val="none" w:sz="0" w:space="0" w:color="auto"/>
            <w:left w:val="none" w:sz="0" w:space="0" w:color="auto"/>
            <w:bottom w:val="none" w:sz="0" w:space="0" w:color="auto"/>
            <w:right w:val="none" w:sz="0" w:space="0" w:color="auto"/>
          </w:divBdr>
        </w:div>
        <w:div w:id="1269463389">
          <w:marLeft w:val="432"/>
          <w:marRight w:val="0"/>
          <w:marTop w:val="58"/>
          <w:marBottom w:val="0"/>
          <w:divBdr>
            <w:top w:val="none" w:sz="0" w:space="0" w:color="auto"/>
            <w:left w:val="none" w:sz="0" w:space="0" w:color="auto"/>
            <w:bottom w:val="none" w:sz="0" w:space="0" w:color="auto"/>
            <w:right w:val="none" w:sz="0" w:space="0" w:color="auto"/>
          </w:divBdr>
        </w:div>
        <w:div w:id="1567254523">
          <w:marLeft w:val="432"/>
          <w:marRight w:val="0"/>
          <w:marTop w:val="58"/>
          <w:marBottom w:val="0"/>
          <w:divBdr>
            <w:top w:val="none" w:sz="0" w:space="0" w:color="auto"/>
            <w:left w:val="none" w:sz="0" w:space="0" w:color="auto"/>
            <w:bottom w:val="none" w:sz="0" w:space="0" w:color="auto"/>
            <w:right w:val="none" w:sz="0" w:space="0" w:color="auto"/>
          </w:divBdr>
        </w:div>
        <w:div w:id="1777675249">
          <w:marLeft w:val="432"/>
          <w:marRight w:val="0"/>
          <w:marTop w:val="58"/>
          <w:marBottom w:val="0"/>
          <w:divBdr>
            <w:top w:val="none" w:sz="0" w:space="0" w:color="auto"/>
            <w:left w:val="none" w:sz="0" w:space="0" w:color="auto"/>
            <w:bottom w:val="none" w:sz="0" w:space="0" w:color="auto"/>
            <w:right w:val="none" w:sz="0" w:space="0" w:color="auto"/>
          </w:divBdr>
        </w:div>
      </w:divsChild>
    </w:div>
    <w:div w:id="607354699">
      <w:bodyDiv w:val="1"/>
      <w:marLeft w:val="0"/>
      <w:marRight w:val="0"/>
      <w:marTop w:val="0"/>
      <w:marBottom w:val="0"/>
      <w:divBdr>
        <w:top w:val="none" w:sz="0" w:space="0" w:color="auto"/>
        <w:left w:val="none" w:sz="0" w:space="0" w:color="auto"/>
        <w:bottom w:val="none" w:sz="0" w:space="0" w:color="auto"/>
        <w:right w:val="none" w:sz="0" w:space="0" w:color="auto"/>
      </w:divBdr>
      <w:divsChild>
        <w:div w:id="1964387892">
          <w:marLeft w:val="418"/>
          <w:marRight w:val="0"/>
          <w:marTop w:val="58"/>
          <w:marBottom w:val="0"/>
          <w:divBdr>
            <w:top w:val="none" w:sz="0" w:space="0" w:color="auto"/>
            <w:left w:val="none" w:sz="0" w:space="0" w:color="auto"/>
            <w:bottom w:val="none" w:sz="0" w:space="0" w:color="auto"/>
            <w:right w:val="none" w:sz="0" w:space="0" w:color="auto"/>
          </w:divBdr>
        </w:div>
      </w:divsChild>
    </w:div>
    <w:div w:id="624655975">
      <w:bodyDiv w:val="1"/>
      <w:marLeft w:val="0"/>
      <w:marRight w:val="0"/>
      <w:marTop w:val="0"/>
      <w:marBottom w:val="0"/>
      <w:divBdr>
        <w:top w:val="none" w:sz="0" w:space="0" w:color="auto"/>
        <w:left w:val="none" w:sz="0" w:space="0" w:color="auto"/>
        <w:bottom w:val="none" w:sz="0" w:space="0" w:color="auto"/>
        <w:right w:val="none" w:sz="0" w:space="0" w:color="auto"/>
      </w:divBdr>
    </w:div>
    <w:div w:id="635188066">
      <w:bodyDiv w:val="1"/>
      <w:marLeft w:val="0"/>
      <w:marRight w:val="0"/>
      <w:marTop w:val="0"/>
      <w:marBottom w:val="0"/>
      <w:divBdr>
        <w:top w:val="none" w:sz="0" w:space="0" w:color="auto"/>
        <w:left w:val="none" w:sz="0" w:space="0" w:color="auto"/>
        <w:bottom w:val="none" w:sz="0" w:space="0" w:color="auto"/>
        <w:right w:val="none" w:sz="0" w:space="0" w:color="auto"/>
      </w:divBdr>
    </w:div>
    <w:div w:id="668599437">
      <w:bodyDiv w:val="1"/>
      <w:marLeft w:val="0"/>
      <w:marRight w:val="0"/>
      <w:marTop w:val="0"/>
      <w:marBottom w:val="0"/>
      <w:divBdr>
        <w:top w:val="none" w:sz="0" w:space="0" w:color="auto"/>
        <w:left w:val="none" w:sz="0" w:space="0" w:color="auto"/>
        <w:bottom w:val="none" w:sz="0" w:space="0" w:color="auto"/>
        <w:right w:val="none" w:sz="0" w:space="0" w:color="auto"/>
      </w:divBdr>
    </w:div>
    <w:div w:id="696392133">
      <w:bodyDiv w:val="1"/>
      <w:marLeft w:val="0"/>
      <w:marRight w:val="0"/>
      <w:marTop w:val="0"/>
      <w:marBottom w:val="0"/>
      <w:divBdr>
        <w:top w:val="none" w:sz="0" w:space="0" w:color="auto"/>
        <w:left w:val="none" w:sz="0" w:space="0" w:color="auto"/>
        <w:bottom w:val="none" w:sz="0" w:space="0" w:color="auto"/>
        <w:right w:val="none" w:sz="0" w:space="0" w:color="auto"/>
      </w:divBdr>
      <w:divsChild>
        <w:div w:id="657995617">
          <w:marLeft w:val="418"/>
          <w:marRight w:val="0"/>
          <w:marTop w:val="58"/>
          <w:marBottom w:val="0"/>
          <w:divBdr>
            <w:top w:val="none" w:sz="0" w:space="0" w:color="auto"/>
            <w:left w:val="none" w:sz="0" w:space="0" w:color="auto"/>
            <w:bottom w:val="none" w:sz="0" w:space="0" w:color="auto"/>
            <w:right w:val="none" w:sz="0" w:space="0" w:color="auto"/>
          </w:divBdr>
        </w:div>
        <w:div w:id="786776570">
          <w:marLeft w:val="418"/>
          <w:marRight w:val="0"/>
          <w:marTop w:val="58"/>
          <w:marBottom w:val="0"/>
          <w:divBdr>
            <w:top w:val="none" w:sz="0" w:space="0" w:color="auto"/>
            <w:left w:val="none" w:sz="0" w:space="0" w:color="auto"/>
            <w:bottom w:val="none" w:sz="0" w:space="0" w:color="auto"/>
            <w:right w:val="none" w:sz="0" w:space="0" w:color="auto"/>
          </w:divBdr>
        </w:div>
        <w:div w:id="840244928">
          <w:marLeft w:val="418"/>
          <w:marRight w:val="0"/>
          <w:marTop w:val="58"/>
          <w:marBottom w:val="0"/>
          <w:divBdr>
            <w:top w:val="none" w:sz="0" w:space="0" w:color="auto"/>
            <w:left w:val="none" w:sz="0" w:space="0" w:color="auto"/>
            <w:bottom w:val="none" w:sz="0" w:space="0" w:color="auto"/>
            <w:right w:val="none" w:sz="0" w:space="0" w:color="auto"/>
          </w:divBdr>
        </w:div>
        <w:div w:id="867371857">
          <w:marLeft w:val="418"/>
          <w:marRight w:val="0"/>
          <w:marTop w:val="58"/>
          <w:marBottom w:val="0"/>
          <w:divBdr>
            <w:top w:val="none" w:sz="0" w:space="0" w:color="auto"/>
            <w:left w:val="none" w:sz="0" w:space="0" w:color="auto"/>
            <w:bottom w:val="none" w:sz="0" w:space="0" w:color="auto"/>
            <w:right w:val="none" w:sz="0" w:space="0" w:color="auto"/>
          </w:divBdr>
        </w:div>
        <w:div w:id="1824739862">
          <w:marLeft w:val="418"/>
          <w:marRight w:val="0"/>
          <w:marTop w:val="58"/>
          <w:marBottom w:val="0"/>
          <w:divBdr>
            <w:top w:val="none" w:sz="0" w:space="0" w:color="auto"/>
            <w:left w:val="none" w:sz="0" w:space="0" w:color="auto"/>
            <w:bottom w:val="none" w:sz="0" w:space="0" w:color="auto"/>
            <w:right w:val="none" w:sz="0" w:space="0" w:color="auto"/>
          </w:divBdr>
        </w:div>
      </w:divsChild>
    </w:div>
    <w:div w:id="708607772">
      <w:bodyDiv w:val="1"/>
      <w:marLeft w:val="0"/>
      <w:marRight w:val="0"/>
      <w:marTop w:val="0"/>
      <w:marBottom w:val="0"/>
      <w:divBdr>
        <w:top w:val="none" w:sz="0" w:space="0" w:color="auto"/>
        <w:left w:val="none" w:sz="0" w:space="0" w:color="auto"/>
        <w:bottom w:val="none" w:sz="0" w:space="0" w:color="auto"/>
        <w:right w:val="none" w:sz="0" w:space="0" w:color="auto"/>
      </w:divBdr>
      <w:divsChild>
        <w:div w:id="158234010">
          <w:marLeft w:val="432"/>
          <w:marRight w:val="0"/>
          <w:marTop w:val="58"/>
          <w:marBottom w:val="0"/>
          <w:divBdr>
            <w:top w:val="none" w:sz="0" w:space="0" w:color="auto"/>
            <w:left w:val="none" w:sz="0" w:space="0" w:color="auto"/>
            <w:bottom w:val="none" w:sz="0" w:space="0" w:color="auto"/>
            <w:right w:val="none" w:sz="0" w:space="0" w:color="auto"/>
          </w:divBdr>
        </w:div>
        <w:div w:id="163012301">
          <w:marLeft w:val="432"/>
          <w:marRight w:val="0"/>
          <w:marTop w:val="58"/>
          <w:marBottom w:val="0"/>
          <w:divBdr>
            <w:top w:val="none" w:sz="0" w:space="0" w:color="auto"/>
            <w:left w:val="none" w:sz="0" w:space="0" w:color="auto"/>
            <w:bottom w:val="none" w:sz="0" w:space="0" w:color="auto"/>
            <w:right w:val="none" w:sz="0" w:space="0" w:color="auto"/>
          </w:divBdr>
        </w:div>
        <w:div w:id="377974924">
          <w:marLeft w:val="432"/>
          <w:marRight w:val="0"/>
          <w:marTop w:val="58"/>
          <w:marBottom w:val="0"/>
          <w:divBdr>
            <w:top w:val="none" w:sz="0" w:space="0" w:color="auto"/>
            <w:left w:val="none" w:sz="0" w:space="0" w:color="auto"/>
            <w:bottom w:val="none" w:sz="0" w:space="0" w:color="auto"/>
            <w:right w:val="none" w:sz="0" w:space="0" w:color="auto"/>
          </w:divBdr>
        </w:div>
        <w:div w:id="859078424">
          <w:marLeft w:val="432"/>
          <w:marRight w:val="0"/>
          <w:marTop w:val="58"/>
          <w:marBottom w:val="0"/>
          <w:divBdr>
            <w:top w:val="none" w:sz="0" w:space="0" w:color="auto"/>
            <w:left w:val="none" w:sz="0" w:space="0" w:color="auto"/>
            <w:bottom w:val="none" w:sz="0" w:space="0" w:color="auto"/>
            <w:right w:val="none" w:sz="0" w:space="0" w:color="auto"/>
          </w:divBdr>
        </w:div>
        <w:div w:id="871307386">
          <w:marLeft w:val="432"/>
          <w:marRight w:val="0"/>
          <w:marTop w:val="58"/>
          <w:marBottom w:val="0"/>
          <w:divBdr>
            <w:top w:val="none" w:sz="0" w:space="0" w:color="auto"/>
            <w:left w:val="none" w:sz="0" w:space="0" w:color="auto"/>
            <w:bottom w:val="none" w:sz="0" w:space="0" w:color="auto"/>
            <w:right w:val="none" w:sz="0" w:space="0" w:color="auto"/>
          </w:divBdr>
        </w:div>
        <w:div w:id="1406302624">
          <w:marLeft w:val="432"/>
          <w:marRight w:val="0"/>
          <w:marTop w:val="58"/>
          <w:marBottom w:val="0"/>
          <w:divBdr>
            <w:top w:val="none" w:sz="0" w:space="0" w:color="auto"/>
            <w:left w:val="none" w:sz="0" w:space="0" w:color="auto"/>
            <w:bottom w:val="none" w:sz="0" w:space="0" w:color="auto"/>
            <w:right w:val="none" w:sz="0" w:space="0" w:color="auto"/>
          </w:divBdr>
        </w:div>
        <w:div w:id="1548445943">
          <w:marLeft w:val="432"/>
          <w:marRight w:val="0"/>
          <w:marTop w:val="58"/>
          <w:marBottom w:val="0"/>
          <w:divBdr>
            <w:top w:val="none" w:sz="0" w:space="0" w:color="auto"/>
            <w:left w:val="none" w:sz="0" w:space="0" w:color="auto"/>
            <w:bottom w:val="none" w:sz="0" w:space="0" w:color="auto"/>
            <w:right w:val="none" w:sz="0" w:space="0" w:color="auto"/>
          </w:divBdr>
        </w:div>
        <w:div w:id="1678341990">
          <w:marLeft w:val="432"/>
          <w:marRight w:val="0"/>
          <w:marTop w:val="58"/>
          <w:marBottom w:val="0"/>
          <w:divBdr>
            <w:top w:val="none" w:sz="0" w:space="0" w:color="auto"/>
            <w:left w:val="none" w:sz="0" w:space="0" w:color="auto"/>
            <w:bottom w:val="none" w:sz="0" w:space="0" w:color="auto"/>
            <w:right w:val="none" w:sz="0" w:space="0" w:color="auto"/>
          </w:divBdr>
        </w:div>
        <w:div w:id="1811556586">
          <w:marLeft w:val="432"/>
          <w:marRight w:val="0"/>
          <w:marTop w:val="58"/>
          <w:marBottom w:val="0"/>
          <w:divBdr>
            <w:top w:val="none" w:sz="0" w:space="0" w:color="auto"/>
            <w:left w:val="none" w:sz="0" w:space="0" w:color="auto"/>
            <w:bottom w:val="none" w:sz="0" w:space="0" w:color="auto"/>
            <w:right w:val="none" w:sz="0" w:space="0" w:color="auto"/>
          </w:divBdr>
        </w:div>
      </w:divsChild>
    </w:div>
    <w:div w:id="790981141">
      <w:bodyDiv w:val="1"/>
      <w:marLeft w:val="0"/>
      <w:marRight w:val="0"/>
      <w:marTop w:val="0"/>
      <w:marBottom w:val="0"/>
      <w:divBdr>
        <w:top w:val="none" w:sz="0" w:space="0" w:color="auto"/>
        <w:left w:val="none" w:sz="0" w:space="0" w:color="auto"/>
        <w:bottom w:val="none" w:sz="0" w:space="0" w:color="auto"/>
        <w:right w:val="none" w:sz="0" w:space="0" w:color="auto"/>
      </w:divBdr>
    </w:div>
    <w:div w:id="821508236">
      <w:bodyDiv w:val="1"/>
      <w:marLeft w:val="0"/>
      <w:marRight w:val="0"/>
      <w:marTop w:val="0"/>
      <w:marBottom w:val="0"/>
      <w:divBdr>
        <w:top w:val="none" w:sz="0" w:space="0" w:color="auto"/>
        <w:left w:val="none" w:sz="0" w:space="0" w:color="auto"/>
        <w:bottom w:val="none" w:sz="0" w:space="0" w:color="auto"/>
        <w:right w:val="none" w:sz="0" w:space="0" w:color="auto"/>
      </w:divBdr>
      <w:divsChild>
        <w:div w:id="1610236830">
          <w:marLeft w:val="418"/>
          <w:marRight w:val="0"/>
          <w:marTop w:val="58"/>
          <w:marBottom w:val="0"/>
          <w:divBdr>
            <w:top w:val="none" w:sz="0" w:space="0" w:color="auto"/>
            <w:left w:val="none" w:sz="0" w:space="0" w:color="auto"/>
            <w:bottom w:val="none" w:sz="0" w:space="0" w:color="auto"/>
            <w:right w:val="none" w:sz="0" w:space="0" w:color="auto"/>
          </w:divBdr>
        </w:div>
      </w:divsChild>
    </w:div>
    <w:div w:id="844898439">
      <w:bodyDiv w:val="1"/>
      <w:marLeft w:val="0"/>
      <w:marRight w:val="0"/>
      <w:marTop w:val="0"/>
      <w:marBottom w:val="0"/>
      <w:divBdr>
        <w:top w:val="none" w:sz="0" w:space="0" w:color="auto"/>
        <w:left w:val="none" w:sz="0" w:space="0" w:color="auto"/>
        <w:bottom w:val="none" w:sz="0" w:space="0" w:color="auto"/>
        <w:right w:val="none" w:sz="0" w:space="0" w:color="auto"/>
      </w:divBdr>
    </w:div>
    <w:div w:id="855654498">
      <w:bodyDiv w:val="1"/>
      <w:marLeft w:val="0"/>
      <w:marRight w:val="0"/>
      <w:marTop w:val="0"/>
      <w:marBottom w:val="0"/>
      <w:divBdr>
        <w:top w:val="none" w:sz="0" w:space="0" w:color="auto"/>
        <w:left w:val="none" w:sz="0" w:space="0" w:color="auto"/>
        <w:bottom w:val="none" w:sz="0" w:space="0" w:color="auto"/>
        <w:right w:val="none" w:sz="0" w:space="0" w:color="auto"/>
      </w:divBdr>
    </w:div>
    <w:div w:id="878399368">
      <w:bodyDiv w:val="1"/>
      <w:marLeft w:val="0"/>
      <w:marRight w:val="0"/>
      <w:marTop w:val="0"/>
      <w:marBottom w:val="0"/>
      <w:divBdr>
        <w:top w:val="none" w:sz="0" w:space="0" w:color="auto"/>
        <w:left w:val="none" w:sz="0" w:space="0" w:color="auto"/>
        <w:bottom w:val="none" w:sz="0" w:space="0" w:color="auto"/>
        <w:right w:val="none" w:sz="0" w:space="0" w:color="auto"/>
      </w:divBdr>
    </w:div>
    <w:div w:id="903217478">
      <w:bodyDiv w:val="1"/>
      <w:marLeft w:val="0"/>
      <w:marRight w:val="0"/>
      <w:marTop w:val="0"/>
      <w:marBottom w:val="0"/>
      <w:divBdr>
        <w:top w:val="none" w:sz="0" w:space="0" w:color="auto"/>
        <w:left w:val="none" w:sz="0" w:space="0" w:color="auto"/>
        <w:bottom w:val="none" w:sz="0" w:space="0" w:color="auto"/>
        <w:right w:val="none" w:sz="0" w:space="0" w:color="auto"/>
      </w:divBdr>
      <w:divsChild>
        <w:div w:id="405610853">
          <w:marLeft w:val="418"/>
          <w:marRight w:val="0"/>
          <w:marTop w:val="58"/>
          <w:marBottom w:val="0"/>
          <w:divBdr>
            <w:top w:val="none" w:sz="0" w:space="0" w:color="auto"/>
            <w:left w:val="none" w:sz="0" w:space="0" w:color="auto"/>
            <w:bottom w:val="none" w:sz="0" w:space="0" w:color="auto"/>
            <w:right w:val="none" w:sz="0" w:space="0" w:color="auto"/>
          </w:divBdr>
        </w:div>
        <w:div w:id="974990827">
          <w:marLeft w:val="418"/>
          <w:marRight w:val="0"/>
          <w:marTop w:val="58"/>
          <w:marBottom w:val="0"/>
          <w:divBdr>
            <w:top w:val="none" w:sz="0" w:space="0" w:color="auto"/>
            <w:left w:val="none" w:sz="0" w:space="0" w:color="auto"/>
            <w:bottom w:val="none" w:sz="0" w:space="0" w:color="auto"/>
            <w:right w:val="none" w:sz="0" w:space="0" w:color="auto"/>
          </w:divBdr>
        </w:div>
      </w:divsChild>
    </w:div>
    <w:div w:id="918447204">
      <w:bodyDiv w:val="1"/>
      <w:marLeft w:val="0"/>
      <w:marRight w:val="0"/>
      <w:marTop w:val="0"/>
      <w:marBottom w:val="0"/>
      <w:divBdr>
        <w:top w:val="none" w:sz="0" w:space="0" w:color="auto"/>
        <w:left w:val="none" w:sz="0" w:space="0" w:color="auto"/>
        <w:bottom w:val="none" w:sz="0" w:space="0" w:color="auto"/>
        <w:right w:val="none" w:sz="0" w:space="0" w:color="auto"/>
      </w:divBdr>
    </w:div>
    <w:div w:id="935015568">
      <w:bodyDiv w:val="1"/>
      <w:marLeft w:val="0"/>
      <w:marRight w:val="0"/>
      <w:marTop w:val="0"/>
      <w:marBottom w:val="0"/>
      <w:divBdr>
        <w:top w:val="none" w:sz="0" w:space="0" w:color="auto"/>
        <w:left w:val="none" w:sz="0" w:space="0" w:color="auto"/>
        <w:bottom w:val="none" w:sz="0" w:space="0" w:color="auto"/>
        <w:right w:val="none" w:sz="0" w:space="0" w:color="auto"/>
      </w:divBdr>
    </w:div>
    <w:div w:id="937492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711">
          <w:marLeft w:val="0"/>
          <w:marRight w:val="0"/>
          <w:marTop w:val="0"/>
          <w:marBottom w:val="0"/>
          <w:divBdr>
            <w:top w:val="none" w:sz="0" w:space="0" w:color="auto"/>
            <w:left w:val="none" w:sz="0" w:space="0" w:color="auto"/>
            <w:bottom w:val="none" w:sz="0" w:space="0" w:color="auto"/>
            <w:right w:val="none" w:sz="0" w:space="0" w:color="auto"/>
          </w:divBdr>
          <w:divsChild>
            <w:div w:id="1962956911">
              <w:marLeft w:val="0"/>
              <w:marRight w:val="0"/>
              <w:marTop w:val="0"/>
              <w:marBottom w:val="0"/>
              <w:divBdr>
                <w:top w:val="none" w:sz="0" w:space="0" w:color="auto"/>
                <w:left w:val="none" w:sz="0" w:space="0" w:color="auto"/>
                <w:bottom w:val="none" w:sz="0" w:space="0" w:color="auto"/>
                <w:right w:val="none" w:sz="0" w:space="0" w:color="auto"/>
              </w:divBdr>
              <w:divsChild>
                <w:div w:id="1785687578">
                  <w:marLeft w:val="-225"/>
                  <w:marRight w:val="-225"/>
                  <w:marTop w:val="0"/>
                  <w:marBottom w:val="0"/>
                  <w:divBdr>
                    <w:top w:val="none" w:sz="0" w:space="0" w:color="auto"/>
                    <w:left w:val="none" w:sz="0" w:space="0" w:color="auto"/>
                    <w:bottom w:val="none" w:sz="0" w:space="0" w:color="auto"/>
                    <w:right w:val="none" w:sz="0" w:space="0" w:color="auto"/>
                  </w:divBdr>
                  <w:divsChild>
                    <w:div w:id="1243879762">
                      <w:marLeft w:val="0"/>
                      <w:marRight w:val="0"/>
                      <w:marTop w:val="0"/>
                      <w:marBottom w:val="0"/>
                      <w:divBdr>
                        <w:top w:val="none" w:sz="0" w:space="0" w:color="auto"/>
                        <w:left w:val="none" w:sz="0" w:space="0" w:color="auto"/>
                        <w:bottom w:val="none" w:sz="0" w:space="0" w:color="auto"/>
                        <w:right w:val="none" w:sz="0" w:space="0" w:color="auto"/>
                      </w:divBdr>
                      <w:divsChild>
                        <w:div w:id="1208487158">
                          <w:marLeft w:val="-225"/>
                          <w:marRight w:val="-225"/>
                          <w:marTop w:val="0"/>
                          <w:marBottom w:val="0"/>
                          <w:divBdr>
                            <w:top w:val="none" w:sz="0" w:space="0" w:color="auto"/>
                            <w:left w:val="none" w:sz="0" w:space="0" w:color="auto"/>
                            <w:bottom w:val="none" w:sz="0" w:space="0" w:color="auto"/>
                            <w:right w:val="none" w:sz="0" w:space="0" w:color="auto"/>
                          </w:divBdr>
                          <w:divsChild>
                            <w:div w:id="790057124">
                              <w:marLeft w:val="0"/>
                              <w:marRight w:val="0"/>
                              <w:marTop w:val="0"/>
                              <w:marBottom w:val="0"/>
                              <w:divBdr>
                                <w:top w:val="none" w:sz="0" w:space="0" w:color="auto"/>
                                <w:left w:val="none" w:sz="0" w:space="0" w:color="auto"/>
                                <w:bottom w:val="none" w:sz="0" w:space="0" w:color="auto"/>
                                <w:right w:val="none" w:sz="0" w:space="0" w:color="auto"/>
                              </w:divBdr>
                              <w:divsChild>
                                <w:div w:id="490560196">
                                  <w:marLeft w:val="0"/>
                                  <w:marRight w:val="0"/>
                                  <w:marTop w:val="0"/>
                                  <w:marBottom w:val="0"/>
                                  <w:divBdr>
                                    <w:top w:val="none" w:sz="0" w:space="0" w:color="auto"/>
                                    <w:left w:val="none" w:sz="0" w:space="0" w:color="auto"/>
                                    <w:bottom w:val="none" w:sz="0" w:space="0" w:color="auto"/>
                                    <w:right w:val="none" w:sz="0" w:space="0" w:color="auto"/>
                                  </w:divBdr>
                                  <w:divsChild>
                                    <w:div w:id="1346862293">
                                      <w:marLeft w:val="0"/>
                                      <w:marRight w:val="0"/>
                                      <w:marTop w:val="0"/>
                                      <w:marBottom w:val="0"/>
                                      <w:divBdr>
                                        <w:top w:val="none" w:sz="0" w:space="0" w:color="auto"/>
                                        <w:left w:val="none" w:sz="0" w:space="0" w:color="auto"/>
                                        <w:bottom w:val="none" w:sz="0" w:space="0" w:color="auto"/>
                                        <w:right w:val="none" w:sz="0" w:space="0" w:color="auto"/>
                                      </w:divBdr>
                                      <w:divsChild>
                                        <w:div w:id="513496489">
                                          <w:marLeft w:val="0"/>
                                          <w:marRight w:val="0"/>
                                          <w:marTop w:val="0"/>
                                          <w:marBottom w:val="0"/>
                                          <w:divBdr>
                                            <w:top w:val="none" w:sz="0" w:space="0" w:color="auto"/>
                                            <w:left w:val="none" w:sz="0" w:space="0" w:color="auto"/>
                                            <w:bottom w:val="none" w:sz="0" w:space="0" w:color="auto"/>
                                            <w:right w:val="none" w:sz="0" w:space="0" w:color="auto"/>
                                          </w:divBdr>
                                          <w:divsChild>
                                            <w:div w:id="14239153">
                                              <w:marLeft w:val="0"/>
                                              <w:marRight w:val="0"/>
                                              <w:marTop w:val="0"/>
                                              <w:marBottom w:val="0"/>
                                              <w:divBdr>
                                                <w:top w:val="none" w:sz="0" w:space="0" w:color="auto"/>
                                                <w:left w:val="none" w:sz="0" w:space="0" w:color="auto"/>
                                                <w:bottom w:val="none" w:sz="0" w:space="0" w:color="auto"/>
                                                <w:right w:val="none" w:sz="0" w:space="0" w:color="auto"/>
                                              </w:divBdr>
                                              <w:divsChild>
                                                <w:div w:id="94518036">
                                                  <w:marLeft w:val="0"/>
                                                  <w:marRight w:val="0"/>
                                                  <w:marTop w:val="0"/>
                                                  <w:marBottom w:val="0"/>
                                                  <w:divBdr>
                                                    <w:top w:val="none" w:sz="0" w:space="0" w:color="auto"/>
                                                    <w:left w:val="none" w:sz="0" w:space="0" w:color="auto"/>
                                                    <w:bottom w:val="none" w:sz="0" w:space="0" w:color="auto"/>
                                                    <w:right w:val="none" w:sz="0" w:space="0" w:color="auto"/>
                                                  </w:divBdr>
                                                </w:div>
                                              </w:divsChild>
                                            </w:div>
                                            <w:div w:id="1697194177">
                                              <w:marLeft w:val="0"/>
                                              <w:marRight w:val="0"/>
                                              <w:marTop w:val="0"/>
                                              <w:marBottom w:val="0"/>
                                              <w:divBdr>
                                                <w:top w:val="none" w:sz="0" w:space="0" w:color="auto"/>
                                                <w:left w:val="none" w:sz="0" w:space="0" w:color="auto"/>
                                                <w:bottom w:val="none" w:sz="0" w:space="0" w:color="auto"/>
                                                <w:right w:val="none" w:sz="0" w:space="0" w:color="auto"/>
                                              </w:divBdr>
                                              <w:divsChild>
                                                <w:div w:id="841315699">
                                                  <w:marLeft w:val="0"/>
                                                  <w:marRight w:val="0"/>
                                                  <w:marTop w:val="0"/>
                                                  <w:marBottom w:val="0"/>
                                                  <w:divBdr>
                                                    <w:top w:val="none" w:sz="0" w:space="0" w:color="auto"/>
                                                    <w:left w:val="none" w:sz="0" w:space="0" w:color="auto"/>
                                                    <w:bottom w:val="none" w:sz="0" w:space="0" w:color="auto"/>
                                                    <w:right w:val="none" w:sz="0" w:space="0" w:color="auto"/>
                                                  </w:divBdr>
                                                </w:div>
                                              </w:divsChild>
                                            </w:div>
                                            <w:div w:id="972949979">
                                              <w:marLeft w:val="0"/>
                                              <w:marRight w:val="0"/>
                                              <w:marTop w:val="0"/>
                                              <w:marBottom w:val="0"/>
                                              <w:divBdr>
                                                <w:top w:val="none" w:sz="0" w:space="0" w:color="auto"/>
                                                <w:left w:val="none" w:sz="0" w:space="0" w:color="auto"/>
                                                <w:bottom w:val="none" w:sz="0" w:space="0" w:color="auto"/>
                                                <w:right w:val="none" w:sz="0" w:space="0" w:color="auto"/>
                                              </w:divBdr>
                                              <w:divsChild>
                                                <w:div w:id="4255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658244">
      <w:bodyDiv w:val="1"/>
      <w:marLeft w:val="0"/>
      <w:marRight w:val="0"/>
      <w:marTop w:val="0"/>
      <w:marBottom w:val="0"/>
      <w:divBdr>
        <w:top w:val="none" w:sz="0" w:space="0" w:color="auto"/>
        <w:left w:val="none" w:sz="0" w:space="0" w:color="auto"/>
        <w:bottom w:val="none" w:sz="0" w:space="0" w:color="auto"/>
        <w:right w:val="none" w:sz="0" w:space="0" w:color="auto"/>
      </w:divBdr>
    </w:div>
    <w:div w:id="944968542">
      <w:bodyDiv w:val="1"/>
      <w:marLeft w:val="0"/>
      <w:marRight w:val="0"/>
      <w:marTop w:val="0"/>
      <w:marBottom w:val="0"/>
      <w:divBdr>
        <w:top w:val="none" w:sz="0" w:space="0" w:color="auto"/>
        <w:left w:val="none" w:sz="0" w:space="0" w:color="auto"/>
        <w:bottom w:val="none" w:sz="0" w:space="0" w:color="auto"/>
        <w:right w:val="none" w:sz="0" w:space="0" w:color="auto"/>
      </w:divBdr>
    </w:div>
    <w:div w:id="957756553">
      <w:bodyDiv w:val="1"/>
      <w:marLeft w:val="0"/>
      <w:marRight w:val="0"/>
      <w:marTop w:val="0"/>
      <w:marBottom w:val="0"/>
      <w:divBdr>
        <w:top w:val="none" w:sz="0" w:space="0" w:color="auto"/>
        <w:left w:val="none" w:sz="0" w:space="0" w:color="auto"/>
        <w:bottom w:val="none" w:sz="0" w:space="0" w:color="auto"/>
        <w:right w:val="none" w:sz="0" w:space="0" w:color="auto"/>
      </w:divBdr>
      <w:divsChild>
        <w:div w:id="1470711414">
          <w:marLeft w:val="418"/>
          <w:marRight w:val="0"/>
          <w:marTop w:val="58"/>
          <w:marBottom w:val="0"/>
          <w:divBdr>
            <w:top w:val="none" w:sz="0" w:space="0" w:color="auto"/>
            <w:left w:val="none" w:sz="0" w:space="0" w:color="auto"/>
            <w:bottom w:val="none" w:sz="0" w:space="0" w:color="auto"/>
            <w:right w:val="none" w:sz="0" w:space="0" w:color="auto"/>
          </w:divBdr>
        </w:div>
      </w:divsChild>
    </w:div>
    <w:div w:id="968440875">
      <w:bodyDiv w:val="1"/>
      <w:marLeft w:val="0"/>
      <w:marRight w:val="0"/>
      <w:marTop w:val="0"/>
      <w:marBottom w:val="0"/>
      <w:divBdr>
        <w:top w:val="none" w:sz="0" w:space="0" w:color="auto"/>
        <w:left w:val="none" w:sz="0" w:space="0" w:color="auto"/>
        <w:bottom w:val="none" w:sz="0" w:space="0" w:color="auto"/>
        <w:right w:val="none" w:sz="0" w:space="0" w:color="auto"/>
      </w:divBdr>
    </w:div>
    <w:div w:id="993876217">
      <w:bodyDiv w:val="1"/>
      <w:marLeft w:val="0"/>
      <w:marRight w:val="0"/>
      <w:marTop w:val="0"/>
      <w:marBottom w:val="0"/>
      <w:divBdr>
        <w:top w:val="none" w:sz="0" w:space="0" w:color="auto"/>
        <w:left w:val="none" w:sz="0" w:space="0" w:color="auto"/>
        <w:bottom w:val="none" w:sz="0" w:space="0" w:color="auto"/>
        <w:right w:val="none" w:sz="0" w:space="0" w:color="auto"/>
      </w:divBdr>
    </w:div>
    <w:div w:id="994913877">
      <w:bodyDiv w:val="1"/>
      <w:marLeft w:val="0"/>
      <w:marRight w:val="0"/>
      <w:marTop w:val="0"/>
      <w:marBottom w:val="0"/>
      <w:divBdr>
        <w:top w:val="none" w:sz="0" w:space="0" w:color="auto"/>
        <w:left w:val="none" w:sz="0" w:space="0" w:color="auto"/>
        <w:bottom w:val="none" w:sz="0" w:space="0" w:color="auto"/>
        <w:right w:val="none" w:sz="0" w:space="0" w:color="auto"/>
      </w:divBdr>
    </w:div>
    <w:div w:id="997920087">
      <w:bodyDiv w:val="1"/>
      <w:marLeft w:val="0"/>
      <w:marRight w:val="0"/>
      <w:marTop w:val="0"/>
      <w:marBottom w:val="0"/>
      <w:divBdr>
        <w:top w:val="none" w:sz="0" w:space="0" w:color="auto"/>
        <w:left w:val="none" w:sz="0" w:space="0" w:color="auto"/>
        <w:bottom w:val="none" w:sz="0" w:space="0" w:color="auto"/>
        <w:right w:val="none" w:sz="0" w:space="0" w:color="auto"/>
      </w:divBdr>
    </w:div>
    <w:div w:id="997998038">
      <w:bodyDiv w:val="1"/>
      <w:marLeft w:val="0"/>
      <w:marRight w:val="0"/>
      <w:marTop w:val="0"/>
      <w:marBottom w:val="0"/>
      <w:divBdr>
        <w:top w:val="none" w:sz="0" w:space="0" w:color="auto"/>
        <w:left w:val="none" w:sz="0" w:space="0" w:color="auto"/>
        <w:bottom w:val="none" w:sz="0" w:space="0" w:color="auto"/>
        <w:right w:val="none" w:sz="0" w:space="0" w:color="auto"/>
      </w:divBdr>
      <w:divsChild>
        <w:div w:id="176119452">
          <w:marLeft w:val="432"/>
          <w:marRight w:val="0"/>
          <w:marTop w:val="58"/>
          <w:marBottom w:val="0"/>
          <w:divBdr>
            <w:top w:val="none" w:sz="0" w:space="0" w:color="auto"/>
            <w:left w:val="none" w:sz="0" w:space="0" w:color="auto"/>
            <w:bottom w:val="none" w:sz="0" w:space="0" w:color="auto"/>
            <w:right w:val="none" w:sz="0" w:space="0" w:color="auto"/>
          </w:divBdr>
        </w:div>
        <w:div w:id="1081874921">
          <w:marLeft w:val="432"/>
          <w:marRight w:val="0"/>
          <w:marTop w:val="58"/>
          <w:marBottom w:val="0"/>
          <w:divBdr>
            <w:top w:val="none" w:sz="0" w:space="0" w:color="auto"/>
            <w:left w:val="none" w:sz="0" w:space="0" w:color="auto"/>
            <w:bottom w:val="none" w:sz="0" w:space="0" w:color="auto"/>
            <w:right w:val="none" w:sz="0" w:space="0" w:color="auto"/>
          </w:divBdr>
        </w:div>
        <w:div w:id="1509952771">
          <w:marLeft w:val="432"/>
          <w:marRight w:val="0"/>
          <w:marTop w:val="58"/>
          <w:marBottom w:val="0"/>
          <w:divBdr>
            <w:top w:val="none" w:sz="0" w:space="0" w:color="auto"/>
            <w:left w:val="none" w:sz="0" w:space="0" w:color="auto"/>
            <w:bottom w:val="none" w:sz="0" w:space="0" w:color="auto"/>
            <w:right w:val="none" w:sz="0" w:space="0" w:color="auto"/>
          </w:divBdr>
        </w:div>
      </w:divsChild>
    </w:div>
    <w:div w:id="1000430704">
      <w:bodyDiv w:val="1"/>
      <w:marLeft w:val="0"/>
      <w:marRight w:val="0"/>
      <w:marTop w:val="0"/>
      <w:marBottom w:val="0"/>
      <w:divBdr>
        <w:top w:val="none" w:sz="0" w:space="0" w:color="auto"/>
        <w:left w:val="none" w:sz="0" w:space="0" w:color="auto"/>
        <w:bottom w:val="none" w:sz="0" w:space="0" w:color="auto"/>
        <w:right w:val="none" w:sz="0" w:space="0" w:color="auto"/>
      </w:divBdr>
    </w:div>
    <w:div w:id="1024208214">
      <w:bodyDiv w:val="1"/>
      <w:marLeft w:val="0"/>
      <w:marRight w:val="0"/>
      <w:marTop w:val="0"/>
      <w:marBottom w:val="0"/>
      <w:divBdr>
        <w:top w:val="none" w:sz="0" w:space="0" w:color="auto"/>
        <w:left w:val="none" w:sz="0" w:space="0" w:color="auto"/>
        <w:bottom w:val="none" w:sz="0" w:space="0" w:color="auto"/>
        <w:right w:val="none" w:sz="0" w:space="0" w:color="auto"/>
      </w:divBdr>
    </w:div>
    <w:div w:id="1026759137">
      <w:bodyDiv w:val="1"/>
      <w:marLeft w:val="0"/>
      <w:marRight w:val="0"/>
      <w:marTop w:val="0"/>
      <w:marBottom w:val="0"/>
      <w:divBdr>
        <w:top w:val="none" w:sz="0" w:space="0" w:color="auto"/>
        <w:left w:val="none" w:sz="0" w:space="0" w:color="auto"/>
        <w:bottom w:val="none" w:sz="0" w:space="0" w:color="auto"/>
        <w:right w:val="none" w:sz="0" w:space="0" w:color="auto"/>
      </w:divBdr>
    </w:div>
    <w:div w:id="1029062786">
      <w:bodyDiv w:val="1"/>
      <w:marLeft w:val="0"/>
      <w:marRight w:val="0"/>
      <w:marTop w:val="0"/>
      <w:marBottom w:val="0"/>
      <w:divBdr>
        <w:top w:val="none" w:sz="0" w:space="0" w:color="auto"/>
        <w:left w:val="none" w:sz="0" w:space="0" w:color="auto"/>
        <w:bottom w:val="none" w:sz="0" w:space="0" w:color="auto"/>
        <w:right w:val="none" w:sz="0" w:space="0" w:color="auto"/>
      </w:divBdr>
      <w:divsChild>
        <w:div w:id="95173771">
          <w:marLeft w:val="418"/>
          <w:marRight w:val="0"/>
          <w:marTop w:val="58"/>
          <w:marBottom w:val="0"/>
          <w:divBdr>
            <w:top w:val="none" w:sz="0" w:space="0" w:color="auto"/>
            <w:left w:val="none" w:sz="0" w:space="0" w:color="auto"/>
            <w:bottom w:val="none" w:sz="0" w:space="0" w:color="auto"/>
            <w:right w:val="none" w:sz="0" w:space="0" w:color="auto"/>
          </w:divBdr>
        </w:div>
        <w:div w:id="1071536024">
          <w:marLeft w:val="418"/>
          <w:marRight w:val="0"/>
          <w:marTop w:val="58"/>
          <w:marBottom w:val="0"/>
          <w:divBdr>
            <w:top w:val="none" w:sz="0" w:space="0" w:color="auto"/>
            <w:left w:val="none" w:sz="0" w:space="0" w:color="auto"/>
            <w:bottom w:val="none" w:sz="0" w:space="0" w:color="auto"/>
            <w:right w:val="none" w:sz="0" w:space="0" w:color="auto"/>
          </w:divBdr>
        </w:div>
        <w:div w:id="1848592037">
          <w:marLeft w:val="418"/>
          <w:marRight w:val="0"/>
          <w:marTop w:val="58"/>
          <w:marBottom w:val="0"/>
          <w:divBdr>
            <w:top w:val="none" w:sz="0" w:space="0" w:color="auto"/>
            <w:left w:val="none" w:sz="0" w:space="0" w:color="auto"/>
            <w:bottom w:val="none" w:sz="0" w:space="0" w:color="auto"/>
            <w:right w:val="none" w:sz="0" w:space="0" w:color="auto"/>
          </w:divBdr>
        </w:div>
      </w:divsChild>
    </w:div>
    <w:div w:id="1046682056">
      <w:bodyDiv w:val="1"/>
      <w:marLeft w:val="0"/>
      <w:marRight w:val="0"/>
      <w:marTop w:val="0"/>
      <w:marBottom w:val="0"/>
      <w:divBdr>
        <w:top w:val="none" w:sz="0" w:space="0" w:color="auto"/>
        <w:left w:val="none" w:sz="0" w:space="0" w:color="auto"/>
        <w:bottom w:val="none" w:sz="0" w:space="0" w:color="auto"/>
        <w:right w:val="none" w:sz="0" w:space="0" w:color="auto"/>
      </w:divBdr>
      <w:divsChild>
        <w:div w:id="1320885178">
          <w:marLeft w:val="418"/>
          <w:marRight w:val="0"/>
          <w:marTop w:val="58"/>
          <w:marBottom w:val="0"/>
          <w:divBdr>
            <w:top w:val="none" w:sz="0" w:space="0" w:color="auto"/>
            <w:left w:val="none" w:sz="0" w:space="0" w:color="auto"/>
            <w:bottom w:val="none" w:sz="0" w:space="0" w:color="auto"/>
            <w:right w:val="none" w:sz="0" w:space="0" w:color="auto"/>
          </w:divBdr>
        </w:div>
      </w:divsChild>
    </w:div>
    <w:div w:id="1084229400">
      <w:bodyDiv w:val="1"/>
      <w:marLeft w:val="0"/>
      <w:marRight w:val="0"/>
      <w:marTop w:val="0"/>
      <w:marBottom w:val="0"/>
      <w:divBdr>
        <w:top w:val="none" w:sz="0" w:space="0" w:color="auto"/>
        <w:left w:val="none" w:sz="0" w:space="0" w:color="auto"/>
        <w:bottom w:val="none" w:sz="0" w:space="0" w:color="auto"/>
        <w:right w:val="none" w:sz="0" w:space="0" w:color="auto"/>
      </w:divBdr>
    </w:div>
    <w:div w:id="1127120129">
      <w:bodyDiv w:val="1"/>
      <w:marLeft w:val="0"/>
      <w:marRight w:val="0"/>
      <w:marTop w:val="0"/>
      <w:marBottom w:val="0"/>
      <w:divBdr>
        <w:top w:val="none" w:sz="0" w:space="0" w:color="auto"/>
        <w:left w:val="none" w:sz="0" w:space="0" w:color="auto"/>
        <w:bottom w:val="none" w:sz="0" w:space="0" w:color="auto"/>
        <w:right w:val="none" w:sz="0" w:space="0" w:color="auto"/>
      </w:divBdr>
    </w:div>
    <w:div w:id="1160005966">
      <w:bodyDiv w:val="1"/>
      <w:marLeft w:val="0"/>
      <w:marRight w:val="0"/>
      <w:marTop w:val="0"/>
      <w:marBottom w:val="0"/>
      <w:divBdr>
        <w:top w:val="none" w:sz="0" w:space="0" w:color="auto"/>
        <w:left w:val="none" w:sz="0" w:space="0" w:color="auto"/>
        <w:bottom w:val="none" w:sz="0" w:space="0" w:color="auto"/>
        <w:right w:val="none" w:sz="0" w:space="0" w:color="auto"/>
      </w:divBdr>
    </w:div>
    <w:div w:id="1161778086">
      <w:bodyDiv w:val="1"/>
      <w:marLeft w:val="0"/>
      <w:marRight w:val="0"/>
      <w:marTop w:val="0"/>
      <w:marBottom w:val="0"/>
      <w:divBdr>
        <w:top w:val="none" w:sz="0" w:space="0" w:color="auto"/>
        <w:left w:val="none" w:sz="0" w:space="0" w:color="auto"/>
        <w:bottom w:val="none" w:sz="0" w:space="0" w:color="auto"/>
        <w:right w:val="none" w:sz="0" w:space="0" w:color="auto"/>
      </w:divBdr>
      <w:divsChild>
        <w:div w:id="1499420573">
          <w:marLeft w:val="0"/>
          <w:marRight w:val="0"/>
          <w:marTop w:val="0"/>
          <w:marBottom w:val="0"/>
          <w:divBdr>
            <w:top w:val="none" w:sz="0" w:space="0" w:color="auto"/>
            <w:left w:val="none" w:sz="0" w:space="0" w:color="auto"/>
            <w:bottom w:val="none" w:sz="0" w:space="0" w:color="auto"/>
            <w:right w:val="none" w:sz="0" w:space="0" w:color="auto"/>
          </w:divBdr>
          <w:divsChild>
            <w:div w:id="1734306212">
              <w:marLeft w:val="0"/>
              <w:marRight w:val="0"/>
              <w:marTop w:val="0"/>
              <w:marBottom w:val="0"/>
              <w:divBdr>
                <w:top w:val="none" w:sz="0" w:space="0" w:color="auto"/>
                <w:left w:val="none" w:sz="0" w:space="0" w:color="auto"/>
                <w:bottom w:val="none" w:sz="0" w:space="0" w:color="auto"/>
                <w:right w:val="none" w:sz="0" w:space="0" w:color="auto"/>
              </w:divBdr>
              <w:divsChild>
                <w:div w:id="1215775758">
                  <w:marLeft w:val="-225"/>
                  <w:marRight w:val="-225"/>
                  <w:marTop w:val="0"/>
                  <w:marBottom w:val="0"/>
                  <w:divBdr>
                    <w:top w:val="none" w:sz="0" w:space="0" w:color="auto"/>
                    <w:left w:val="none" w:sz="0" w:space="0" w:color="auto"/>
                    <w:bottom w:val="none" w:sz="0" w:space="0" w:color="auto"/>
                    <w:right w:val="none" w:sz="0" w:space="0" w:color="auto"/>
                  </w:divBdr>
                  <w:divsChild>
                    <w:div w:id="446510899">
                      <w:marLeft w:val="0"/>
                      <w:marRight w:val="0"/>
                      <w:marTop w:val="0"/>
                      <w:marBottom w:val="0"/>
                      <w:divBdr>
                        <w:top w:val="none" w:sz="0" w:space="0" w:color="auto"/>
                        <w:left w:val="none" w:sz="0" w:space="0" w:color="auto"/>
                        <w:bottom w:val="none" w:sz="0" w:space="0" w:color="auto"/>
                        <w:right w:val="none" w:sz="0" w:space="0" w:color="auto"/>
                      </w:divBdr>
                      <w:divsChild>
                        <w:div w:id="184491121">
                          <w:marLeft w:val="-225"/>
                          <w:marRight w:val="-225"/>
                          <w:marTop w:val="0"/>
                          <w:marBottom w:val="0"/>
                          <w:divBdr>
                            <w:top w:val="none" w:sz="0" w:space="0" w:color="auto"/>
                            <w:left w:val="none" w:sz="0" w:space="0" w:color="auto"/>
                            <w:bottom w:val="none" w:sz="0" w:space="0" w:color="auto"/>
                            <w:right w:val="none" w:sz="0" w:space="0" w:color="auto"/>
                          </w:divBdr>
                          <w:divsChild>
                            <w:div w:id="302127690">
                              <w:marLeft w:val="0"/>
                              <w:marRight w:val="0"/>
                              <w:marTop w:val="0"/>
                              <w:marBottom w:val="0"/>
                              <w:divBdr>
                                <w:top w:val="none" w:sz="0" w:space="0" w:color="auto"/>
                                <w:left w:val="none" w:sz="0" w:space="0" w:color="auto"/>
                                <w:bottom w:val="none" w:sz="0" w:space="0" w:color="auto"/>
                                <w:right w:val="none" w:sz="0" w:space="0" w:color="auto"/>
                              </w:divBdr>
                              <w:divsChild>
                                <w:div w:id="121046490">
                                  <w:marLeft w:val="0"/>
                                  <w:marRight w:val="0"/>
                                  <w:marTop w:val="0"/>
                                  <w:marBottom w:val="0"/>
                                  <w:divBdr>
                                    <w:top w:val="none" w:sz="0" w:space="0" w:color="auto"/>
                                    <w:left w:val="none" w:sz="0" w:space="0" w:color="auto"/>
                                    <w:bottom w:val="none" w:sz="0" w:space="0" w:color="auto"/>
                                    <w:right w:val="none" w:sz="0" w:space="0" w:color="auto"/>
                                  </w:divBdr>
                                  <w:divsChild>
                                    <w:div w:id="1311131480">
                                      <w:marLeft w:val="0"/>
                                      <w:marRight w:val="0"/>
                                      <w:marTop w:val="0"/>
                                      <w:marBottom w:val="0"/>
                                      <w:divBdr>
                                        <w:top w:val="none" w:sz="0" w:space="0" w:color="auto"/>
                                        <w:left w:val="none" w:sz="0" w:space="0" w:color="auto"/>
                                        <w:bottom w:val="none" w:sz="0" w:space="0" w:color="auto"/>
                                        <w:right w:val="none" w:sz="0" w:space="0" w:color="auto"/>
                                      </w:divBdr>
                                      <w:divsChild>
                                        <w:div w:id="1907835160">
                                          <w:marLeft w:val="0"/>
                                          <w:marRight w:val="0"/>
                                          <w:marTop w:val="0"/>
                                          <w:marBottom w:val="0"/>
                                          <w:divBdr>
                                            <w:top w:val="none" w:sz="0" w:space="0" w:color="auto"/>
                                            <w:left w:val="none" w:sz="0" w:space="0" w:color="auto"/>
                                            <w:bottom w:val="none" w:sz="0" w:space="0" w:color="auto"/>
                                            <w:right w:val="none" w:sz="0" w:space="0" w:color="auto"/>
                                          </w:divBdr>
                                          <w:divsChild>
                                            <w:div w:id="2002538491">
                                              <w:marLeft w:val="0"/>
                                              <w:marRight w:val="0"/>
                                              <w:marTop w:val="0"/>
                                              <w:marBottom w:val="0"/>
                                              <w:divBdr>
                                                <w:top w:val="none" w:sz="0" w:space="0" w:color="auto"/>
                                                <w:left w:val="none" w:sz="0" w:space="0" w:color="auto"/>
                                                <w:bottom w:val="none" w:sz="0" w:space="0" w:color="auto"/>
                                                <w:right w:val="none" w:sz="0" w:space="0" w:color="auto"/>
                                              </w:divBdr>
                                              <w:divsChild>
                                                <w:div w:id="15000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606382">
      <w:bodyDiv w:val="1"/>
      <w:marLeft w:val="0"/>
      <w:marRight w:val="0"/>
      <w:marTop w:val="0"/>
      <w:marBottom w:val="0"/>
      <w:divBdr>
        <w:top w:val="none" w:sz="0" w:space="0" w:color="auto"/>
        <w:left w:val="none" w:sz="0" w:space="0" w:color="auto"/>
        <w:bottom w:val="none" w:sz="0" w:space="0" w:color="auto"/>
        <w:right w:val="none" w:sz="0" w:space="0" w:color="auto"/>
      </w:divBdr>
    </w:div>
    <w:div w:id="1205823405">
      <w:bodyDiv w:val="1"/>
      <w:marLeft w:val="0"/>
      <w:marRight w:val="0"/>
      <w:marTop w:val="0"/>
      <w:marBottom w:val="0"/>
      <w:divBdr>
        <w:top w:val="none" w:sz="0" w:space="0" w:color="auto"/>
        <w:left w:val="none" w:sz="0" w:space="0" w:color="auto"/>
        <w:bottom w:val="none" w:sz="0" w:space="0" w:color="auto"/>
        <w:right w:val="none" w:sz="0" w:space="0" w:color="auto"/>
      </w:divBdr>
    </w:div>
    <w:div w:id="1211651520">
      <w:bodyDiv w:val="1"/>
      <w:marLeft w:val="0"/>
      <w:marRight w:val="0"/>
      <w:marTop w:val="0"/>
      <w:marBottom w:val="0"/>
      <w:divBdr>
        <w:top w:val="none" w:sz="0" w:space="0" w:color="auto"/>
        <w:left w:val="none" w:sz="0" w:space="0" w:color="auto"/>
        <w:bottom w:val="none" w:sz="0" w:space="0" w:color="auto"/>
        <w:right w:val="none" w:sz="0" w:space="0" w:color="auto"/>
      </w:divBdr>
    </w:div>
    <w:div w:id="1212383038">
      <w:bodyDiv w:val="1"/>
      <w:marLeft w:val="0"/>
      <w:marRight w:val="0"/>
      <w:marTop w:val="0"/>
      <w:marBottom w:val="0"/>
      <w:divBdr>
        <w:top w:val="none" w:sz="0" w:space="0" w:color="auto"/>
        <w:left w:val="none" w:sz="0" w:space="0" w:color="auto"/>
        <w:bottom w:val="none" w:sz="0" w:space="0" w:color="auto"/>
        <w:right w:val="none" w:sz="0" w:space="0" w:color="auto"/>
      </w:divBdr>
    </w:div>
    <w:div w:id="1242371094">
      <w:bodyDiv w:val="1"/>
      <w:marLeft w:val="0"/>
      <w:marRight w:val="0"/>
      <w:marTop w:val="0"/>
      <w:marBottom w:val="0"/>
      <w:divBdr>
        <w:top w:val="none" w:sz="0" w:space="0" w:color="auto"/>
        <w:left w:val="none" w:sz="0" w:space="0" w:color="auto"/>
        <w:bottom w:val="none" w:sz="0" w:space="0" w:color="auto"/>
        <w:right w:val="none" w:sz="0" w:space="0" w:color="auto"/>
      </w:divBdr>
    </w:div>
    <w:div w:id="1252423468">
      <w:bodyDiv w:val="1"/>
      <w:marLeft w:val="0"/>
      <w:marRight w:val="0"/>
      <w:marTop w:val="0"/>
      <w:marBottom w:val="0"/>
      <w:divBdr>
        <w:top w:val="none" w:sz="0" w:space="0" w:color="auto"/>
        <w:left w:val="none" w:sz="0" w:space="0" w:color="auto"/>
        <w:bottom w:val="none" w:sz="0" w:space="0" w:color="auto"/>
        <w:right w:val="none" w:sz="0" w:space="0" w:color="auto"/>
      </w:divBdr>
    </w:div>
    <w:div w:id="1257441079">
      <w:bodyDiv w:val="1"/>
      <w:marLeft w:val="0"/>
      <w:marRight w:val="0"/>
      <w:marTop w:val="0"/>
      <w:marBottom w:val="0"/>
      <w:divBdr>
        <w:top w:val="none" w:sz="0" w:space="0" w:color="auto"/>
        <w:left w:val="none" w:sz="0" w:space="0" w:color="auto"/>
        <w:bottom w:val="none" w:sz="0" w:space="0" w:color="auto"/>
        <w:right w:val="none" w:sz="0" w:space="0" w:color="auto"/>
      </w:divBdr>
      <w:divsChild>
        <w:div w:id="805706140">
          <w:marLeft w:val="418"/>
          <w:marRight w:val="0"/>
          <w:marTop w:val="58"/>
          <w:marBottom w:val="0"/>
          <w:divBdr>
            <w:top w:val="none" w:sz="0" w:space="0" w:color="auto"/>
            <w:left w:val="none" w:sz="0" w:space="0" w:color="auto"/>
            <w:bottom w:val="none" w:sz="0" w:space="0" w:color="auto"/>
            <w:right w:val="none" w:sz="0" w:space="0" w:color="auto"/>
          </w:divBdr>
        </w:div>
        <w:div w:id="1175995749">
          <w:marLeft w:val="418"/>
          <w:marRight w:val="0"/>
          <w:marTop w:val="58"/>
          <w:marBottom w:val="0"/>
          <w:divBdr>
            <w:top w:val="none" w:sz="0" w:space="0" w:color="auto"/>
            <w:left w:val="none" w:sz="0" w:space="0" w:color="auto"/>
            <w:bottom w:val="none" w:sz="0" w:space="0" w:color="auto"/>
            <w:right w:val="none" w:sz="0" w:space="0" w:color="auto"/>
          </w:divBdr>
        </w:div>
        <w:div w:id="1992562739">
          <w:marLeft w:val="418"/>
          <w:marRight w:val="0"/>
          <w:marTop w:val="58"/>
          <w:marBottom w:val="0"/>
          <w:divBdr>
            <w:top w:val="none" w:sz="0" w:space="0" w:color="auto"/>
            <w:left w:val="none" w:sz="0" w:space="0" w:color="auto"/>
            <w:bottom w:val="none" w:sz="0" w:space="0" w:color="auto"/>
            <w:right w:val="none" w:sz="0" w:space="0" w:color="auto"/>
          </w:divBdr>
        </w:div>
        <w:div w:id="2070373758">
          <w:marLeft w:val="418"/>
          <w:marRight w:val="0"/>
          <w:marTop w:val="58"/>
          <w:marBottom w:val="0"/>
          <w:divBdr>
            <w:top w:val="none" w:sz="0" w:space="0" w:color="auto"/>
            <w:left w:val="none" w:sz="0" w:space="0" w:color="auto"/>
            <w:bottom w:val="none" w:sz="0" w:space="0" w:color="auto"/>
            <w:right w:val="none" w:sz="0" w:space="0" w:color="auto"/>
          </w:divBdr>
        </w:div>
      </w:divsChild>
    </w:div>
    <w:div w:id="1294754202">
      <w:bodyDiv w:val="1"/>
      <w:marLeft w:val="0"/>
      <w:marRight w:val="0"/>
      <w:marTop w:val="0"/>
      <w:marBottom w:val="0"/>
      <w:divBdr>
        <w:top w:val="none" w:sz="0" w:space="0" w:color="auto"/>
        <w:left w:val="none" w:sz="0" w:space="0" w:color="auto"/>
        <w:bottom w:val="none" w:sz="0" w:space="0" w:color="auto"/>
        <w:right w:val="none" w:sz="0" w:space="0" w:color="auto"/>
      </w:divBdr>
    </w:div>
    <w:div w:id="1310525215">
      <w:bodyDiv w:val="1"/>
      <w:marLeft w:val="0"/>
      <w:marRight w:val="0"/>
      <w:marTop w:val="0"/>
      <w:marBottom w:val="0"/>
      <w:divBdr>
        <w:top w:val="none" w:sz="0" w:space="0" w:color="auto"/>
        <w:left w:val="none" w:sz="0" w:space="0" w:color="auto"/>
        <w:bottom w:val="none" w:sz="0" w:space="0" w:color="auto"/>
        <w:right w:val="none" w:sz="0" w:space="0" w:color="auto"/>
      </w:divBdr>
    </w:div>
    <w:div w:id="1332291281">
      <w:bodyDiv w:val="1"/>
      <w:marLeft w:val="0"/>
      <w:marRight w:val="0"/>
      <w:marTop w:val="0"/>
      <w:marBottom w:val="0"/>
      <w:divBdr>
        <w:top w:val="none" w:sz="0" w:space="0" w:color="auto"/>
        <w:left w:val="none" w:sz="0" w:space="0" w:color="auto"/>
        <w:bottom w:val="none" w:sz="0" w:space="0" w:color="auto"/>
        <w:right w:val="none" w:sz="0" w:space="0" w:color="auto"/>
      </w:divBdr>
    </w:div>
    <w:div w:id="1343895979">
      <w:bodyDiv w:val="1"/>
      <w:marLeft w:val="0"/>
      <w:marRight w:val="0"/>
      <w:marTop w:val="0"/>
      <w:marBottom w:val="0"/>
      <w:divBdr>
        <w:top w:val="none" w:sz="0" w:space="0" w:color="auto"/>
        <w:left w:val="none" w:sz="0" w:space="0" w:color="auto"/>
        <w:bottom w:val="none" w:sz="0" w:space="0" w:color="auto"/>
        <w:right w:val="none" w:sz="0" w:space="0" w:color="auto"/>
      </w:divBdr>
      <w:divsChild>
        <w:div w:id="264770619">
          <w:marLeft w:val="418"/>
          <w:marRight w:val="0"/>
          <w:marTop w:val="58"/>
          <w:marBottom w:val="0"/>
          <w:divBdr>
            <w:top w:val="none" w:sz="0" w:space="0" w:color="auto"/>
            <w:left w:val="none" w:sz="0" w:space="0" w:color="auto"/>
            <w:bottom w:val="none" w:sz="0" w:space="0" w:color="auto"/>
            <w:right w:val="none" w:sz="0" w:space="0" w:color="auto"/>
          </w:divBdr>
        </w:div>
        <w:div w:id="912811437">
          <w:marLeft w:val="418"/>
          <w:marRight w:val="0"/>
          <w:marTop w:val="58"/>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348367820">
      <w:bodyDiv w:val="1"/>
      <w:marLeft w:val="0"/>
      <w:marRight w:val="0"/>
      <w:marTop w:val="0"/>
      <w:marBottom w:val="0"/>
      <w:divBdr>
        <w:top w:val="none" w:sz="0" w:space="0" w:color="auto"/>
        <w:left w:val="none" w:sz="0" w:space="0" w:color="auto"/>
        <w:bottom w:val="none" w:sz="0" w:space="0" w:color="auto"/>
        <w:right w:val="none" w:sz="0" w:space="0" w:color="auto"/>
      </w:divBdr>
      <w:divsChild>
        <w:div w:id="115805362">
          <w:marLeft w:val="418"/>
          <w:marRight w:val="0"/>
          <w:marTop w:val="58"/>
          <w:marBottom w:val="0"/>
          <w:divBdr>
            <w:top w:val="none" w:sz="0" w:space="0" w:color="auto"/>
            <w:left w:val="none" w:sz="0" w:space="0" w:color="auto"/>
            <w:bottom w:val="none" w:sz="0" w:space="0" w:color="auto"/>
            <w:right w:val="none" w:sz="0" w:space="0" w:color="auto"/>
          </w:divBdr>
        </w:div>
        <w:div w:id="144705652">
          <w:marLeft w:val="418"/>
          <w:marRight w:val="0"/>
          <w:marTop w:val="58"/>
          <w:marBottom w:val="0"/>
          <w:divBdr>
            <w:top w:val="none" w:sz="0" w:space="0" w:color="auto"/>
            <w:left w:val="none" w:sz="0" w:space="0" w:color="auto"/>
            <w:bottom w:val="none" w:sz="0" w:space="0" w:color="auto"/>
            <w:right w:val="none" w:sz="0" w:space="0" w:color="auto"/>
          </w:divBdr>
        </w:div>
        <w:div w:id="789592166">
          <w:marLeft w:val="1123"/>
          <w:marRight w:val="0"/>
          <w:marTop w:val="58"/>
          <w:marBottom w:val="0"/>
          <w:divBdr>
            <w:top w:val="none" w:sz="0" w:space="0" w:color="auto"/>
            <w:left w:val="none" w:sz="0" w:space="0" w:color="auto"/>
            <w:bottom w:val="none" w:sz="0" w:space="0" w:color="auto"/>
            <w:right w:val="none" w:sz="0" w:space="0" w:color="auto"/>
          </w:divBdr>
        </w:div>
        <w:div w:id="1064253323">
          <w:marLeft w:val="1123"/>
          <w:marRight w:val="0"/>
          <w:marTop w:val="58"/>
          <w:marBottom w:val="0"/>
          <w:divBdr>
            <w:top w:val="none" w:sz="0" w:space="0" w:color="auto"/>
            <w:left w:val="none" w:sz="0" w:space="0" w:color="auto"/>
            <w:bottom w:val="none" w:sz="0" w:space="0" w:color="auto"/>
            <w:right w:val="none" w:sz="0" w:space="0" w:color="auto"/>
          </w:divBdr>
        </w:div>
        <w:div w:id="1139763866">
          <w:marLeft w:val="418"/>
          <w:marRight w:val="0"/>
          <w:marTop w:val="58"/>
          <w:marBottom w:val="0"/>
          <w:divBdr>
            <w:top w:val="none" w:sz="0" w:space="0" w:color="auto"/>
            <w:left w:val="none" w:sz="0" w:space="0" w:color="auto"/>
            <w:bottom w:val="none" w:sz="0" w:space="0" w:color="auto"/>
            <w:right w:val="none" w:sz="0" w:space="0" w:color="auto"/>
          </w:divBdr>
        </w:div>
        <w:div w:id="1480197302">
          <w:marLeft w:val="1123"/>
          <w:marRight w:val="0"/>
          <w:marTop w:val="58"/>
          <w:marBottom w:val="0"/>
          <w:divBdr>
            <w:top w:val="none" w:sz="0" w:space="0" w:color="auto"/>
            <w:left w:val="none" w:sz="0" w:space="0" w:color="auto"/>
            <w:bottom w:val="none" w:sz="0" w:space="0" w:color="auto"/>
            <w:right w:val="none" w:sz="0" w:space="0" w:color="auto"/>
          </w:divBdr>
        </w:div>
      </w:divsChild>
    </w:div>
    <w:div w:id="1386837702">
      <w:bodyDiv w:val="1"/>
      <w:marLeft w:val="0"/>
      <w:marRight w:val="0"/>
      <w:marTop w:val="0"/>
      <w:marBottom w:val="0"/>
      <w:divBdr>
        <w:top w:val="none" w:sz="0" w:space="0" w:color="auto"/>
        <w:left w:val="none" w:sz="0" w:space="0" w:color="auto"/>
        <w:bottom w:val="none" w:sz="0" w:space="0" w:color="auto"/>
        <w:right w:val="none" w:sz="0" w:space="0" w:color="auto"/>
      </w:divBdr>
    </w:div>
    <w:div w:id="1393308250">
      <w:bodyDiv w:val="1"/>
      <w:marLeft w:val="0"/>
      <w:marRight w:val="0"/>
      <w:marTop w:val="0"/>
      <w:marBottom w:val="0"/>
      <w:divBdr>
        <w:top w:val="none" w:sz="0" w:space="0" w:color="auto"/>
        <w:left w:val="none" w:sz="0" w:space="0" w:color="auto"/>
        <w:bottom w:val="none" w:sz="0" w:space="0" w:color="auto"/>
        <w:right w:val="none" w:sz="0" w:space="0" w:color="auto"/>
      </w:divBdr>
      <w:divsChild>
        <w:div w:id="913861358">
          <w:marLeft w:val="418"/>
          <w:marRight w:val="0"/>
          <w:marTop w:val="58"/>
          <w:marBottom w:val="0"/>
          <w:divBdr>
            <w:top w:val="none" w:sz="0" w:space="0" w:color="auto"/>
            <w:left w:val="none" w:sz="0" w:space="0" w:color="auto"/>
            <w:bottom w:val="none" w:sz="0" w:space="0" w:color="auto"/>
            <w:right w:val="none" w:sz="0" w:space="0" w:color="auto"/>
          </w:divBdr>
        </w:div>
      </w:divsChild>
    </w:div>
    <w:div w:id="1404454258">
      <w:bodyDiv w:val="1"/>
      <w:marLeft w:val="0"/>
      <w:marRight w:val="0"/>
      <w:marTop w:val="0"/>
      <w:marBottom w:val="0"/>
      <w:divBdr>
        <w:top w:val="none" w:sz="0" w:space="0" w:color="auto"/>
        <w:left w:val="none" w:sz="0" w:space="0" w:color="auto"/>
        <w:bottom w:val="none" w:sz="0" w:space="0" w:color="auto"/>
        <w:right w:val="none" w:sz="0" w:space="0" w:color="auto"/>
      </w:divBdr>
    </w:div>
    <w:div w:id="1416896114">
      <w:bodyDiv w:val="1"/>
      <w:marLeft w:val="0"/>
      <w:marRight w:val="0"/>
      <w:marTop w:val="0"/>
      <w:marBottom w:val="0"/>
      <w:divBdr>
        <w:top w:val="none" w:sz="0" w:space="0" w:color="auto"/>
        <w:left w:val="none" w:sz="0" w:space="0" w:color="auto"/>
        <w:bottom w:val="none" w:sz="0" w:space="0" w:color="auto"/>
        <w:right w:val="none" w:sz="0" w:space="0" w:color="auto"/>
      </w:divBdr>
      <w:divsChild>
        <w:div w:id="773786550">
          <w:marLeft w:val="0"/>
          <w:marRight w:val="0"/>
          <w:marTop w:val="0"/>
          <w:marBottom w:val="0"/>
          <w:divBdr>
            <w:top w:val="none" w:sz="0" w:space="0" w:color="auto"/>
            <w:left w:val="none" w:sz="0" w:space="0" w:color="auto"/>
            <w:bottom w:val="none" w:sz="0" w:space="0" w:color="auto"/>
            <w:right w:val="none" w:sz="0" w:space="0" w:color="auto"/>
          </w:divBdr>
        </w:div>
      </w:divsChild>
    </w:div>
    <w:div w:id="1466583312">
      <w:bodyDiv w:val="1"/>
      <w:marLeft w:val="0"/>
      <w:marRight w:val="0"/>
      <w:marTop w:val="0"/>
      <w:marBottom w:val="0"/>
      <w:divBdr>
        <w:top w:val="none" w:sz="0" w:space="0" w:color="auto"/>
        <w:left w:val="none" w:sz="0" w:space="0" w:color="auto"/>
        <w:bottom w:val="none" w:sz="0" w:space="0" w:color="auto"/>
        <w:right w:val="none" w:sz="0" w:space="0" w:color="auto"/>
      </w:divBdr>
    </w:div>
    <w:div w:id="1467814904">
      <w:bodyDiv w:val="1"/>
      <w:marLeft w:val="0"/>
      <w:marRight w:val="0"/>
      <w:marTop w:val="0"/>
      <w:marBottom w:val="0"/>
      <w:divBdr>
        <w:top w:val="none" w:sz="0" w:space="0" w:color="auto"/>
        <w:left w:val="none" w:sz="0" w:space="0" w:color="auto"/>
        <w:bottom w:val="none" w:sz="0" w:space="0" w:color="auto"/>
        <w:right w:val="none" w:sz="0" w:space="0" w:color="auto"/>
      </w:divBdr>
    </w:div>
    <w:div w:id="1474715009">
      <w:bodyDiv w:val="1"/>
      <w:marLeft w:val="0"/>
      <w:marRight w:val="0"/>
      <w:marTop w:val="0"/>
      <w:marBottom w:val="0"/>
      <w:divBdr>
        <w:top w:val="none" w:sz="0" w:space="0" w:color="auto"/>
        <w:left w:val="none" w:sz="0" w:space="0" w:color="auto"/>
        <w:bottom w:val="none" w:sz="0" w:space="0" w:color="auto"/>
        <w:right w:val="none" w:sz="0" w:space="0" w:color="auto"/>
      </w:divBdr>
    </w:div>
    <w:div w:id="1478647586">
      <w:bodyDiv w:val="1"/>
      <w:marLeft w:val="0"/>
      <w:marRight w:val="0"/>
      <w:marTop w:val="0"/>
      <w:marBottom w:val="0"/>
      <w:divBdr>
        <w:top w:val="none" w:sz="0" w:space="0" w:color="auto"/>
        <w:left w:val="none" w:sz="0" w:space="0" w:color="auto"/>
        <w:bottom w:val="none" w:sz="0" w:space="0" w:color="auto"/>
        <w:right w:val="none" w:sz="0" w:space="0" w:color="auto"/>
      </w:divBdr>
      <w:divsChild>
        <w:div w:id="358434066">
          <w:marLeft w:val="418"/>
          <w:marRight w:val="0"/>
          <w:marTop w:val="58"/>
          <w:marBottom w:val="0"/>
          <w:divBdr>
            <w:top w:val="none" w:sz="0" w:space="0" w:color="auto"/>
            <w:left w:val="none" w:sz="0" w:space="0" w:color="auto"/>
            <w:bottom w:val="none" w:sz="0" w:space="0" w:color="auto"/>
            <w:right w:val="none" w:sz="0" w:space="0" w:color="auto"/>
          </w:divBdr>
        </w:div>
        <w:div w:id="1627661895">
          <w:marLeft w:val="418"/>
          <w:marRight w:val="0"/>
          <w:marTop w:val="58"/>
          <w:marBottom w:val="0"/>
          <w:divBdr>
            <w:top w:val="none" w:sz="0" w:space="0" w:color="auto"/>
            <w:left w:val="none" w:sz="0" w:space="0" w:color="auto"/>
            <w:bottom w:val="none" w:sz="0" w:space="0" w:color="auto"/>
            <w:right w:val="none" w:sz="0" w:space="0" w:color="auto"/>
          </w:divBdr>
        </w:div>
      </w:divsChild>
    </w:div>
    <w:div w:id="1484659991">
      <w:bodyDiv w:val="1"/>
      <w:marLeft w:val="0"/>
      <w:marRight w:val="0"/>
      <w:marTop w:val="0"/>
      <w:marBottom w:val="0"/>
      <w:divBdr>
        <w:top w:val="none" w:sz="0" w:space="0" w:color="auto"/>
        <w:left w:val="none" w:sz="0" w:space="0" w:color="auto"/>
        <w:bottom w:val="none" w:sz="0" w:space="0" w:color="auto"/>
        <w:right w:val="none" w:sz="0" w:space="0" w:color="auto"/>
      </w:divBdr>
      <w:divsChild>
        <w:div w:id="1400207577">
          <w:marLeft w:val="432"/>
          <w:marRight w:val="0"/>
          <w:marTop w:val="58"/>
          <w:marBottom w:val="0"/>
          <w:divBdr>
            <w:top w:val="none" w:sz="0" w:space="0" w:color="auto"/>
            <w:left w:val="none" w:sz="0" w:space="0" w:color="auto"/>
            <w:bottom w:val="none" w:sz="0" w:space="0" w:color="auto"/>
            <w:right w:val="none" w:sz="0" w:space="0" w:color="auto"/>
          </w:divBdr>
        </w:div>
        <w:div w:id="1407655076">
          <w:marLeft w:val="432"/>
          <w:marRight w:val="0"/>
          <w:marTop w:val="58"/>
          <w:marBottom w:val="0"/>
          <w:divBdr>
            <w:top w:val="none" w:sz="0" w:space="0" w:color="auto"/>
            <w:left w:val="none" w:sz="0" w:space="0" w:color="auto"/>
            <w:bottom w:val="none" w:sz="0" w:space="0" w:color="auto"/>
            <w:right w:val="none" w:sz="0" w:space="0" w:color="auto"/>
          </w:divBdr>
        </w:div>
      </w:divsChild>
    </w:div>
    <w:div w:id="1563441115">
      <w:bodyDiv w:val="1"/>
      <w:marLeft w:val="0"/>
      <w:marRight w:val="0"/>
      <w:marTop w:val="0"/>
      <w:marBottom w:val="0"/>
      <w:divBdr>
        <w:top w:val="none" w:sz="0" w:space="0" w:color="auto"/>
        <w:left w:val="none" w:sz="0" w:space="0" w:color="auto"/>
        <w:bottom w:val="none" w:sz="0" w:space="0" w:color="auto"/>
        <w:right w:val="none" w:sz="0" w:space="0" w:color="auto"/>
      </w:divBdr>
    </w:div>
    <w:div w:id="1607231684">
      <w:bodyDiv w:val="1"/>
      <w:marLeft w:val="0"/>
      <w:marRight w:val="0"/>
      <w:marTop w:val="0"/>
      <w:marBottom w:val="0"/>
      <w:divBdr>
        <w:top w:val="none" w:sz="0" w:space="0" w:color="auto"/>
        <w:left w:val="none" w:sz="0" w:space="0" w:color="auto"/>
        <w:bottom w:val="none" w:sz="0" w:space="0" w:color="auto"/>
        <w:right w:val="none" w:sz="0" w:space="0" w:color="auto"/>
      </w:divBdr>
      <w:divsChild>
        <w:div w:id="646324068">
          <w:marLeft w:val="418"/>
          <w:marRight w:val="0"/>
          <w:marTop w:val="58"/>
          <w:marBottom w:val="0"/>
          <w:divBdr>
            <w:top w:val="none" w:sz="0" w:space="0" w:color="auto"/>
            <w:left w:val="none" w:sz="0" w:space="0" w:color="auto"/>
            <w:bottom w:val="none" w:sz="0" w:space="0" w:color="auto"/>
            <w:right w:val="none" w:sz="0" w:space="0" w:color="auto"/>
          </w:divBdr>
        </w:div>
        <w:div w:id="1078939358">
          <w:marLeft w:val="418"/>
          <w:marRight w:val="0"/>
          <w:marTop w:val="58"/>
          <w:marBottom w:val="0"/>
          <w:divBdr>
            <w:top w:val="none" w:sz="0" w:space="0" w:color="auto"/>
            <w:left w:val="none" w:sz="0" w:space="0" w:color="auto"/>
            <w:bottom w:val="none" w:sz="0" w:space="0" w:color="auto"/>
            <w:right w:val="none" w:sz="0" w:space="0" w:color="auto"/>
          </w:divBdr>
        </w:div>
        <w:div w:id="1284187171">
          <w:marLeft w:val="418"/>
          <w:marRight w:val="0"/>
          <w:marTop w:val="58"/>
          <w:marBottom w:val="0"/>
          <w:divBdr>
            <w:top w:val="none" w:sz="0" w:space="0" w:color="auto"/>
            <w:left w:val="none" w:sz="0" w:space="0" w:color="auto"/>
            <w:bottom w:val="none" w:sz="0" w:space="0" w:color="auto"/>
            <w:right w:val="none" w:sz="0" w:space="0" w:color="auto"/>
          </w:divBdr>
        </w:div>
      </w:divsChild>
    </w:div>
    <w:div w:id="1618559198">
      <w:bodyDiv w:val="1"/>
      <w:marLeft w:val="0"/>
      <w:marRight w:val="0"/>
      <w:marTop w:val="0"/>
      <w:marBottom w:val="0"/>
      <w:divBdr>
        <w:top w:val="none" w:sz="0" w:space="0" w:color="auto"/>
        <w:left w:val="none" w:sz="0" w:space="0" w:color="auto"/>
        <w:bottom w:val="none" w:sz="0" w:space="0" w:color="auto"/>
        <w:right w:val="none" w:sz="0" w:space="0" w:color="auto"/>
      </w:divBdr>
    </w:div>
    <w:div w:id="1627198138">
      <w:bodyDiv w:val="1"/>
      <w:marLeft w:val="0"/>
      <w:marRight w:val="0"/>
      <w:marTop w:val="0"/>
      <w:marBottom w:val="0"/>
      <w:divBdr>
        <w:top w:val="none" w:sz="0" w:space="0" w:color="auto"/>
        <w:left w:val="none" w:sz="0" w:space="0" w:color="auto"/>
        <w:bottom w:val="none" w:sz="0" w:space="0" w:color="auto"/>
        <w:right w:val="none" w:sz="0" w:space="0" w:color="auto"/>
      </w:divBdr>
    </w:div>
    <w:div w:id="1628471072">
      <w:bodyDiv w:val="1"/>
      <w:marLeft w:val="0"/>
      <w:marRight w:val="0"/>
      <w:marTop w:val="0"/>
      <w:marBottom w:val="0"/>
      <w:divBdr>
        <w:top w:val="none" w:sz="0" w:space="0" w:color="auto"/>
        <w:left w:val="none" w:sz="0" w:space="0" w:color="auto"/>
        <w:bottom w:val="none" w:sz="0" w:space="0" w:color="auto"/>
        <w:right w:val="none" w:sz="0" w:space="0" w:color="auto"/>
      </w:divBdr>
      <w:divsChild>
        <w:div w:id="1805080137">
          <w:marLeft w:val="0"/>
          <w:marRight w:val="0"/>
          <w:marTop w:val="0"/>
          <w:marBottom w:val="0"/>
          <w:divBdr>
            <w:top w:val="none" w:sz="0" w:space="0" w:color="auto"/>
            <w:left w:val="none" w:sz="0" w:space="0" w:color="auto"/>
            <w:bottom w:val="none" w:sz="0" w:space="0" w:color="auto"/>
            <w:right w:val="none" w:sz="0" w:space="0" w:color="auto"/>
          </w:divBdr>
          <w:divsChild>
            <w:div w:id="718939949">
              <w:marLeft w:val="0"/>
              <w:marRight w:val="0"/>
              <w:marTop w:val="0"/>
              <w:marBottom w:val="0"/>
              <w:divBdr>
                <w:top w:val="none" w:sz="0" w:space="0" w:color="auto"/>
                <w:left w:val="none" w:sz="0" w:space="0" w:color="auto"/>
                <w:bottom w:val="none" w:sz="0" w:space="0" w:color="auto"/>
                <w:right w:val="none" w:sz="0" w:space="0" w:color="auto"/>
              </w:divBdr>
              <w:divsChild>
                <w:div w:id="606622573">
                  <w:marLeft w:val="-225"/>
                  <w:marRight w:val="-225"/>
                  <w:marTop w:val="0"/>
                  <w:marBottom w:val="0"/>
                  <w:divBdr>
                    <w:top w:val="none" w:sz="0" w:space="0" w:color="auto"/>
                    <w:left w:val="none" w:sz="0" w:space="0" w:color="auto"/>
                    <w:bottom w:val="none" w:sz="0" w:space="0" w:color="auto"/>
                    <w:right w:val="none" w:sz="0" w:space="0" w:color="auto"/>
                  </w:divBdr>
                  <w:divsChild>
                    <w:div w:id="804084643">
                      <w:marLeft w:val="0"/>
                      <w:marRight w:val="0"/>
                      <w:marTop w:val="0"/>
                      <w:marBottom w:val="0"/>
                      <w:divBdr>
                        <w:top w:val="none" w:sz="0" w:space="0" w:color="auto"/>
                        <w:left w:val="none" w:sz="0" w:space="0" w:color="auto"/>
                        <w:bottom w:val="none" w:sz="0" w:space="0" w:color="auto"/>
                        <w:right w:val="none" w:sz="0" w:space="0" w:color="auto"/>
                      </w:divBdr>
                      <w:divsChild>
                        <w:div w:id="1425227091">
                          <w:marLeft w:val="-225"/>
                          <w:marRight w:val="-225"/>
                          <w:marTop w:val="0"/>
                          <w:marBottom w:val="0"/>
                          <w:divBdr>
                            <w:top w:val="none" w:sz="0" w:space="0" w:color="auto"/>
                            <w:left w:val="none" w:sz="0" w:space="0" w:color="auto"/>
                            <w:bottom w:val="none" w:sz="0" w:space="0" w:color="auto"/>
                            <w:right w:val="none" w:sz="0" w:space="0" w:color="auto"/>
                          </w:divBdr>
                          <w:divsChild>
                            <w:div w:id="791442048">
                              <w:marLeft w:val="0"/>
                              <w:marRight w:val="0"/>
                              <w:marTop w:val="0"/>
                              <w:marBottom w:val="0"/>
                              <w:divBdr>
                                <w:top w:val="none" w:sz="0" w:space="0" w:color="auto"/>
                                <w:left w:val="none" w:sz="0" w:space="0" w:color="auto"/>
                                <w:bottom w:val="none" w:sz="0" w:space="0" w:color="auto"/>
                                <w:right w:val="none" w:sz="0" w:space="0" w:color="auto"/>
                              </w:divBdr>
                              <w:divsChild>
                                <w:div w:id="979650756">
                                  <w:marLeft w:val="0"/>
                                  <w:marRight w:val="0"/>
                                  <w:marTop w:val="0"/>
                                  <w:marBottom w:val="0"/>
                                  <w:divBdr>
                                    <w:top w:val="none" w:sz="0" w:space="0" w:color="auto"/>
                                    <w:left w:val="none" w:sz="0" w:space="0" w:color="auto"/>
                                    <w:bottom w:val="none" w:sz="0" w:space="0" w:color="auto"/>
                                    <w:right w:val="none" w:sz="0" w:space="0" w:color="auto"/>
                                  </w:divBdr>
                                  <w:divsChild>
                                    <w:div w:id="1503160255">
                                      <w:marLeft w:val="0"/>
                                      <w:marRight w:val="0"/>
                                      <w:marTop w:val="0"/>
                                      <w:marBottom w:val="0"/>
                                      <w:divBdr>
                                        <w:top w:val="none" w:sz="0" w:space="0" w:color="auto"/>
                                        <w:left w:val="none" w:sz="0" w:space="0" w:color="auto"/>
                                        <w:bottom w:val="none" w:sz="0" w:space="0" w:color="auto"/>
                                        <w:right w:val="none" w:sz="0" w:space="0" w:color="auto"/>
                                      </w:divBdr>
                                      <w:divsChild>
                                        <w:div w:id="1742294094">
                                          <w:marLeft w:val="0"/>
                                          <w:marRight w:val="0"/>
                                          <w:marTop w:val="0"/>
                                          <w:marBottom w:val="0"/>
                                          <w:divBdr>
                                            <w:top w:val="none" w:sz="0" w:space="0" w:color="auto"/>
                                            <w:left w:val="none" w:sz="0" w:space="0" w:color="auto"/>
                                            <w:bottom w:val="none" w:sz="0" w:space="0" w:color="auto"/>
                                            <w:right w:val="none" w:sz="0" w:space="0" w:color="auto"/>
                                          </w:divBdr>
                                          <w:divsChild>
                                            <w:div w:id="504973917">
                                              <w:marLeft w:val="0"/>
                                              <w:marRight w:val="0"/>
                                              <w:marTop w:val="0"/>
                                              <w:marBottom w:val="0"/>
                                              <w:divBdr>
                                                <w:top w:val="none" w:sz="0" w:space="0" w:color="auto"/>
                                                <w:left w:val="none" w:sz="0" w:space="0" w:color="auto"/>
                                                <w:bottom w:val="none" w:sz="0" w:space="0" w:color="auto"/>
                                                <w:right w:val="none" w:sz="0" w:space="0" w:color="auto"/>
                                              </w:divBdr>
                                              <w:divsChild>
                                                <w:div w:id="4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334839">
      <w:bodyDiv w:val="1"/>
      <w:marLeft w:val="0"/>
      <w:marRight w:val="0"/>
      <w:marTop w:val="0"/>
      <w:marBottom w:val="0"/>
      <w:divBdr>
        <w:top w:val="none" w:sz="0" w:space="0" w:color="auto"/>
        <w:left w:val="none" w:sz="0" w:space="0" w:color="auto"/>
        <w:bottom w:val="none" w:sz="0" w:space="0" w:color="auto"/>
        <w:right w:val="none" w:sz="0" w:space="0" w:color="auto"/>
      </w:divBdr>
    </w:div>
    <w:div w:id="1662851067">
      <w:bodyDiv w:val="1"/>
      <w:marLeft w:val="0"/>
      <w:marRight w:val="0"/>
      <w:marTop w:val="0"/>
      <w:marBottom w:val="0"/>
      <w:divBdr>
        <w:top w:val="none" w:sz="0" w:space="0" w:color="auto"/>
        <w:left w:val="none" w:sz="0" w:space="0" w:color="auto"/>
        <w:bottom w:val="none" w:sz="0" w:space="0" w:color="auto"/>
        <w:right w:val="none" w:sz="0" w:space="0" w:color="auto"/>
      </w:divBdr>
    </w:div>
    <w:div w:id="1689023490">
      <w:bodyDiv w:val="1"/>
      <w:marLeft w:val="0"/>
      <w:marRight w:val="0"/>
      <w:marTop w:val="0"/>
      <w:marBottom w:val="0"/>
      <w:divBdr>
        <w:top w:val="none" w:sz="0" w:space="0" w:color="auto"/>
        <w:left w:val="none" w:sz="0" w:space="0" w:color="auto"/>
        <w:bottom w:val="none" w:sz="0" w:space="0" w:color="auto"/>
        <w:right w:val="none" w:sz="0" w:space="0" w:color="auto"/>
      </w:divBdr>
    </w:div>
    <w:div w:id="1748647134">
      <w:bodyDiv w:val="1"/>
      <w:marLeft w:val="0"/>
      <w:marRight w:val="0"/>
      <w:marTop w:val="0"/>
      <w:marBottom w:val="0"/>
      <w:divBdr>
        <w:top w:val="none" w:sz="0" w:space="0" w:color="auto"/>
        <w:left w:val="none" w:sz="0" w:space="0" w:color="auto"/>
        <w:bottom w:val="none" w:sz="0" w:space="0" w:color="auto"/>
        <w:right w:val="none" w:sz="0" w:space="0" w:color="auto"/>
      </w:divBdr>
    </w:div>
    <w:div w:id="1755081391">
      <w:bodyDiv w:val="1"/>
      <w:marLeft w:val="0"/>
      <w:marRight w:val="0"/>
      <w:marTop w:val="0"/>
      <w:marBottom w:val="0"/>
      <w:divBdr>
        <w:top w:val="none" w:sz="0" w:space="0" w:color="auto"/>
        <w:left w:val="none" w:sz="0" w:space="0" w:color="auto"/>
        <w:bottom w:val="none" w:sz="0" w:space="0" w:color="auto"/>
        <w:right w:val="none" w:sz="0" w:space="0" w:color="auto"/>
      </w:divBdr>
    </w:div>
    <w:div w:id="1760904241">
      <w:bodyDiv w:val="1"/>
      <w:marLeft w:val="0"/>
      <w:marRight w:val="0"/>
      <w:marTop w:val="0"/>
      <w:marBottom w:val="0"/>
      <w:divBdr>
        <w:top w:val="none" w:sz="0" w:space="0" w:color="auto"/>
        <w:left w:val="none" w:sz="0" w:space="0" w:color="auto"/>
        <w:bottom w:val="none" w:sz="0" w:space="0" w:color="auto"/>
        <w:right w:val="none" w:sz="0" w:space="0" w:color="auto"/>
      </w:divBdr>
      <w:divsChild>
        <w:div w:id="1242370482">
          <w:marLeft w:val="418"/>
          <w:marRight w:val="0"/>
          <w:marTop w:val="58"/>
          <w:marBottom w:val="0"/>
          <w:divBdr>
            <w:top w:val="none" w:sz="0" w:space="0" w:color="auto"/>
            <w:left w:val="none" w:sz="0" w:space="0" w:color="auto"/>
            <w:bottom w:val="none" w:sz="0" w:space="0" w:color="auto"/>
            <w:right w:val="none" w:sz="0" w:space="0" w:color="auto"/>
          </w:divBdr>
        </w:div>
      </w:divsChild>
    </w:div>
    <w:div w:id="1791900997">
      <w:bodyDiv w:val="1"/>
      <w:marLeft w:val="0"/>
      <w:marRight w:val="0"/>
      <w:marTop w:val="0"/>
      <w:marBottom w:val="0"/>
      <w:divBdr>
        <w:top w:val="none" w:sz="0" w:space="0" w:color="auto"/>
        <w:left w:val="none" w:sz="0" w:space="0" w:color="auto"/>
        <w:bottom w:val="none" w:sz="0" w:space="0" w:color="auto"/>
        <w:right w:val="none" w:sz="0" w:space="0" w:color="auto"/>
      </w:divBdr>
    </w:div>
    <w:div w:id="1814758893">
      <w:bodyDiv w:val="1"/>
      <w:marLeft w:val="0"/>
      <w:marRight w:val="0"/>
      <w:marTop w:val="0"/>
      <w:marBottom w:val="0"/>
      <w:divBdr>
        <w:top w:val="none" w:sz="0" w:space="0" w:color="auto"/>
        <w:left w:val="none" w:sz="0" w:space="0" w:color="auto"/>
        <w:bottom w:val="none" w:sz="0" w:space="0" w:color="auto"/>
        <w:right w:val="none" w:sz="0" w:space="0" w:color="auto"/>
      </w:divBdr>
    </w:div>
    <w:div w:id="1850100481">
      <w:bodyDiv w:val="1"/>
      <w:marLeft w:val="0"/>
      <w:marRight w:val="0"/>
      <w:marTop w:val="0"/>
      <w:marBottom w:val="0"/>
      <w:divBdr>
        <w:top w:val="none" w:sz="0" w:space="0" w:color="auto"/>
        <w:left w:val="none" w:sz="0" w:space="0" w:color="auto"/>
        <w:bottom w:val="none" w:sz="0" w:space="0" w:color="auto"/>
        <w:right w:val="none" w:sz="0" w:space="0" w:color="auto"/>
      </w:divBdr>
      <w:divsChild>
        <w:div w:id="992415404">
          <w:marLeft w:val="432"/>
          <w:marRight w:val="0"/>
          <w:marTop w:val="58"/>
          <w:marBottom w:val="0"/>
          <w:divBdr>
            <w:top w:val="none" w:sz="0" w:space="0" w:color="auto"/>
            <w:left w:val="none" w:sz="0" w:space="0" w:color="auto"/>
            <w:bottom w:val="none" w:sz="0" w:space="0" w:color="auto"/>
            <w:right w:val="none" w:sz="0" w:space="0" w:color="auto"/>
          </w:divBdr>
        </w:div>
        <w:div w:id="1487941196">
          <w:marLeft w:val="432"/>
          <w:marRight w:val="0"/>
          <w:marTop w:val="58"/>
          <w:marBottom w:val="0"/>
          <w:divBdr>
            <w:top w:val="none" w:sz="0" w:space="0" w:color="auto"/>
            <w:left w:val="none" w:sz="0" w:space="0" w:color="auto"/>
            <w:bottom w:val="none" w:sz="0" w:space="0" w:color="auto"/>
            <w:right w:val="none" w:sz="0" w:space="0" w:color="auto"/>
          </w:divBdr>
        </w:div>
        <w:div w:id="1854832386">
          <w:marLeft w:val="432"/>
          <w:marRight w:val="0"/>
          <w:marTop w:val="58"/>
          <w:marBottom w:val="0"/>
          <w:divBdr>
            <w:top w:val="none" w:sz="0" w:space="0" w:color="auto"/>
            <w:left w:val="none" w:sz="0" w:space="0" w:color="auto"/>
            <w:bottom w:val="none" w:sz="0" w:space="0" w:color="auto"/>
            <w:right w:val="none" w:sz="0" w:space="0" w:color="auto"/>
          </w:divBdr>
        </w:div>
      </w:divsChild>
    </w:div>
    <w:div w:id="1853447418">
      <w:bodyDiv w:val="1"/>
      <w:marLeft w:val="0"/>
      <w:marRight w:val="0"/>
      <w:marTop w:val="0"/>
      <w:marBottom w:val="0"/>
      <w:divBdr>
        <w:top w:val="none" w:sz="0" w:space="0" w:color="auto"/>
        <w:left w:val="none" w:sz="0" w:space="0" w:color="auto"/>
        <w:bottom w:val="none" w:sz="0" w:space="0" w:color="auto"/>
        <w:right w:val="none" w:sz="0" w:space="0" w:color="auto"/>
      </w:divBdr>
      <w:divsChild>
        <w:div w:id="11416713">
          <w:marLeft w:val="576"/>
          <w:marRight w:val="0"/>
          <w:marTop w:val="48"/>
          <w:marBottom w:val="0"/>
          <w:divBdr>
            <w:top w:val="none" w:sz="0" w:space="0" w:color="auto"/>
            <w:left w:val="none" w:sz="0" w:space="0" w:color="auto"/>
            <w:bottom w:val="none" w:sz="0" w:space="0" w:color="auto"/>
            <w:right w:val="none" w:sz="0" w:space="0" w:color="auto"/>
          </w:divBdr>
        </w:div>
        <w:div w:id="222179628">
          <w:marLeft w:val="288"/>
          <w:marRight w:val="0"/>
          <w:marTop w:val="48"/>
          <w:marBottom w:val="0"/>
          <w:divBdr>
            <w:top w:val="none" w:sz="0" w:space="0" w:color="auto"/>
            <w:left w:val="none" w:sz="0" w:space="0" w:color="auto"/>
            <w:bottom w:val="none" w:sz="0" w:space="0" w:color="auto"/>
            <w:right w:val="none" w:sz="0" w:space="0" w:color="auto"/>
          </w:divBdr>
        </w:div>
        <w:div w:id="402678909">
          <w:marLeft w:val="576"/>
          <w:marRight w:val="0"/>
          <w:marTop w:val="48"/>
          <w:marBottom w:val="0"/>
          <w:divBdr>
            <w:top w:val="none" w:sz="0" w:space="0" w:color="auto"/>
            <w:left w:val="none" w:sz="0" w:space="0" w:color="auto"/>
            <w:bottom w:val="none" w:sz="0" w:space="0" w:color="auto"/>
            <w:right w:val="none" w:sz="0" w:space="0" w:color="auto"/>
          </w:divBdr>
        </w:div>
        <w:div w:id="451094200">
          <w:marLeft w:val="850"/>
          <w:marRight w:val="0"/>
          <w:marTop w:val="48"/>
          <w:marBottom w:val="0"/>
          <w:divBdr>
            <w:top w:val="none" w:sz="0" w:space="0" w:color="auto"/>
            <w:left w:val="none" w:sz="0" w:space="0" w:color="auto"/>
            <w:bottom w:val="none" w:sz="0" w:space="0" w:color="auto"/>
            <w:right w:val="none" w:sz="0" w:space="0" w:color="auto"/>
          </w:divBdr>
        </w:div>
        <w:div w:id="458501403">
          <w:marLeft w:val="576"/>
          <w:marRight w:val="0"/>
          <w:marTop w:val="48"/>
          <w:marBottom w:val="0"/>
          <w:divBdr>
            <w:top w:val="none" w:sz="0" w:space="0" w:color="auto"/>
            <w:left w:val="none" w:sz="0" w:space="0" w:color="auto"/>
            <w:bottom w:val="none" w:sz="0" w:space="0" w:color="auto"/>
            <w:right w:val="none" w:sz="0" w:space="0" w:color="auto"/>
          </w:divBdr>
        </w:div>
        <w:div w:id="636183305">
          <w:marLeft w:val="288"/>
          <w:marRight w:val="0"/>
          <w:marTop w:val="48"/>
          <w:marBottom w:val="0"/>
          <w:divBdr>
            <w:top w:val="none" w:sz="0" w:space="0" w:color="auto"/>
            <w:left w:val="none" w:sz="0" w:space="0" w:color="auto"/>
            <w:bottom w:val="none" w:sz="0" w:space="0" w:color="auto"/>
            <w:right w:val="none" w:sz="0" w:space="0" w:color="auto"/>
          </w:divBdr>
        </w:div>
        <w:div w:id="730882494">
          <w:marLeft w:val="576"/>
          <w:marRight w:val="0"/>
          <w:marTop w:val="48"/>
          <w:marBottom w:val="0"/>
          <w:divBdr>
            <w:top w:val="none" w:sz="0" w:space="0" w:color="auto"/>
            <w:left w:val="none" w:sz="0" w:space="0" w:color="auto"/>
            <w:bottom w:val="none" w:sz="0" w:space="0" w:color="auto"/>
            <w:right w:val="none" w:sz="0" w:space="0" w:color="auto"/>
          </w:divBdr>
        </w:div>
        <w:div w:id="751392728">
          <w:marLeft w:val="576"/>
          <w:marRight w:val="0"/>
          <w:marTop w:val="48"/>
          <w:marBottom w:val="0"/>
          <w:divBdr>
            <w:top w:val="none" w:sz="0" w:space="0" w:color="auto"/>
            <w:left w:val="none" w:sz="0" w:space="0" w:color="auto"/>
            <w:bottom w:val="none" w:sz="0" w:space="0" w:color="auto"/>
            <w:right w:val="none" w:sz="0" w:space="0" w:color="auto"/>
          </w:divBdr>
        </w:div>
        <w:div w:id="890385514">
          <w:marLeft w:val="576"/>
          <w:marRight w:val="0"/>
          <w:marTop w:val="48"/>
          <w:marBottom w:val="0"/>
          <w:divBdr>
            <w:top w:val="none" w:sz="0" w:space="0" w:color="auto"/>
            <w:left w:val="none" w:sz="0" w:space="0" w:color="auto"/>
            <w:bottom w:val="none" w:sz="0" w:space="0" w:color="auto"/>
            <w:right w:val="none" w:sz="0" w:space="0" w:color="auto"/>
          </w:divBdr>
        </w:div>
        <w:div w:id="1007367749">
          <w:marLeft w:val="576"/>
          <w:marRight w:val="0"/>
          <w:marTop w:val="48"/>
          <w:marBottom w:val="0"/>
          <w:divBdr>
            <w:top w:val="none" w:sz="0" w:space="0" w:color="auto"/>
            <w:left w:val="none" w:sz="0" w:space="0" w:color="auto"/>
            <w:bottom w:val="none" w:sz="0" w:space="0" w:color="auto"/>
            <w:right w:val="none" w:sz="0" w:space="0" w:color="auto"/>
          </w:divBdr>
        </w:div>
        <w:div w:id="1046836124">
          <w:marLeft w:val="576"/>
          <w:marRight w:val="0"/>
          <w:marTop w:val="48"/>
          <w:marBottom w:val="0"/>
          <w:divBdr>
            <w:top w:val="none" w:sz="0" w:space="0" w:color="auto"/>
            <w:left w:val="none" w:sz="0" w:space="0" w:color="auto"/>
            <w:bottom w:val="none" w:sz="0" w:space="0" w:color="auto"/>
            <w:right w:val="none" w:sz="0" w:space="0" w:color="auto"/>
          </w:divBdr>
        </w:div>
        <w:div w:id="1251427762">
          <w:marLeft w:val="288"/>
          <w:marRight w:val="0"/>
          <w:marTop w:val="48"/>
          <w:marBottom w:val="0"/>
          <w:divBdr>
            <w:top w:val="none" w:sz="0" w:space="0" w:color="auto"/>
            <w:left w:val="none" w:sz="0" w:space="0" w:color="auto"/>
            <w:bottom w:val="none" w:sz="0" w:space="0" w:color="auto"/>
            <w:right w:val="none" w:sz="0" w:space="0" w:color="auto"/>
          </w:divBdr>
        </w:div>
        <w:div w:id="1435830864">
          <w:marLeft w:val="576"/>
          <w:marRight w:val="0"/>
          <w:marTop w:val="48"/>
          <w:marBottom w:val="0"/>
          <w:divBdr>
            <w:top w:val="none" w:sz="0" w:space="0" w:color="auto"/>
            <w:left w:val="none" w:sz="0" w:space="0" w:color="auto"/>
            <w:bottom w:val="none" w:sz="0" w:space="0" w:color="auto"/>
            <w:right w:val="none" w:sz="0" w:space="0" w:color="auto"/>
          </w:divBdr>
        </w:div>
        <w:div w:id="1487934434">
          <w:marLeft w:val="288"/>
          <w:marRight w:val="0"/>
          <w:marTop w:val="48"/>
          <w:marBottom w:val="0"/>
          <w:divBdr>
            <w:top w:val="none" w:sz="0" w:space="0" w:color="auto"/>
            <w:left w:val="none" w:sz="0" w:space="0" w:color="auto"/>
            <w:bottom w:val="none" w:sz="0" w:space="0" w:color="auto"/>
            <w:right w:val="none" w:sz="0" w:space="0" w:color="auto"/>
          </w:divBdr>
        </w:div>
        <w:div w:id="1640838215">
          <w:marLeft w:val="576"/>
          <w:marRight w:val="0"/>
          <w:marTop w:val="48"/>
          <w:marBottom w:val="0"/>
          <w:divBdr>
            <w:top w:val="none" w:sz="0" w:space="0" w:color="auto"/>
            <w:left w:val="none" w:sz="0" w:space="0" w:color="auto"/>
            <w:bottom w:val="none" w:sz="0" w:space="0" w:color="auto"/>
            <w:right w:val="none" w:sz="0" w:space="0" w:color="auto"/>
          </w:divBdr>
        </w:div>
        <w:div w:id="1781488933">
          <w:marLeft w:val="576"/>
          <w:marRight w:val="0"/>
          <w:marTop w:val="48"/>
          <w:marBottom w:val="0"/>
          <w:divBdr>
            <w:top w:val="none" w:sz="0" w:space="0" w:color="auto"/>
            <w:left w:val="none" w:sz="0" w:space="0" w:color="auto"/>
            <w:bottom w:val="none" w:sz="0" w:space="0" w:color="auto"/>
            <w:right w:val="none" w:sz="0" w:space="0" w:color="auto"/>
          </w:divBdr>
        </w:div>
        <w:div w:id="1983385319">
          <w:marLeft w:val="288"/>
          <w:marRight w:val="0"/>
          <w:marTop w:val="48"/>
          <w:marBottom w:val="0"/>
          <w:divBdr>
            <w:top w:val="none" w:sz="0" w:space="0" w:color="auto"/>
            <w:left w:val="none" w:sz="0" w:space="0" w:color="auto"/>
            <w:bottom w:val="none" w:sz="0" w:space="0" w:color="auto"/>
            <w:right w:val="none" w:sz="0" w:space="0" w:color="auto"/>
          </w:divBdr>
        </w:div>
        <w:div w:id="2076582187">
          <w:marLeft w:val="288"/>
          <w:marRight w:val="0"/>
          <w:marTop w:val="48"/>
          <w:marBottom w:val="0"/>
          <w:divBdr>
            <w:top w:val="none" w:sz="0" w:space="0" w:color="auto"/>
            <w:left w:val="none" w:sz="0" w:space="0" w:color="auto"/>
            <w:bottom w:val="none" w:sz="0" w:space="0" w:color="auto"/>
            <w:right w:val="none" w:sz="0" w:space="0" w:color="auto"/>
          </w:divBdr>
        </w:div>
        <w:div w:id="2108962911">
          <w:marLeft w:val="576"/>
          <w:marRight w:val="0"/>
          <w:marTop w:val="48"/>
          <w:marBottom w:val="0"/>
          <w:divBdr>
            <w:top w:val="none" w:sz="0" w:space="0" w:color="auto"/>
            <w:left w:val="none" w:sz="0" w:space="0" w:color="auto"/>
            <w:bottom w:val="none" w:sz="0" w:space="0" w:color="auto"/>
            <w:right w:val="none" w:sz="0" w:space="0" w:color="auto"/>
          </w:divBdr>
        </w:div>
        <w:div w:id="2115245709">
          <w:marLeft w:val="576"/>
          <w:marRight w:val="0"/>
          <w:marTop w:val="48"/>
          <w:marBottom w:val="0"/>
          <w:divBdr>
            <w:top w:val="none" w:sz="0" w:space="0" w:color="auto"/>
            <w:left w:val="none" w:sz="0" w:space="0" w:color="auto"/>
            <w:bottom w:val="none" w:sz="0" w:space="0" w:color="auto"/>
            <w:right w:val="none" w:sz="0" w:space="0" w:color="auto"/>
          </w:divBdr>
        </w:div>
        <w:div w:id="2147164694">
          <w:marLeft w:val="576"/>
          <w:marRight w:val="0"/>
          <w:marTop w:val="48"/>
          <w:marBottom w:val="0"/>
          <w:divBdr>
            <w:top w:val="none" w:sz="0" w:space="0" w:color="auto"/>
            <w:left w:val="none" w:sz="0" w:space="0" w:color="auto"/>
            <w:bottom w:val="none" w:sz="0" w:space="0" w:color="auto"/>
            <w:right w:val="none" w:sz="0" w:space="0" w:color="auto"/>
          </w:divBdr>
        </w:div>
      </w:divsChild>
    </w:div>
    <w:div w:id="1858233452">
      <w:bodyDiv w:val="1"/>
      <w:marLeft w:val="0"/>
      <w:marRight w:val="0"/>
      <w:marTop w:val="0"/>
      <w:marBottom w:val="0"/>
      <w:divBdr>
        <w:top w:val="none" w:sz="0" w:space="0" w:color="auto"/>
        <w:left w:val="none" w:sz="0" w:space="0" w:color="auto"/>
        <w:bottom w:val="none" w:sz="0" w:space="0" w:color="auto"/>
        <w:right w:val="none" w:sz="0" w:space="0" w:color="auto"/>
      </w:divBdr>
    </w:div>
    <w:div w:id="1877815052">
      <w:bodyDiv w:val="1"/>
      <w:marLeft w:val="0"/>
      <w:marRight w:val="0"/>
      <w:marTop w:val="0"/>
      <w:marBottom w:val="0"/>
      <w:divBdr>
        <w:top w:val="none" w:sz="0" w:space="0" w:color="auto"/>
        <w:left w:val="none" w:sz="0" w:space="0" w:color="auto"/>
        <w:bottom w:val="none" w:sz="0" w:space="0" w:color="auto"/>
        <w:right w:val="none" w:sz="0" w:space="0" w:color="auto"/>
      </w:divBdr>
    </w:div>
    <w:div w:id="1885825105">
      <w:bodyDiv w:val="1"/>
      <w:marLeft w:val="0"/>
      <w:marRight w:val="0"/>
      <w:marTop w:val="0"/>
      <w:marBottom w:val="0"/>
      <w:divBdr>
        <w:top w:val="none" w:sz="0" w:space="0" w:color="auto"/>
        <w:left w:val="none" w:sz="0" w:space="0" w:color="auto"/>
        <w:bottom w:val="none" w:sz="0" w:space="0" w:color="auto"/>
        <w:right w:val="none" w:sz="0" w:space="0" w:color="auto"/>
      </w:divBdr>
      <w:divsChild>
        <w:div w:id="88089288">
          <w:marLeft w:val="418"/>
          <w:marRight w:val="0"/>
          <w:marTop w:val="58"/>
          <w:marBottom w:val="0"/>
          <w:divBdr>
            <w:top w:val="none" w:sz="0" w:space="0" w:color="auto"/>
            <w:left w:val="none" w:sz="0" w:space="0" w:color="auto"/>
            <w:bottom w:val="none" w:sz="0" w:space="0" w:color="auto"/>
            <w:right w:val="none" w:sz="0" w:space="0" w:color="auto"/>
          </w:divBdr>
        </w:div>
        <w:div w:id="953949480">
          <w:marLeft w:val="418"/>
          <w:marRight w:val="0"/>
          <w:marTop w:val="58"/>
          <w:marBottom w:val="0"/>
          <w:divBdr>
            <w:top w:val="none" w:sz="0" w:space="0" w:color="auto"/>
            <w:left w:val="none" w:sz="0" w:space="0" w:color="auto"/>
            <w:bottom w:val="none" w:sz="0" w:space="0" w:color="auto"/>
            <w:right w:val="none" w:sz="0" w:space="0" w:color="auto"/>
          </w:divBdr>
        </w:div>
      </w:divsChild>
    </w:div>
    <w:div w:id="1894072806">
      <w:bodyDiv w:val="1"/>
      <w:marLeft w:val="0"/>
      <w:marRight w:val="0"/>
      <w:marTop w:val="0"/>
      <w:marBottom w:val="0"/>
      <w:divBdr>
        <w:top w:val="none" w:sz="0" w:space="0" w:color="auto"/>
        <w:left w:val="none" w:sz="0" w:space="0" w:color="auto"/>
        <w:bottom w:val="none" w:sz="0" w:space="0" w:color="auto"/>
        <w:right w:val="none" w:sz="0" w:space="0" w:color="auto"/>
      </w:divBdr>
    </w:div>
    <w:div w:id="1942640100">
      <w:bodyDiv w:val="1"/>
      <w:marLeft w:val="0"/>
      <w:marRight w:val="0"/>
      <w:marTop w:val="0"/>
      <w:marBottom w:val="0"/>
      <w:divBdr>
        <w:top w:val="none" w:sz="0" w:space="0" w:color="auto"/>
        <w:left w:val="none" w:sz="0" w:space="0" w:color="auto"/>
        <w:bottom w:val="none" w:sz="0" w:space="0" w:color="auto"/>
        <w:right w:val="none" w:sz="0" w:space="0" w:color="auto"/>
      </w:divBdr>
    </w:div>
    <w:div w:id="1943873635">
      <w:bodyDiv w:val="1"/>
      <w:marLeft w:val="0"/>
      <w:marRight w:val="0"/>
      <w:marTop w:val="0"/>
      <w:marBottom w:val="0"/>
      <w:divBdr>
        <w:top w:val="none" w:sz="0" w:space="0" w:color="auto"/>
        <w:left w:val="none" w:sz="0" w:space="0" w:color="auto"/>
        <w:bottom w:val="none" w:sz="0" w:space="0" w:color="auto"/>
        <w:right w:val="none" w:sz="0" w:space="0" w:color="auto"/>
      </w:divBdr>
    </w:div>
    <w:div w:id="1944191676">
      <w:bodyDiv w:val="1"/>
      <w:marLeft w:val="0"/>
      <w:marRight w:val="0"/>
      <w:marTop w:val="0"/>
      <w:marBottom w:val="0"/>
      <w:divBdr>
        <w:top w:val="none" w:sz="0" w:space="0" w:color="auto"/>
        <w:left w:val="none" w:sz="0" w:space="0" w:color="auto"/>
        <w:bottom w:val="none" w:sz="0" w:space="0" w:color="auto"/>
        <w:right w:val="none" w:sz="0" w:space="0" w:color="auto"/>
      </w:divBdr>
      <w:divsChild>
        <w:div w:id="134950326">
          <w:marLeft w:val="576"/>
          <w:marRight w:val="0"/>
          <w:marTop w:val="48"/>
          <w:marBottom w:val="0"/>
          <w:divBdr>
            <w:top w:val="none" w:sz="0" w:space="0" w:color="auto"/>
            <w:left w:val="none" w:sz="0" w:space="0" w:color="auto"/>
            <w:bottom w:val="none" w:sz="0" w:space="0" w:color="auto"/>
            <w:right w:val="none" w:sz="0" w:space="0" w:color="auto"/>
          </w:divBdr>
        </w:div>
        <w:div w:id="194389829">
          <w:marLeft w:val="576"/>
          <w:marRight w:val="0"/>
          <w:marTop w:val="48"/>
          <w:marBottom w:val="0"/>
          <w:divBdr>
            <w:top w:val="none" w:sz="0" w:space="0" w:color="auto"/>
            <w:left w:val="none" w:sz="0" w:space="0" w:color="auto"/>
            <w:bottom w:val="none" w:sz="0" w:space="0" w:color="auto"/>
            <w:right w:val="none" w:sz="0" w:space="0" w:color="auto"/>
          </w:divBdr>
        </w:div>
        <w:div w:id="244338364">
          <w:marLeft w:val="576"/>
          <w:marRight w:val="0"/>
          <w:marTop w:val="48"/>
          <w:marBottom w:val="0"/>
          <w:divBdr>
            <w:top w:val="none" w:sz="0" w:space="0" w:color="auto"/>
            <w:left w:val="none" w:sz="0" w:space="0" w:color="auto"/>
            <w:bottom w:val="none" w:sz="0" w:space="0" w:color="auto"/>
            <w:right w:val="none" w:sz="0" w:space="0" w:color="auto"/>
          </w:divBdr>
        </w:div>
        <w:div w:id="319426772">
          <w:marLeft w:val="850"/>
          <w:marRight w:val="0"/>
          <w:marTop w:val="48"/>
          <w:marBottom w:val="0"/>
          <w:divBdr>
            <w:top w:val="none" w:sz="0" w:space="0" w:color="auto"/>
            <w:left w:val="none" w:sz="0" w:space="0" w:color="auto"/>
            <w:bottom w:val="none" w:sz="0" w:space="0" w:color="auto"/>
            <w:right w:val="none" w:sz="0" w:space="0" w:color="auto"/>
          </w:divBdr>
        </w:div>
        <w:div w:id="403839258">
          <w:marLeft w:val="288"/>
          <w:marRight w:val="0"/>
          <w:marTop w:val="48"/>
          <w:marBottom w:val="0"/>
          <w:divBdr>
            <w:top w:val="none" w:sz="0" w:space="0" w:color="auto"/>
            <w:left w:val="none" w:sz="0" w:space="0" w:color="auto"/>
            <w:bottom w:val="none" w:sz="0" w:space="0" w:color="auto"/>
            <w:right w:val="none" w:sz="0" w:space="0" w:color="auto"/>
          </w:divBdr>
        </w:div>
        <w:div w:id="463620356">
          <w:marLeft w:val="288"/>
          <w:marRight w:val="0"/>
          <w:marTop w:val="48"/>
          <w:marBottom w:val="0"/>
          <w:divBdr>
            <w:top w:val="none" w:sz="0" w:space="0" w:color="auto"/>
            <w:left w:val="none" w:sz="0" w:space="0" w:color="auto"/>
            <w:bottom w:val="none" w:sz="0" w:space="0" w:color="auto"/>
            <w:right w:val="none" w:sz="0" w:space="0" w:color="auto"/>
          </w:divBdr>
        </w:div>
        <w:div w:id="529532500">
          <w:marLeft w:val="576"/>
          <w:marRight w:val="0"/>
          <w:marTop w:val="48"/>
          <w:marBottom w:val="0"/>
          <w:divBdr>
            <w:top w:val="none" w:sz="0" w:space="0" w:color="auto"/>
            <w:left w:val="none" w:sz="0" w:space="0" w:color="auto"/>
            <w:bottom w:val="none" w:sz="0" w:space="0" w:color="auto"/>
            <w:right w:val="none" w:sz="0" w:space="0" w:color="auto"/>
          </w:divBdr>
        </w:div>
        <w:div w:id="555703716">
          <w:marLeft w:val="288"/>
          <w:marRight w:val="0"/>
          <w:marTop w:val="48"/>
          <w:marBottom w:val="0"/>
          <w:divBdr>
            <w:top w:val="none" w:sz="0" w:space="0" w:color="auto"/>
            <w:left w:val="none" w:sz="0" w:space="0" w:color="auto"/>
            <w:bottom w:val="none" w:sz="0" w:space="0" w:color="auto"/>
            <w:right w:val="none" w:sz="0" w:space="0" w:color="auto"/>
          </w:divBdr>
        </w:div>
        <w:div w:id="682391140">
          <w:marLeft w:val="576"/>
          <w:marRight w:val="0"/>
          <w:marTop w:val="48"/>
          <w:marBottom w:val="0"/>
          <w:divBdr>
            <w:top w:val="none" w:sz="0" w:space="0" w:color="auto"/>
            <w:left w:val="none" w:sz="0" w:space="0" w:color="auto"/>
            <w:bottom w:val="none" w:sz="0" w:space="0" w:color="auto"/>
            <w:right w:val="none" w:sz="0" w:space="0" w:color="auto"/>
          </w:divBdr>
        </w:div>
        <w:div w:id="722288182">
          <w:marLeft w:val="576"/>
          <w:marRight w:val="0"/>
          <w:marTop w:val="48"/>
          <w:marBottom w:val="0"/>
          <w:divBdr>
            <w:top w:val="none" w:sz="0" w:space="0" w:color="auto"/>
            <w:left w:val="none" w:sz="0" w:space="0" w:color="auto"/>
            <w:bottom w:val="none" w:sz="0" w:space="0" w:color="auto"/>
            <w:right w:val="none" w:sz="0" w:space="0" w:color="auto"/>
          </w:divBdr>
        </w:div>
        <w:div w:id="729309177">
          <w:marLeft w:val="576"/>
          <w:marRight w:val="0"/>
          <w:marTop w:val="48"/>
          <w:marBottom w:val="0"/>
          <w:divBdr>
            <w:top w:val="none" w:sz="0" w:space="0" w:color="auto"/>
            <w:left w:val="none" w:sz="0" w:space="0" w:color="auto"/>
            <w:bottom w:val="none" w:sz="0" w:space="0" w:color="auto"/>
            <w:right w:val="none" w:sz="0" w:space="0" w:color="auto"/>
          </w:divBdr>
        </w:div>
        <w:div w:id="986209371">
          <w:marLeft w:val="576"/>
          <w:marRight w:val="0"/>
          <w:marTop w:val="48"/>
          <w:marBottom w:val="0"/>
          <w:divBdr>
            <w:top w:val="none" w:sz="0" w:space="0" w:color="auto"/>
            <w:left w:val="none" w:sz="0" w:space="0" w:color="auto"/>
            <w:bottom w:val="none" w:sz="0" w:space="0" w:color="auto"/>
            <w:right w:val="none" w:sz="0" w:space="0" w:color="auto"/>
          </w:divBdr>
        </w:div>
        <w:div w:id="1048534889">
          <w:marLeft w:val="288"/>
          <w:marRight w:val="0"/>
          <w:marTop w:val="48"/>
          <w:marBottom w:val="0"/>
          <w:divBdr>
            <w:top w:val="none" w:sz="0" w:space="0" w:color="auto"/>
            <w:left w:val="none" w:sz="0" w:space="0" w:color="auto"/>
            <w:bottom w:val="none" w:sz="0" w:space="0" w:color="auto"/>
            <w:right w:val="none" w:sz="0" w:space="0" w:color="auto"/>
          </w:divBdr>
        </w:div>
        <w:div w:id="1229150356">
          <w:marLeft w:val="576"/>
          <w:marRight w:val="0"/>
          <w:marTop w:val="48"/>
          <w:marBottom w:val="0"/>
          <w:divBdr>
            <w:top w:val="none" w:sz="0" w:space="0" w:color="auto"/>
            <w:left w:val="none" w:sz="0" w:space="0" w:color="auto"/>
            <w:bottom w:val="none" w:sz="0" w:space="0" w:color="auto"/>
            <w:right w:val="none" w:sz="0" w:space="0" w:color="auto"/>
          </w:divBdr>
        </w:div>
        <w:div w:id="1330131619">
          <w:marLeft w:val="576"/>
          <w:marRight w:val="0"/>
          <w:marTop w:val="48"/>
          <w:marBottom w:val="0"/>
          <w:divBdr>
            <w:top w:val="none" w:sz="0" w:space="0" w:color="auto"/>
            <w:left w:val="none" w:sz="0" w:space="0" w:color="auto"/>
            <w:bottom w:val="none" w:sz="0" w:space="0" w:color="auto"/>
            <w:right w:val="none" w:sz="0" w:space="0" w:color="auto"/>
          </w:divBdr>
        </w:div>
        <w:div w:id="1387333914">
          <w:marLeft w:val="576"/>
          <w:marRight w:val="0"/>
          <w:marTop w:val="48"/>
          <w:marBottom w:val="0"/>
          <w:divBdr>
            <w:top w:val="none" w:sz="0" w:space="0" w:color="auto"/>
            <w:left w:val="none" w:sz="0" w:space="0" w:color="auto"/>
            <w:bottom w:val="none" w:sz="0" w:space="0" w:color="auto"/>
            <w:right w:val="none" w:sz="0" w:space="0" w:color="auto"/>
          </w:divBdr>
        </w:div>
        <w:div w:id="1499230094">
          <w:marLeft w:val="576"/>
          <w:marRight w:val="0"/>
          <w:marTop w:val="48"/>
          <w:marBottom w:val="0"/>
          <w:divBdr>
            <w:top w:val="none" w:sz="0" w:space="0" w:color="auto"/>
            <w:left w:val="none" w:sz="0" w:space="0" w:color="auto"/>
            <w:bottom w:val="none" w:sz="0" w:space="0" w:color="auto"/>
            <w:right w:val="none" w:sz="0" w:space="0" w:color="auto"/>
          </w:divBdr>
        </w:div>
        <w:div w:id="1515192490">
          <w:marLeft w:val="288"/>
          <w:marRight w:val="0"/>
          <w:marTop w:val="48"/>
          <w:marBottom w:val="0"/>
          <w:divBdr>
            <w:top w:val="none" w:sz="0" w:space="0" w:color="auto"/>
            <w:left w:val="none" w:sz="0" w:space="0" w:color="auto"/>
            <w:bottom w:val="none" w:sz="0" w:space="0" w:color="auto"/>
            <w:right w:val="none" w:sz="0" w:space="0" w:color="auto"/>
          </w:divBdr>
        </w:div>
        <w:div w:id="1610427417">
          <w:marLeft w:val="288"/>
          <w:marRight w:val="0"/>
          <w:marTop w:val="48"/>
          <w:marBottom w:val="0"/>
          <w:divBdr>
            <w:top w:val="none" w:sz="0" w:space="0" w:color="auto"/>
            <w:left w:val="none" w:sz="0" w:space="0" w:color="auto"/>
            <w:bottom w:val="none" w:sz="0" w:space="0" w:color="auto"/>
            <w:right w:val="none" w:sz="0" w:space="0" w:color="auto"/>
          </w:divBdr>
        </w:div>
        <w:div w:id="1802570862">
          <w:marLeft w:val="576"/>
          <w:marRight w:val="0"/>
          <w:marTop w:val="48"/>
          <w:marBottom w:val="0"/>
          <w:divBdr>
            <w:top w:val="none" w:sz="0" w:space="0" w:color="auto"/>
            <w:left w:val="none" w:sz="0" w:space="0" w:color="auto"/>
            <w:bottom w:val="none" w:sz="0" w:space="0" w:color="auto"/>
            <w:right w:val="none" w:sz="0" w:space="0" w:color="auto"/>
          </w:divBdr>
        </w:div>
        <w:div w:id="1877355895">
          <w:marLeft w:val="576"/>
          <w:marRight w:val="0"/>
          <w:marTop w:val="48"/>
          <w:marBottom w:val="0"/>
          <w:divBdr>
            <w:top w:val="none" w:sz="0" w:space="0" w:color="auto"/>
            <w:left w:val="none" w:sz="0" w:space="0" w:color="auto"/>
            <w:bottom w:val="none" w:sz="0" w:space="0" w:color="auto"/>
            <w:right w:val="none" w:sz="0" w:space="0" w:color="auto"/>
          </w:divBdr>
        </w:div>
      </w:divsChild>
    </w:div>
    <w:div w:id="2009744026">
      <w:bodyDiv w:val="1"/>
      <w:marLeft w:val="0"/>
      <w:marRight w:val="0"/>
      <w:marTop w:val="0"/>
      <w:marBottom w:val="0"/>
      <w:divBdr>
        <w:top w:val="none" w:sz="0" w:space="0" w:color="auto"/>
        <w:left w:val="none" w:sz="0" w:space="0" w:color="auto"/>
        <w:bottom w:val="none" w:sz="0" w:space="0" w:color="auto"/>
        <w:right w:val="none" w:sz="0" w:space="0" w:color="auto"/>
      </w:divBdr>
    </w:div>
    <w:div w:id="2049446093">
      <w:bodyDiv w:val="1"/>
      <w:marLeft w:val="0"/>
      <w:marRight w:val="0"/>
      <w:marTop w:val="0"/>
      <w:marBottom w:val="0"/>
      <w:divBdr>
        <w:top w:val="none" w:sz="0" w:space="0" w:color="auto"/>
        <w:left w:val="none" w:sz="0" w:space="0" w:color="auto"/>
        <w:bottom w:val="none" w:sz="0" w:space="0" w:color="auto"/>
        <w:right w:val="none" w:sz="0" w:space="0" w:color="auto"/>
      </w:divBdr>
      <w:divsChild>
        <w:div w:id="929387741">
          <w:marLeft w:val="418"/>
          <w:marRight w:val="0"/>
          <w:marTop w:val="58"/>
          <w:marBottom w:val="0"/>
          <w:divBdr>
            <w:top w:val="none" w:sz="0" w:space="0" w:color="auto"/>
            <w:left w:val="none" w:sz="0" w:space="0" w:color="auto"/>
            <w:bottom w:val="none" w:sz="0" w:space="0" w:color="auto"/>
            <w:right w:val="none" w:sz="0" w:space="0" w:color="auto"/>
          </w:divBdr>
        </w:div>
        <w:div w:id="1263107134">
          <w:marLeft w:val="418"/>
          <w:marRight w:val="0"/>
          <w:marTop w:val="58"/>
          <w:marBottom w:val="0"/>
          <w:divBdr>
            <w:top w:val="none" w:sz="0" w:space="0" w:color="auto"/>
            <w:left w:val="none" w:sz="0" w:space="0" w:color="auto"/>
            <w:bottom w:val="none" w:sz="0" w:space="0" w:color="auto"/>
            <w:right w:val="none" w:sz="0" w:space="0" w:color="auto"/>
          </w:divBdr>
        </w:div>
      </w:divsChild>
    </w:div>
    <w:div w:id="2056463779">
      <w:bodyDiv w:val="1"/>
      <w:marLeft w:val="0"/>
      <w:marRight w:val="0"/>
      <w:marTop w:val="0"/>
      <w:marBottom w:val="0"/>
      <w:divBdr>
        <w:top w:val="none" w:sz="0" w:space="0" w:color="auto"/>
        <w:left w:val="none" w:sz="0" w:space="0" w:color="auto"/>
        <w:bottom w:val="none" w:sz="0" w:space="0" w:color="auto"/>
        <w:right w:val="none" w:sz="0" w:space="0" w:color="auto"/>
      </w:divBdr>
    </w:div>
    <w:div w:id="2064058595">
      <w:bodyDiv w:val="1"/>
      <w:marLeft w:val="0"/>
      <w:marRight w:val="0"/>
      <w:marTop w:val="0"/>
      <w:marBottom w:val="0"/>
      <w:divBdr>
        <w:top w:val="none" w:sz="0" w:space="0" w:color="auto"/>
        <w:left w:val="none" w:sz="0" w:space="0" w:color="auto"/>
        <w:bottom w:val="none" w:sz="0" w:space="0" w:color="auto"/>
        <w:right w:val="none" w:sz="0" w:space="0" w:color="auto"/>
      </w:divBdr>
      <w:divsChild>
        <w:div w:id="1137606505">
          <w:marLeft w:val="418"/>
          <w:marRight w:val="0"/>
          <w:marTop w:val="58"/>
          <w:marBottom w:val="0"/>
          <w:divBdr>
            <w:top w:val="none" w:sz="0" w:space="0" w:color="auto"/>
            <w:left w:val="none" w:sz="0" w:space="0" w:color="auto"/>
            <w:bottom w:val="none" w:sz="0" w:space="0" w:color="auto"/>
            <w:right w:val="none" w:sz="0" w:space="0" w:color="auto"/>
          </w:divBdr>
        </w:div>
      </w:divsChild>
    </w:div>
    <w:div w:id="2084331625">
      <w:bodyDiv w:val="1"/>
      <w:marLeft w:val="0"/>
      <w:marRight w:val="0"/>
      <w:marTop w:val="0"/>
      <w:marBottom w:val="0"/>
      <w:divBdr>
        <w:top w:val="none" w:sz="0" w:space="0" w:color="auto"/>
        <w:left w:val="none" w:sz="0" w:space="0" w:color="auto"/>
        <w:bottom w:val="none" w:sz="0" w:space="0" w:color="auto"/>
        <w:right w:val="none" w:sz="0" w:space="0" w:color="auto"/>
      </w:divBdr>
      <w:divsChild>
        <w:div w:id="1390421335">
          <w:marLeft w:val="0"/>
          <w:marRight w:val="0"/>
          <w:marTop w:val="0"/>
          <w:marBottom w:val="0"/>
          <w:divBdr>
            <w:top w:val="none" w:sz="0" w:space="0" w:color="auto"/>
            <w:left w:val="none" w:sz="0" w:space="0" w:color="auto"/>
            <w:bottom w:val="none" w:sz="0" w:space="0" w:color="auto"/>
            <w:right w:val="none" w:sz="0" w:space="0" w:color="auto"/>
          </w:divBdr>
          <w:divsChild>
            <w:div w:id="630214500">
              <w:marLeft w:val="0"/>
              <w:marRight w:val="0"/>
              <w:marTop w:val="0"/>
              <w:marBottom w:val="0"/>
              <w:divBdr>
                <w:top w:val="none" w:sz="0" w:space="0" w:color="auto"/>
                <w:left w:val="none" w:sz="0" w:space="0" w:color="auto"/>
                <w:bottom w:val="none" w:sz="0" w:space="0" w:color="auto"/>
                <w:right w:val="none" w:sz="0" w:space="0" w:color="auto"/>
              </w:divBdr>
              <w:divsChild>
                <w:div w:id="602372983">
                  <w:marLeft w:val="-225"/>
                  <w:marRight w:val="-225"/>
                  <w:marTop w:val="0"/>
                  <w:marBottom w:val="0"/>
                  <w:divBdr>
                    <w:top w:val="none" w:sz="0" w:space="0" w:color="auto"/>
                    <w:left w:val="none" w:sz="0" w:space="0" w:color="auto"/>
                    <w:bottom w:val="none" w:sz="0" w:space="0" w:color="auto"/>
                    <w:right w:val="none" w:sz="0" w:space="0" w:color="auto"/>
                  </w:divBdr>
                  <w:divsChild>
                    <w:div w:id="613904022">
                      <w:marLeft w:val="0"/>
                      <w:marRight w:val="0"/>
                      <w:marTop w:val="0"/>
                      <w:marBottom w:val="0"/>
                      <w:divBdr>
                        <w:top w:val="none" w:sz="0" w:space="0" w:color="auto"/>
                        <w:left w:val="none" w:sz="0" w:space="0" w:color="auto"/>
                        <w:bottom w:val="none" w:sz="0" w:space="0" w:color="auto"/>
                        <w:right w:val="none" w:sz="0" w:space="0" w:color="auto"/>
                      </w:divBdr>
                      <w:divsChild>
                        <w:div w:id="1213151130">
                          <w:marLeft w:val="-225"/>
                          <w:marRight w:val="-225"/>
                          <w:marTop w:val="0"/>
                          <w:marBottom w:val="0"/>
                          <w:divBdr>
                            <w:top w:val="none" w:sz="0" w:space="0" w:color="auto"/>
                            <w:left w:val="none" w:sz="0" w:space="0" w:color="auto"/>
                            <w:bottom w:val="none" w:sz="0" w:space="0" w:color="auto"/>
                            <w:right w:val="none" w:sz="0" w:space="0" w:color="auto"/>
                          </w:divBdr>
                          <w:divsChild>
                            <w:div w:id="203952975">
                              <w:marLeft w:val="0"/>
                              <w:marRight w:val="0"/>
                              <w:marTop w:val="0"/>
                              <w:marBottom w:val="0"/>
                              <w:divBdr>
                                <w:top w:val="none" w:sz="0" w:space="0" w:color="auto"/>
                                <w:left w:val="none" w:sz="0" w:space="0" w:color="auto"/>
                                <w:bottom w:val="none" w:sz="0" w:space="0" w:color="auto"/>
                                <w:right w:val="none" w:sz="0" w:space="0" w:color="auto"/>
                              </w:divBdr>
                              <w:divsChild>
                                <w:div w:id="656228340">
                                  <w:marLeft w:val="0"/>
                                  <w:marRight w:val="0"/>
                                  <w:marTop w:val="0"/>
                                  <w:marBottom w:val="0"/>
                                  <w:divBdr>
                                    <w:top w:val="none" w:sz="0" w:space="0" w:color="auto"/>
                                    <w:left w:val="none" w:sz="0" w:space="0" w:color="auto"/>
                                    <w:bottom w:val="none" w:sz="0" w:space="0" w:color="auto"/>
                                    <w:right w:val="none" w:sz="0" w:space="0" w:color="auto"/>
                                  </w:divBdr>
                                  <w:divsChild>
                                    <w:div w:id="1164321235">
                                      <w:marLeft w:val="0"/>
                                      <w:marRight w:val="0"/>
                                      <w:marTop w:val="0"/>
                                      <w:marBottom w:val="0"/>
                                      <w:divBdr>
                                        <w:top w:val="none" w:sz="0" w:space="0" w:color="auto"/>
                                        <w:left w:val="none" w:sz="0" w:space="0" w:color="auto"/>
                                        <w:bottom w:val="none" w:sz="0" w:space="0" w:color="auto"/>
                                        <w:right w:val="none" w:sz="0" w:space="0" w:color="auto"/>
                                      </w:divBdr>
                                      <w:divsChild>
                                        <w:div w:id="1285312833">
                                          <w:marLeft w:val="0"/>
                                          <w:marRight w:val="0"/>
                                          <w:marTop w:val="0"/>
                                          <w:marBottom w:val="0"/>
                                          <w:divBdr>
                                            <w:top w:val="none" w:sz="0" w:space="0" w:color="auto"/>
                                            <w:left w:val="none" w:sz="0" w:space="0" w:color="auto"/>
                                            <w:bottom w:val="none" w:sz="0" w:space="0" w:color="auto"/>
                                            <w:right w:val="none" w:sz="0" w:space="0" w:color="auto"/>
                                          </w:divBdr>
                                          <w:divsChild>
                                            <w:div w:id="1299141960">
                                              <w:marLeft w:val="0"/>
                                              <w:marRight w:val="0"/>
                                              <w:marTop w:val="0"/>
                                              <w:marBottom w:val="0"/>
                                              <w:divBdr>
                                                <w:top w:val="none" w:sz="0" w:space="0" w:color="auto"/>
                                                <w:left w:val="none" w:sz="0" w:space="0" w:color="auto"/>
                                                <w:bottom w:val="none" w:sz="0" w:space="0" w:color="auto"/>
                                                <w:right w:val="none" w:sz="0" w:space="0" w:color="auto"/>
                                              </w:divBdr>
                                              <w:divsChild>
                                                <w:div w:id="7663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4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1ec083-eb60-4400-a1ca-8b175769cd15">
      <Value>1</Value>
    </TaxCatchAll>
    <Aktionswert xmlns="e41ec083-eb60-4400-a1ca-8b175769cd15" xsi:nil="true"/>
    <_dlc_DocId xmlns="e41ec083-eb60-4400-a1ca-8b175769cd15">G01009336-001759</_dlc_DocId>
    <_dlc_DocIdUrl xmlns="e41ec083-eb60-4400-a1ca-8b175769cd15">
      <Url>https://gdok.finma.ch/container/217/_layouts/15/DocIdRedir.aspx?ID=G01009336-001759</Url>
      <Description>G01009336-001759</Description>
    </_dlc_DocIdUrl>
    <FinmaPasswordProtected xmlns="e41ec083-eb60-4400-a1ca-8b175769cd15">false</FinmaPasswordProtected>
    <f6ac7f7711e24d149a1ab98f6cfad432 xmlns="e41ec083-eb60-4400-a1ca-8b175769cd15">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e41ec083-eb60-4400-a1ca-8b175769cd15">2020-04-21T04:17:38+00:00</FinmaValidationDate>
    <FinmaDocumentDate xmlns="e41ec083-eb60-4400-a1ca-8b175769cd15">2019-04-24T22:00:00+00:00</FinmaDocumentDate>
    <FinmaValidationResult xmlns="e41ec083-eb60-4400-a1ca-8b175769cd15" xsi:nil="true"/>
    <FinmaObjectName xmlns="e41ec083-eb60-4400-a1ca-8b175769cd15">F00164912</FinmaObjectName>
    <h5452bf913d342ef967d06fb0970c0a5 xmlns="e41ec083-eb60-4400-a1ca-8b175769cd15">
      <Terms xmlns="http://schemas.microsoft.com/office/infopath/2007/PartnerControls"/>
    </h5452bf913d342ef967d06fb0970c0a5>
    <g1c9cab47ab34847b4ac830bba5063b0 xmlns="e41ec083-eb60-4400-a1ca-8b175769cd15">
      <Terms xmlns="http://schemas.microsoft.com/office/infopath/2007/PartnerControls"/>
    </g1c9cab47ab34847b4ac830bba5063b0>
    <FinmaCaseDescription xmlns="e41ec083-eb60-4400-a1ca-8b175769cd15">Verantwortliche Koordination Prüfwesen (G01009336)</FinmaCaseDescription>
    <FinmaCaseID xmlns="e41ec083-eb60-4400-a1ca-8b175769cd15">G01009336</FinmaCaseID>
    <n1f5c6536ac648a38ad663cdf8bd44e6 xmlns="e41ec083-eb60-4400-a1ca-8b175769cd15">
      <Terms xmlns="http://schemas.microsoft.com/office/infopath/2007/PartnerControls"/>
    </n1f5c6536ac648a38ad663cdf8bd44e6>
    <FinmaObjectId xmlns="e41ec083-eb60-4400-a1ca-8b175769cd15">Eidgenössische Finanzmarktaufsicht FINMA (F00164912)</FinmaObjec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Dok Document" ma:contentTypeID="0x0101003A499141982C43AFAF241BDE541C18D500F5B3EB93A2E6FC40BDA27E9A03F99C52" ma:contentTypeVersion="18" ma:contentTypeDescription="Create a new document." ma:contentTypeScope="" ma:versionID="04eebac017c0ff8e67ba2371f1f5ae67">
  <xsd:schema xmlns:xsd="http://www.w3.org/2001/XMLSchema" xmlns:xs="http://www.w3.org/2001/XMLSchema" xmlns:p="http://schemas.microsoft.com/office/2006/metadata/properties" xmlns:ns2="e41ec083-eb60-4400-a1ca-8b175769cd15" targetNamespace="http://schemas.microsoft.com/office/2006/metadata/properties" ma:root="true" ma:fieldsID="717c16d44b7eff26d5d25af0687c82f9" ns2:_="">
    <xsd:import namespace="e41ec083-eb60-4400-a1ca-8b175769cd15"/>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c083-eb60-4400-a1ca-8b175769c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Verantwortliche Koordination Prüfwesen (G01009336)"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feb4887-3879-4340-9b30-50fa0091cdea}" ma:internalName="TaxCatchAll" ma:showField="CatchAllData"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feb4887-3879-4340-9b30-50fa0091cdea}" ma:internalName="TaxCatchAllLabel" ma:readOnly="true" ma:showField="CatchAllDataLabel"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009336"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007556a7-71c6-4a46-9c24-71f35aa16e93" ma:anchorId="fc6e2f94-ec5b-4b25-829d-c96b59440ef4" ma:open="tru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Eidgenössische Finanzmarktaufsicht FINMA (F00164912)" ma:internalName="FinmaObjectId">
      <xsd:simpleType>
        <xsd:restriction base="dms:Text">
          <xsd:maxLength value="255"/>
        </xsd:restriction>
      </xsd:simpleType>
    </xsd:element>
    <xsd:element name="FinmaObjectName" ma:index="29" nillable="true" ma:displayName="Finma Objekt Bezeichnung" ma:default="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F8B0-1DE1-42D8-B762-33352C92152B}"/>
</file>

<file path=customXml/itemProps2.xml><?xml version="1.0" encoding="utf-8"?>
<ds:datastoreItem xmlns:ds="http://schemas.openxmlformats.org/officeDocument/2006/customXml" ds:itemID="{12C15912-807C-4831-89AA-3CB04265FBEE}"/>
</file>

<file path=customXml/itemProps3.xml><?xml version="1.0" encoding="utf-8"?>
<ds:datastoreItem xmlns:ds="http://schemas.openxmlformats.org/officeDocument/2006/customXml" ds:itemID="{F2296E39-E32F-4AAA-B104-82B9259FA14C}"/>
</file>

<file path=customXml/itemProps4.xml><?xml version="1.0" encoding="utf-8"?>
<ds:datastoreItem xmlns:ds="http://schemas.openxmlformats.org/officeDocument/2006/customXml" ds:itemID="{49727242-E221-4E74-AE90-A64E19C8CEDB}"/>
</file>

<file path=customXml/itemProps5.xml><?xml version="1.0" encoding="utf-8"?>
<ds:datastoreItem xmlns:ds="http://schemas.openxmlformats.org/officeDocument/2006/customXml" ds:itemID="{4933AB5F-375B-426D-B534-341800D49AE5}"/>
</file>

<file path=docProps/app.xml><?xml version="1.0" encoding="utf-8"?>
<Properties xmlns="http://schemas.openxmlformats.org/officeDocument/2006/extended-properties" xmlns:vt="http://schemas.openxmlformats.org/officeDocument/2006/docPropsVTypes">
  <Template>Normal.dotm</Template>
  <TotalTime>0</TotalTime>
  <Pages>13</Pages>
  <Words>3703</Words>
  <Characters>23331</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2020-04-21T04:17:00Z</dcterms:created>
  <dcterms:modified xsi:type="dcterms:W3CDTF">2020-04-21T04:17:00Z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0x0101003A499141982C43AFAF241BDE541C18D500F5B3EB93A2E6FC40BDA27E9A03F99C52</vt:lpwstr>
  </property>
  <property fmtid="{D5CDD505-2E9C-101B-9397-08002B2CF9AE}" pid="3" name="Ordnungsposition">
    <vt:lpwstr>18</vt:lpwstr>
  </property>
  <property fmtid="{D5CDD505-2E9C-101B-9397-08002B2CF9AE}" pid="4" name="Schlagwort">
    <vt:lpwstr/>
  </property>
  <property fmtid="{D5CDD505-2E9C-101B-9397-08002B2CF9AE}" pid="5" name="_dlc_DocIdItemGuid">
    <vt:lpwstr>98b4c8d3-358a-480a-ab97-3524c53ffe2f</vt:lpwstr>
  </property>
  <property fmtid="{D5CDD505-2E9C-101B-9397-08002B2CF9AE}" pid="6" name="Schlagwort KategorieTaxHTField0">
    <vt:lpwstr/>
  </property>
  <property fmtid="{D5CDD505-2E9C-101B-9397-08002B2CF9AE}" pid="7" name="FinmaReceiver">
    <vt:lpwstr/>
  </property>
  <property fmtid="{D5CDD505-2E9C-101B-9397-08002B2CF9AE}" pid="8" name="FinmaSender">
    <vt:lpwstr/>
  </property>
  <property fmtid="{D5CDD505-2E9C-101B-9397-08002B2CF9AE}" pid="9" name="FinmaCrmEntityIDs">
    <vt:lpwstr/>
  </property>
  <property fmtid="{D5CDD505-2E9C-101B-9397-08002B2CF9AE}" pid="10" name="Schlagwort Kategorie">
    <vt:lpwstr/>
  </property>
  <property fmtid="{D5CDD505-2E9C-101B-9397-08002B2CF9AE}" pid="11" name="FinmaCatchphrases">
    <vt:lpwstr/>
  </property>
  <property fmtid="{D5CDD505-2E9C-101B-9397-08002B2CF9AE}" pid="12" name="FinmaCaseStatus">
    <vt:lpwstr>1;#Aktiv|7439e81f-a110-4e88-a7af-acf8d4806223</vt:lpwstr>
  </property>
  <property fmtid="{D5CDD505-2E9C-101B-9397-08002B2CF9AE}" pid="13" name="FinmaCategory">
    <vt:lpwstr/>
  </property>
  <property fmtid="{D5CDD505-2E9C-101B-9397-08002B2CF9AE}" pid="14" name="Dossier Typ">
    <vt:lpwstr/>
  </property>
  <property fmtid="{D5CDD505-2E9C-101B-9397-08002B2CF9AE}" pid="15" name="Kategorie">
    <vt:lpwstr/>
  </property>
</Properties>
</file>